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9"/>
          <w:szCs w:val="29"/>
        </w:rPr>
        <w:t xml:space="preserve">Mujahid Ali Quidwai</w:t>
      </w:r>
    </w:p>
    <w:p>
      <w:pPr>
        <w:spacing w:after="40"/>
        <w:jc w:val="center"/>
      </w:pPr>
      <w:r>
        <w:rPr>
          <w:rFonts w:ascii="Arial" w:cs="Arial" w:eastAsia="Arial" w:hAnsi="Arial"/>
          <w:sz w:val="21"/>
          <w:szCs w:val="21"/>
        </w:rPr>
        <w:t xml:space="preserve">(224) 322-6446 • quidwaiali@gmail.com • </w:t>
      </w:r>
      <w:hyperlink w:history="1" r:id="rId34mugwkmj0itxtn3rb-px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LinkedIn</w:t>
        </w:r>
      </w:hyperlink>
      <w:r>
        <w:rPr>
          <w:rFonts w:ascii="Arial" w:cs="Arial" w:eastAsia="Arial" w:hAnsi="Arial"/>
          <w:sz w:val="21"/>
          <w:szCs w:val="21"/>
        </w:rPr>
        <w:t xml:space="preserve"> • </w:t>
      </w:r>
      <w:hyperlink w:history="1" r:id="rId4r-kozgthi_eh2svdsuzk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Google Scholar</w:t>
        </w:r>
      </w:hyperlink>
      <w:r>
        <w:rPr>
          <w:rFonts w:ascii="Arial" w:cs="Arial" w:eastAsia="Arial" w:hAnsi="Arial"/>
          <w:sz w:val="21"/>
          <w:szCs w:val="21"/>
        </w:rPr>
        <w:t xml:space="preserve"> • </w:t>
      </w:r>
      <w:hyperlink w:history="1" r:id="rId8p2ren-lifgsdn8av2sg8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Portfolio</w:t>
        </w:r>
      </w:hyperlink>
    </w:p>
    <w:p>
      <w:pPr>
        <w:pBdr>
          <w:bottom w:val="single" w:color="000000" w:sz="6"/>
        </w:pBdr>
        <w:spacing w:before="140" w:after="50"/>
      </w:pPr>
      <w:r>
        <w:rPr>
          <w:rFonts w:ascii="Arial" w:cs="Arial" w:eastAsia="Arial" w:hAnsi="Arial"/>
          <w:b/>
          <w:bCs/>
          <w:caps/>
          <w:sz w:val="23"/>
          <w:szCs w:val="23"/>
        </w:rPr>
        <w:t xml:space="preserve">PROFESSIONAL SUMMARY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AI Systems Engineer with production deployments in clinical oncology — systems actively used by Mount Sinai oncologists for treatment decisions. Architect of multi-agent genomic curation (OncoCITE: 97.8% precision; Submitted to Nature Cancer), GPU-accelerated pipelines (92.3% time reduction enabling same-day tumor board), and real-time voice interfaces (&lt;600ms latency). Full-stack AI expertise from fine-tuning 7B-235B models to inference optimization on H100/A100 infrastructure. Research includes a widely cited clinical RAG framework (35+ citations) and first-author work at ACL (BEA Workshop).</w:t>
      </w:r>
    </w:p>
    <w:p>
      <w:pPr>
        <w:pBdr>
          <w:bottom w:val="single" w:color="000000" w:sz="6"/>
        </w:pBdr>
        <w:spacing w:before="140" w:after="50"/>
      </w:pPr>
      <w:r>
        <w:rPr>
          <w:rFonts w:ascii="Arial" w:cs="Arial" w:eastAsia="Arial" w:hAnsi="Arial"/>
          <w:b/>
          <w:bCs/>
          <w:caps/>
          <w:sz w:val="23"/>
          <w:szCs w:val="23"/>
        </w:rPr>
        <w:t xml:space="preserve">PROFESSIONAL EXPERIENCE</w:t>
      </w:r>
    </w:p>
    <w:p>
      <w:pPr>
        <w:tabs>
          <w:tab w:val="right" w:pos="10800"/>
        </w:tabs>
        <w:spacing w:before="8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Icahn School of Medicine at Mount Sinai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New York, NY</w:t>
      </w:r>
    </w:p>
    <w:p>
      <w:pPr>
        <w:tabs>
          <w:tab w:val="right" w:pos="10800"/>
        </w:tabs>
        <w:spacing w:before="0" w:after="3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Computational Scientist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Dec 2024 – Present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OncoCITE - Multi-Agent Genomic Evidence Extraction (Submitted to Nature Cancer): </w:t>
      </w:r>
      <w:r>
        <w:rPr>
          <w:rFonts w:ascii="Arial" w:cs="Arial" w:eastAsia="Arial" w:hAnsi="Arial"/>
          <w:sz w:val="20"/>
          <w:szCs w:val="20"/>
        </w:rPr>
        <w:t xml:space="preserve">Performed systematic EDA on CIViC database (11,312 evidence items, 3,083 publications) quantifying 12 structural bottlenecks: curation latency (median 31d, P90 &gt;21 months), Pareto inefficiency (top 100 sources = 29% coverage), and emerging target gaps (GPRC5D: 0 items despite FDA approval). Architected 6-agent solution (Claude Agent SDK, 22 MCP tools) with state serialization enabling pause-resume for long-running extractions and vision-based PDF extraction (300 DPI) replacing traditional OCR. Developed novel three-way validation framework treating source publications as ground truth—identified 24.2% curation errors in expert-curated databases. Validated on 15-paper corpus: 84% ground truth recovery, 97.8% novel discovery precision, 0% critical errors (n=108). Deployed normalizer to enrich all 11,312 items achieving 83.12% ontology resolution across 20 Tier-2 fields. Estimated 40+ hours of manual curation time saved per publication processed, with potential to scale across 3,000+ unprocessed CIViC sources. Published at ASH 2025.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PRIME Model - Predictive Relapse Indicators for Myeloma T-Cell Engagers (Blood 2025): </w:t>
      </w:r>
      <w:r>
        <w:rPr>
          <w:rFonts w:ascii="Arial" w:cs="Arial" w:eastAsia="Arial" w:hAnsi="Arial"/>
          <w:sz w:val="20"/>
          <w:szCs w:val="20"/>
        </w:rPr>
        <w:t xml:space="preserve">Co-developed predictive model for patients receiving BCMA- and GPRC5D-targeting T-cell engagers. Integrated clinical, genomic, and treatment response data to identify early relapse indicators. Presented at ASH 2025.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MMAP - GPU-Accelerated Genomic Pipeline (56× Speedup): </w:t>
      </w:r>
      <w:r>
        <w:rPr>
          <w:rFonts w:ascii="Arial" w:cs="Arial" w:eastAsia="Arial" w:hAnsi="Arial"/>
          <w:sz w:val="20"/>
          <w:szCs w:val="20"/>
        </w:rPr>
        <w:t xml:space="preserve">Engineered production pipeline on Minerva HPC using NVIDIA H100 GPUs with Parabricks (fq2bam, HaplotypeCaller), RAPIDS (cuDF/cuML), and DeepVariant. Orchestrated 57 computational processes across 3 integrated workflows (RNA-seq, WES, Integration) using Nextflow DSL2 with LSF scheduling. Achieved 95.8% processing time reduction (7 days → 3 hours, 56× speedup), enabling 8 patients/day throughput vs. 0.14 previously. Generates 10 clinical outputs including actionable variants, drug recommendations, venetoclax sensitivity predictions, and PSN molecular subtyping. Enabled same-day molecular tumor board readiness, transforming clinical timelines from 14 days to 1-2 days.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Multi-Omics Integration (Clinical Lymphoma Myeloma Leukemia 2025): </w:t>
      </w:r>
      <w:r>
        <w:rPr>
          <w:rFonts w:ascii="Arial" w:cs="Arial" w:eastAsia="Arial" w:hAnsi="Arial"/>
          <w:sz w:val="20"/>
          <w:szCs w:val="20"/>
        </w:rPr>
        <w:t xml:space="preserve">Applied modified IntegrAO graph neural network methodology to MMRF COMPASS cohort (N=655 samples) for multi-omics patient stratification. Integrated SNV, CNV, TME, and WES data achieving 50% classification granularity improvement (18 vs 12 subgroups) and 258% high-risk detection enhancement (43 vs 12 patients). Identified 18 distinct vulnerability profiles with 94% of patients having actionable targets.</w:t>
      </w:r>
    </w:p>
    <w:p>
      <w:pPr>
        <w:tabs>
          <w:tab w:val="right" w:pos="10800"/>
        </w:tabs>
        <w:spacing w:before="0" w:after="3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Associate Computational Scientist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Oct 2023 – Dec 2024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RAG System for Clinical Decision Support (Clinical Lymphoma Myeloma Leukemia 2024): </w:t>
      </w:r>
      <w:r>
        <w:rPr>
          <w:rFonts w:ascii="Arial" w:cs="Arial" w:eastAsia="Arial" w:hAnsi="Arial"/>
          <w:sz w:val="20"/>
          <w:szCs w:val="20"/>
        </w:rPr>
        <w:t xml:space="preserve">Led development of production RAG system using LangGraph orchestration, BAAI/bge-large-en-v1.5 embeddings, and Mistral-7B. Processed 5,000+ documents achieving 88% clinical effectiveness, reducing literature review time by approximately 70% for clinical fellows. Published in medRxiv [36 citations], presented at IMS 2024.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CAR-T CRS Prediction (Information MDPI, under review): </w:t>
      </w:r>
      <w:r>
        <w:rPr>
          <w:rFonts w:ascii="Arial" w:cs="Arial" w:eastAsia="Arial" w:hAnsi="Arial"/>
          <w:sz w:val="20"/>
          <w:szCs w:val="20"/>
        </w:rPr>
        <w:t xml:space="preserve">Built ML system for early Cytokine Release Syndrome detection in CAR-T patients (ide-cel, cilta-cel) as part of investigator-initiated trial (N=30 enrolled, N=25 analyzed). Engineered time-lagged features from continuous wearable monitoring (Current Health Gen 2, Feverscout) and 92-protein Olink cytokine panel. Evaluated 5 classifiers via StratifiedKFold CV: achieved 84.62% accuracy (ide-cel) and 80.62% (cilta-cel) within 6-hour prediction window. Detected 18/20 CRS episodes with 7-hour median lead time before standard nursing detection. SHAP analysis identified IFN-γ as cross-product predictor; fold-change classifier achieved 90% precision with 40-hour mean lead time. Supports transition to outpatient CAR-T delivery models.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Voice ASR Prototype for Clinical Terminology: </w:t>
      </w:r>
      <w:r>
        <w:rPr>
          <w:rFonts w:ascii="Arial" w:cs="Arial" w:eastAsia="Arial" w:hAnsi="Arial"/>
          <w:sz w:val="20"/>
          <w:szCs w:val="20"/>
        </w:rPr>
        <w:t xml:space="preserve">Fine-tuned OpenAI Whisper Small for on-device deployment, trained on recorded patient voice dataset to reduce word error rate for multiple myeloma terminology. Prototype demonstrated improved recognition accuracy for domain-specific medical terms that standard ASR models frequently misrecognize.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Graduate Student Mentorship: </w:t>
      </w:r>
      <w:r>
        <w:rPr>
          <w:rFonts w:ascii="Arial" w:cs="Arial" w:eastAsia="Arial" w:hAnsi="Arial"/>
          <w:sz w:val="20"/>
          <w:szCs w:val="20"/>
        </w:rPr>
        <w:t xml:space="preserve">Mentored 6 Carnegie Mellon University graduate students (Sep–Dec 2024) on CAR-T therapy monitoring capstone project. Guided experiment design, baselining, and reporting for CRS prediction using wearables and cytokines. Coordinated with clinical team on project scope and deliverables.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Genomic Foundation Models Integration: </w:t>
      </w:r>
      <w:r>
        <w:rPr>
          <w:rFonts w:ascii="Arial" w:cs="Arial" w:eastAsia="Arial" w:hAnsi="Arial"/>
          <w:sz w:val="20"/>
          <w:szCs w:val="20"/>
        </w:rPr>
        <w:t xml:space="preserve">Incorporated Scanpy (single-cell RNA-seq) and Geneformer (gene expression modeling) into precision medicine pipeline. Optimized workflows for processing 10,000+ cell samples and integrated with existing computational infrastructure.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Unified Patient Data Management Framework: </w:t>
      </w:r>
      <w:r>
        <w:rPr>
          <w:rFonts w:ascii="Arial" w:cs="Arial" w:eastAsia="Arial" w:hAnsi="Arial"/>
          <w:sz w:val="20"/>
          <w:szCs w:val="20"/>
        </w:rPr>
        <w:t xml:space="preserve">Engineered RESTful APIs integrating EHR (EPIC), lab results (REDCap), and genomics data (Nextflow). Built automated pipelines using Git/GitHub and leveraged LLaMA-3 with RAG architecture for structured data extraction.</w:t>
      </w:r>
    </w:p>
    <w:p>
      <w:pPr>
        <w:tabs>
          <w:tab w:val="right" w:pos="10800"/>
        </w:tabs>
        <w:spacing w:before="8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AYA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New York, NY</w:t>
      </w:r>
    </w:p>
    <w:p>
      <w:pPr>
        <w:tabs>
          <w:tab w:val="right" w:pos="10800"/>
        </w:tabs>
        <w:spacing w:before="0" w:after="3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Entrepreneurial Fellow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Jul 2023 – Oct 2023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Conceptualized and built AYA, leveraging reinforcement learning-optimized NLP model to extract and formulate questions from academic video content. Selected for Summer Sprint at NYU's Entrepreneurial Institute (10 selected from 150 startups). Developed end-to-end product combining speech processing, natural language generation, and educational content analysis.</w:t>
      </w:r>
    </w:p>
    <w:p>
      <w:pPr>
        <w:tabs>
          <w:tab w:val="right" w:pos="10800"/>
        </w:tabs>
        <w:spacing w:before="8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New York University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New York, NY</w:t>
      </w:r>
    </w:p>
    <w:p>
      <w:pPr>
        <w:tabs>
          <w:tab w:val="right" w:pos="10800"/>
        </w:tabs>
        <w:spacing w:before="0" w:after="3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Machine Learning Researcher &amp; Teaching Assistant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Sep 2021 – May 2023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AI-Generated Plagiarism Detection (ACL 2023): </w:t>
      </w:r>
      <w:r>
        <w:rPr>
          <w:rFonts w:ascii="Arial" w:cs="Arial" w:eastAsia="Arial" w:hAnsi="Arial"/>
          <w:sz w:val="20"/>
          <w:szCs w:val="20"/>
        </w:rPr>
        <w:t xml:space="preserve">Developed novel multi-faceted NLP approach with Prof. Parijat Dube (IBM Research) achieving 94% accuracy in human-AI text classification. Method employs contrastive loss and LLM-generated paraphrases. DOI: 10.18653/v1/2023.bea-1.58 [31 citations]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Teaching Assistant - Data Structures &amp; Algorithms for Bioinformatics: </w:t>
      </w:r>
      <w:r>
        <w:rPr>
          <w:rFonts w:ascii="Arial" w:cs="Arial" w:eastAsia="Arial" w:hAnsi="Arial"/>
          <w:sz w:val="20"/>
          <w:szCs w:val="20"/>
        </w:rPr>
        <w:t xml:space="preserve">Supported graduate-level course under Prof. Manpreet S. Katari for 3 semesters (Spring 2022, Fall 2022, Spring 2023), teaching data structures, algorithms, and genomic algorithms to 130+ master's students. Created assignments, held office hours, and bridged computer science fundamentals with bioinformatics applications.</w:t>
      </w:r>
    </w:p>
    <w:p>
      <w:pPr>
        <w:tabs>
          <w:tab w:val="right" w:pos="10800"/>
        </w:tabs>
        <w:spacing w:before="8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Carcrew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New Delhi, India</w:t>
      </w:r>
    </w:p>
    <w:p>
      <w:pPr>
        <w:tabs>
          <w:tab w:val="right" w:pos="10800"/>
        </w:tabs>
        <w:spacing w:before="0" w:after="3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Technical Lead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Aug 2016 – Sep 2017</w:t>
      </w:r>
    </w:p>
    <w:p>
      <w:pPr>
        <w:spacing w:before="30" w:after="30"/>
        <w:ind w:left="144" w:hanging="14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Founding Technical Team: </w:t>
      </w:r>
      <w:r>
        <w:rPr>
          <w:rFonts w:ascii="Arial" w:cs="Arial" w:eastAsia="Arial" w:hAnsi="Arial"/>
          <w:sz w:val="20"/>
          <w:szCs w:val="20"/>
        </w:rPr>
        <w:t xml:space="preserve">Built MVP for automotive marketplace using Django, Flask, PostgreSQL. Contributed to technical due diligence that secured $2M Series A from TVS Group. Scaled to 10,000+ DAU.</w:t>
      </w:r>
    </w:p>
    <w:p>
      <w:pPr>
        <w:pBdr>
          <w:bottom w:val="single" w:color="000000" w:sz="6"/>
        </w:pBdr>
        <w:spacing w:before="140" w:after="50"/>
      </w:pPr>
      <w:r>
        <w:rPr>
          <w:rFonts w:ascii="Arial" w:cs="Arial" w:eastAsia="Arial" w:hAnsi="Arial"/>
          <w:b/>
          <w:bCs/>
          <w:caps/>
          <w:sz w:val="23"/>
          <w:szCs w:val="23"/>
        </w:rPr>
        <w:t xml:space="preserve">PUBLICATIONS</w:t>
      </w:r>
    </w:p>
    <w:p>
      <w:pPr>
        <w:spacing w:before="20" w:after="20"/>
        <w:ind w:left="144" w:hanging="144"/>
      </w:pPr>
      <w:r>
        <w:rPr>
          <w:rFonts w:ascii="Arial" w:cs="Arial" w:eastAsia="Arial" w:hAnsi="Arial"/>
          <w:sz w:val="19"/>
          <w:szCs w:val="19"/>
        </w:rPr>
        <w:t xml:space="preserve">• Quidwai MA, et al. "OncoCITE: AI-Driven Genomic Evidence Curation." (Submitted to Nature Cancer, 2025)</w:t>
      </w:r>
    </w:p>
    <w:p>
      <w:pPr>
        <w:spacing w:before="20" w:after="20"/>
        <w:ind w:left="144" w:hanging="144"/>
      </w:pPr>
      <w:r>
        <w:rPr>
          <w:rFonts w:ascii="Arial" w:cs="Arial" w:eastAsia="Arial" w:hAnsi="Arial"/>
          <w:sz w:val="19"/>
          <w:szCs w:val="19"/>
        </w:rPr>
        <w:t xml:space="preserve">• Quidwai MA, et al. "Oncodif: An Auditable AI Framework for Automated Genomic Curation." Blood 146, 2646 (ASH 2025)</w:t>
      </w:r>
    </w:p>
    <w:p>
      <w:pPr>
        <w:spacing w:before="20" w:after="20"/>
        <w:ind w:left="144" w:hanging="144"/>
      </w:pPr>
      <w:r>
        <w:rPr>
          <w:rFonts w:ascii="Arial" w:cs="Arial" w:eastAsia="Arial" w:hAnsi="Arial"/>
          <w:sz w:val="19"/>
          <w:szCs w:val="19"/>
        </w:rPr>
        <w:t xml:space="preserve">• Quidwai MA, Laganà A. "A RAG Chatbot for Precision Medicine of Multiple Myeloma." medRxiv 2024. DOI: 10.1101/2024.03.14.24304293 [36 citations]</w:t>
      </w:r>
    </w:p>
    <w:p>
      <w:pPr>
        <w:spacing w:before="20" w:after="20"/>
        <w:ind w:left="144" w:hanging="144"/>
      </w:pPr>
      <w:r>
        <w:rPr>
          <w:rFonts w:ascii="Arial" w:cs="Arial" w:eastAsia="Arial" w:hAnsi="Arial"/>
          <w:sz w:val="19"/>
          <w:szCs w:val="19"/>
        </w:rPr>
        <w:t xml:space="preserve">• Quidwai MA, et al. "2P-145 Innovative AI-Driven Decision Support Tool for Multiple Myeloma Using RAG." Clin Lymph Myel Leuk 24, S123-S124 (IMS 2024) [1 citation]</w:t>
      </w:r>
    </w:p>
    <w:p>
      <w:pPr>
        <w:spacing w:before="20" w:after="20"/>
        <w:ind w:left="144" w:hanging="144"/>
      </w:pPr>
      <w:r>
        <w:rPr>
          <w:rFonts w:ascii="Arial" w:cs="Arial" w:eastAsia="Arial" w:hAnsi="Arial"/>
          <w:sz w:val="19"/>
          <w:szCs w:val="19"/>
        </w:rPr>
        <w:t xml:space="preserve">• Quidwai MA, Li C, Dube P. "Beyond Black Box AI-Generated Plagiarism Detection." ACL BEA 2023. DOI: 10.18653/v1/2023.bea-1.58 [31 citations] — IBM Research</w:t>
      </w:r>
    </w:p>
    <w:p>
      <w:pPr>
        <w:spacing w:before="20" w:after="20"/>
        <w:ind w:left="144" w:hanging="144"/>
      </w:pPr>
      <w:r>
        <w:rPr>
          <w:rFonts w:ascii="Arial" w:cs="Arial" w:eastAsia="Arial" w:hAnsi="Arial"/>
          <w:sz w:val="19"/>
          <w:szCs w:val="19"/>
        </w:rPr>
        <w:t xml:space="preserve">• Rajeeve S, ..., Quidwai M, et al. "Early Detection of CRS Using Wearable Devices." Information (MDPI), under review; SSRN 5217949</w:t>
      </w:r>
    </w:p>
    <w:p>
      <w:pPr>
        <w:spacing w:before="20" w:after="20"/>
        <w:ind w:left="144" w:hanging="144"/>
      </w:pPr>
      <w:r>
        <w:rPr>
          <w:rFonts w:ascii="Arial" w:cs="Arial" w:eastAsia="Arial" w:hAnsi="Arial"/>
          <w:sz w:val="19"/>
          <w:szCs w:val="19"/>
        </w:rPr>
        <w:t xml:space="preserve">• Mouhieddine T, ..., Quidwai M, et al. "PRIME: Predictive Relapse Indicators for Myeloma T-Cell Engagers." Blood 146 (Suppl 1), 3996-3996 (ASH 2025)</w:t>
      </w:r>
    </w:p>
    <w:p>
      <w:pPr>
        <w:spacing w:before="20" w:after="20"/>
        <w:ind w:left="144" w:hanging="144"/>
      </w:pPr>
      <w:r>
        <w:rPr>
          <w:rFonts w:ascii="Arial" w:cs="Arial" w:eastAsia="Arial" w:hAnsi="Arial"/>
          <w:sz w:val="19"/>
          <w:szCs w:val="19"/>
        </w:rPr>
        <w:t xml:space="preserve">• Hamidi H, ..., Quidwai M, et al. "Integrating Microenvironment with Tumor Multi-Omic." Clin Lymph Myel Leuk 25, S181-S182 (IMS 2025)</w:t>
      </w:r>
    </w:p>
    <w:p>
      <w:pPr>
        <w:pBdr>
          <w:bottom w:val="single" w:color="000000" w:sz="6"/>
        </w:pBdr>
        <w:spacing w:before="140" w:after="50"/>
      </w:pPr>
      <w:r>
        <w:rPr>
          <w:rFonts w:ascii="Arial" w:cs="Arial" w:eastAsia="Arial" w:hAnsi="Arial"/>
          <w:b/>
          <w:bCs/>
          <w:caps/>
          <w:sz w:val="23"/>
          <w:szCs w:val="23"/>
        </w:rPr>
        <w:t xml:space="preserve">EDUCATION</w:t>
      </w:r>
    </w:p>
    <w:p>
      <w:pPr>
        <w:tabs>
          <w:tab w:val="right" w:pos="11088"/>
        </w:tabs>
        <w:spacing w:before="20"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Master of Science in Computer Engineering (Honors)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2021 – 2023</w:t>
      </w:r>
    </w:p>
    <w:p>
      <w:pPr>
        <w:spacing w:before="0" w:after="10"/>
      </w:pPr>
      <w:r>
        <w:rPr>
          <w:rFonts w:ascii="Arial" w:cs="Arial" w:eastAsia="Arial" w:hAnsi="Arial"/>
          <w:sz w:val="18"/>
          <w:szCs w:val="18"/>
        </w:rPr>
        <w:t xml:space="preserve">New York University, Tandon School of Engineering | New York, NY</w:t>
      </w:r>
    </w:p>
    <w:p>
      <w:pPr>
        <w:spacing w:before="0" w:after="1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Advisors: Prof. Dennis Shasha, Prof. Manpreet S. Katari, Prof. Parijat Dube (IBM Research)</w:t>
      </w:r>
    </w:p>
    <w:p>
      <w:pPr>
        <w:spacing w:before="0" w:after="10"/>
      </w:pPr>
      <w:r>
        <w:rPr>
          <w:rFonts w:ascii="Arial" w:cs="Arial" w:eastAsia="Arial" w:hAnsi="Arial"/>
          <w:sz w:val="17"/>
          <w:szCs w:val="17"/>
        </w:rPr>
        <w:t xml:space="preserve">Coursework: Deep Learning, Machine Learning, High Performance ML, NLP, ML for Cyber-Security, Algorithms &amp; Data Structures for Bioinformatics</w:t>
      </w:r>
    </w:p>
    <w:p>
      <w:pPr>
        <w:spacing w:before="0" w:after="30"/>
      </w:pPr>
      <w:r>
        <w:rPr>
          <w:rFonts w:ascii="Arial" w:cs="Arial" w:eastAsia="Arial" w:hAnsi="Arial"/>
          <w:sz w:val="17"/>
          <w:szCs w:val="17"/>
        </w:rPr>
        <w:t xml:space="preserve">Scholarship: NYU Tandon Graduate Scholarship — Merit-based award of $8,000/year for academic excellence</w:t>
      </w:r>
    </w:p>
    <w:p>
      <w:pPr>
        <w:tabs>
          <w:tab w:val="right" w:pos="11088"/>
        </w:tabs>
        <w:spacing w:before="20"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Bachelor of Technology in Computer Science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2012 – 2016</w:t>
      </w:r>
    </w:p>
    <w:p>
      <w:pPr>
        <w:spacing w:before="0" w:after="30"/>
      </w:pPr>
      <w:r>
        <w:rPr>
          <w:rFonts w:ascii="Arial" w:cs="Arial" w:eastAsia="Arial" w:hAnsi="Arial"/>
          <w:sz w:val="18"/>
          <w:szCs w:val="18"/>
        </w:rPr>
        <w:t xml:space="preserve">Dr. A.P.J. Abdul Kalam Technical University | Ghaziabad, India</w:t>
      </w:r>
    </w:p>
    <w:p>
      <w:pPr>
        <w:pBdr>
          <w:bottom w:val="single" w:color="000000" w:sz="6"/>
        </w:pBdr>
        <w:spacing w:before="140" w:after="50"/>
      </w:pPr>
      <w:r>
        <w:rPr>
          <w:rFonts w:ascii="Arial" w:cs="Arial" w:eastAsia="Arial" w:hAnsi="Arial"/>
          <w:b/>
          <w:bCs/>
          <w:caps/>
          <w:sz w:val="23"/>
          <w:szCs w:val="23"/>
        </w:rPr>
        <w:t xml:space="preserve">TECHNICAL SKILLS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LLM &amp; Agents: </w:t>
      </w:r>
      <w:r>
        <w:rPr>
          <w:rFonts w:ascii="Arial" w:cs="Arial" w:eastAsia="Arial" w:hAnsi="Arial"/>
          <w:sz w:val="19"/>
          <w:szCs w:val="19"/>
        </w:rPr>
        <w:t xml:space="preserve">Fine-tuning (7B-235B, Qwen/Mistral/MedGemma, LoRA/QLoRA, DPO, Unsloth), Multi-Agent Orchestration (Claude/OpenAI Agent SDK, LangGraph, Supervisor-Worker, MCP 22 tools), RAG (Vector DBs, Tool-calling), State Serialization, Deterministic Replay, Chain-of-Thought, Guardrails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Serving &amp; MLOps: </w:t>
      </w:r>
      <w:r>
        <w:rPr>
          <w:rFonts w:ascii="Arial" w:cs="Arial" w:eastAsia="Arial" w:hAnsi="Arial"/>
          <w:sz w:val="19"/>
          <w:szCs w:val="19"/>
        </w:rPr>
        <w:t xml:space="preserve">vLLM, SGLang, TensorRT-LLM, Ollama, KV Cache Optimization, &lt;100ms TTFT, Streaming Inference, Quantization (FP8/INT4), OpenAI Evals, DeepEval, LangSmith, Logfire, MLflow, CI/CD, A/B Testing, Three-way Validation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Multimodal AI: </w:t>
      </w:r>
      <w:r>
        <w:rPr>
          <w:rFonts w:ascii="Arial" w:cs="Arial" w:eastAsia="Arial" w:hAnsi="Arial"/>
          <w:sz w:val="19"/>
          <w:szCs w:val="19"/>
        </w:rPr>
        <w:t xml:space="preserve">Vision (Claude 3.5, Qwen-VL, DeepSeek-OCR, PDF-to-Image 300 DPI), Voice (Whisper Fine-tuning, Silero VAD, Piper TTS), Domain-specific ASR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Genomics &amp; Bio: </w:t>
      </w:r>
      <w:r>
        <w:rPr>
          <w:rFonts w:ascii="Arial" w:cs="Arial" w:eastAsia="Arial" w:hAnsi="Arial"/>
          <w:sz w:val="19"/>
          <w:szCs w:val="19"/>
        </w:rPr>
        <w:t xml:space="preserve">Nextflow, Parabricks (fq2bam, markdup, haplotypecaller), DeepVariant, NGS Pipelines (STAR, BWA-MEM, fastp, GATK, FeatureCounts), Variant Calling (Mutect2, Lancet, HaplotypeCaller, Manta), CNV/Fusion (FACETS, BEDTools, Arriba), Annotation (VEP, SnpEff), Biomarkers (MSI, TMB, HRD, GEP70), Single-Cell (Scanpy, Geneformer), PhyloWGS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Healthcare Data: </w:t>
      </w:r>
      <w:r>
        <w:rPr>
          <w:rFonts w:ascii="Arial" w:cs="Arial" w:eastAsia="Arial" w:hAnsi="Arial"/>
          <w:sz w:val="19"/>
          <w:szCs w:val="19"/>
        </w:rPr>
        <w:t xml:space="preserve">Precision Medicine, Clinical NLP, EHR Integration (EPIC/REDCap), HIPAA, CAP/CLIA Validation, Ontologies (CIViC, ClinVar, RxNorm, HPO, NCIt), PubMed E-utilities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HPC &amp; Cloud: </w:t>
      </w:r>
      <w:r>
        <w:rPr>
          <w:rFonts w:ascii="Arial" w:cs="Arial" w:eastAsia="Arial" w:hAnsi="Arial"/>
          <w:sz w:val="19"/>
          <w:szCs w:val="19"/>
        </w:rPr>
        <w:t xml:space="preserve">NVIDIA H100/A100 Clusters (196-GPU Minerva), Multi-GPU (CUDA, NVLink), LSF/SLURM, Docker/Singularity, AWS (Bedrock, SageMaker, OpenSearch), Azure OpenAI, RAPIDS (cuDF/cuML)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 &amp; Core: </w:t>
      </w:r>
      <w:r>
        <w:rPr>
          <w:rFonts w:ascii="Arial" w:cs="Arial" w:eastAsia="Arial" w:hAnsi="Arial"/>
          <w:sz w:val="19"/>
          <w:szCs w:val="19"/>
        </w:rPr>
        <w:t xml:space="preserve">Python (PyTorch, Transformers, Pandas, scikit-learn, XGBoost), SQL (PostgreSQL, MongoDB), Bash, Git</w:t>
      </w:r>
    </w:p>
    <w:sectPr>
      <w:pgSz w:w="12240" w:h="15840" w:orient="portrait"/>
      <w:pgMar w:top="450" w:right="500" w:bottom="45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4mugwkmj0itxtn3rb-px" Type="http://schemas.openxmlformats.org/officeDocument/2006/relationships/hyperlink" Target="https://www.linkedin.com/in/mujahid-ali-q/" TargetMode="External"/><Relationship Id="rId4r-kozgthi_eh2svdsuzk" Type="http://schemas.openxmlformats.org/officeDocument/2006/relationships/hyperlink" Target="https://scholar.google.com/citations?user=rAAtZi0AAAAJ" TargetMode="External"/><Relationship Id="rId8p2ren-lifgsdn8av2sg8" Type="http://schemas.openxmlformats.org/officeDocument/2006/relationships/hyperlink" Target="https://ali-maq.github.io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2026-01-16T07:53:34.346Z</dcterms:created>
  <dcterms:modified xsi:type="dcterms:W3CDTF">2026-01-16T07:53:34.347Z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