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MobileADAS3D near field progress update</w:t>
      </w:r>
    </w:p>
    <w:p>
      <w:pPr>
        <w:pStyle w:val="Subtitle"/>
      </w:pPr>
      <w:r>
        <w:t>29 October 2026</w:t>
      </w:r>
    </w:p>
    <w:p>
      <w:pPr>
        <w:pStyle w:val="Heading1"/>
      </w:pPr>
      <w:r>
        <w:t>Progress and current decision</w:t>
      </w:r>
    </w:p>
    <w:p>
      <w:r>
        <w:t>We have a trained shared parking model, a complete near-field data census, and a frozen benchmark for measuring the next improvement. We selected the actual-camera adapter at epoch 4 as V0. Its weights will remain unchanged while we measure the new development baseline. No V0 or V1 accuracy score has yet been produced on this new benchmark.</w:t>
      </w:r>
    </w:p>
    <w:p>
      <w:r>
        <w:t>The use case is a camera mounted on a slowly moving vehicle, providing Vehicle and Pedestrian labels and distance estimates for ultrasonic-sensor validation. The critical distance band is 2 to 6 metres. We also retain 0 to 2 metre coverage so the closest range is not forgotten. Projected 3D cuboids are optional.</w:t>
      </w:r>
    </w:p>
    <w:p>
      <w:r>
        <w:t>This update continues the October 28 report. The earlier A2 and A2 Lite experiments remain historical baselines; this work focuses on a shared Urban nano image backbone with a trained depth decoder and camera-aware adapter. We have not replaced the iPhone app with the selected V0 checkpoint.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944"/>
        <w:gridCol w:w="5544"/>
      </w:tblGrid>
      <w:tr>
        <w:trPr>
          <w:tblHeader/>
        </w:trPr>
        <w:tc>
          <w:tcPr>
            <w:tcW w:type="dxa" w:w="3408"/>
            <w:vAlign w:val="center"/>
            <w:tcMar>
              <w:top w:w="90" w:type="dxa"/>
              <w:left w:w="90" w:type="dxa"/>
              <w:bottom w:w="90" w:type="dxa"/>
              <w:right w:w="90" w:type="dxa"/>
            </w:tcMar>
            <w:shd w:fill="E8EEF4"/>
          </w:tcPr>
          <w:p>
            <w:pPr>
              <w:spacing w:after="20" w:before="20"/>
              <w:jc w:val="left"/>
            </w:pPr>
            <w:r>
              <w:rPr>
                <w:b/>
                <w:sz w:val="19"/>
              </w:rPr>
              <w:t>Work item</w:t>
            </w:r>
          </w:p>
        </w:tc>
        <w:tc>
          <w:tcPr>
            <w:tcW w:type="dxa" w:w="3408"/>
            <w:vAlign w:val="center"/>
            <w:tcMar>
              <w:top w:w="90" w:type="dxa"/>
              <w:left w:w="90" w:type="dxa"/>
              <w:bottom w:w="90" w:type="dxa"/>
              <w:right w:w="90" w:type="dxa"/>
            </w:tcMar>
            <w:shd w:fill="E8EEF4"/>
          </w:tcPr>
          <w:p>
            <w:pPr>
              <w:spacing w:after="20" w:before="20"/>
              <w:jc w:val="center"/>
            </w:pPr>
            <w:r>
              <w:rPr>
                <w:b/>
                <w:sz w:val="19"/>
              </w:rPr>
              <w:t>Status</w:t>
            </w:r>
          </w:p>
        </w:tc>
        <w:tc>
          <w:tcPr>
            <w:tcW w:type="dxa" w:w="3408"/>
            <w:vAlign w:val="center"/>
            <w:tcMar>
              <w:top w:w="90" w:type="dxa"/>
              <w:left w:w="90" w:type="dxa"/>
              <w:bottom w:w="90" w:type="dxa"/>
              <w:right w:w="90" w:type="dxa"/>
            </w:tcMar>
            <w:shd w:fill="E8EEF4"/>
          </w:tcPr>
          <w:p>
            <w:pPr>
              <w:spacing w:after="20" w:before="20"/>
              <w:jc w:val="center"/>
            </w:pPr>
            <w:r>
              <w:rPr>
                <w:b/>
                <w:sz w:val="19"/>
              </w:rPr>
              <w:t>Evidence</w:t>
            </w:r>
          </w:p>
        </w:tc>
      </w:tr>
      <w:tr>
        <w:tc>
          <w:tcPr>
            <w:tcW w:type="dxa" w:w="2736"/>
            <w:vAlign w:val="center"/>
            <w:tcMar>
              <w:top w:w="90" w:type="dxa"/>
              <w:left w:w="90" w:type="dxa"/>
              <w:bottom w:w="90" w:type="dxa"/>
              <w:right w:w="90" w:type="dxa"/>
            </w:tcMar>
          </w:tcPr>
          <w:p>
            <w:pPr>
              <w:spacing w:after="20" w:before="20"/>
              <w:jc w:val="left"/>
            </w:pPr>
            <w:r>
              <w:rPr>
                <w:sz w:val="19"/>
              </w:rPr>
              <w:t>Near-range depth training</w:t>
            </w:r>
          </w:p>
        </w:tc>
        <w:tc>
          <w:tcPr>
            <w:tcW w:type="dxa" w:w="1944"/>
            <w:vAlign w:val="center"/>
            <w:tcMar>
              <w:top w:w="90" w:type="dxa"/>
              <w:left w:w="90" w:type="dxa"/>
              <w:bottom w:w="90" w:type="dxa"/>
              <w:right w:w="90" w:type="dxa"/>
            </w:tcMar>
          </w:tcPr>
          <w:p>
            <w:pPr>
              <w:spacing w:after="20" w:before="20"/>
              <w:jc w:val="center"/>
            </w:pPr>
            <w:r>
              <w:rPr>
                <w:sz w:val="19"/>
              </w:rPr>
              <w:t>Completed</w:t>
            </w:r>
          </w:p>
        </w:tc>
        <w:tc>
          <w:tcPr>
            <w:tcW w:type="dxa" w:w="5544"/>
            <w:vAlign w:val="center"/>
            <w:tcMar>
              <w:top w:w="90" w:type="dxa"/>
              <w:left w:w="90" w:type="dxa"/>
              <w:bottom w:w="90" w:type="dxa"/>
              <w:right w:w="90" w:type="dxa"/>
            </w:tcMar>
          </w:tcPr>
          <w:p>
            <w:pPr>
              <w:spacing w:after="20" w:before="20"/>
              <w:jc w:val="center"/>
            </w:pPr>
            <w:r>
              <w:rPr>
                <w:sz w:val="19"/>
              </w:rPr>
              <w:t>Epoch 7 selected from 10 epochs per arm</w:t>
            </w:r>
          </w:p>
        </w:tc>
      </w:tr>
      <w:tr>
        <w:tc>
          <w:tcPr>
            <w:tcW w:type="dxa" w:w="2736"/>
            <w:vAlign w:val="center"/>
            <w:tcMar>
              <w:top w:w="90" w:type="dxa"/>
              <w:left w:w="90" w:type="dxa"/>
              <w:bottom w:w="90" w:type="dxa"/>
              <w:right w:w="90" w:type="dxa"/>
            </w:tcMar>
          </w:tcPr>
          <w:p>
            <w:pPr>
              <w:spacing w:after="20" w:before="20"/>
              <w:jc w:val="left"/>
            </w:pPr>
            <w:r>
              <w:rPr>
                <w:sz w:val="19"/>
              </w:rPr>
              <w:t>Joint camera-aware pilot</w:t>
            </w:r>
          </w:p>
        </w:tc>
        <w:tc>
          <w:tcPr>
            <w:tcW w:type="dxa" w:w="1944"/>
            <w:vAlign w:val="center"/>
            <w:tcMar>
              <w:top w:w="90" w:type="dxa"/>
              <w:left w:w="90" w:type="dxa"/>
              <w:bottom w:w="90" w:type="dxa"/>
              <w:right w:w="90" w:type="dxa"/>
            </w:tcMar>
          </w:tcPr>
          <w:p>
            <w:pPr>
              <w:spacing w:after="20" w:before="20"/>
              <w:jc w:val="center"/>
            </w:pPr>
            <w:r>
              <w:rPr>
                <w:sz w:val="19"/>
              </w:rPr>
              <w:t>Completed</w:t>
            </w:r>
          </w:p>
        </w:tc>
        <w:tc>
          <w:tcPr>
            <w:tcW w:type="dxa" w:w="5544"/>
            <w:vAlign w:val="center"/>
            <w:tcMar>
              <w:top w:w="90" w:type="dxa"/>
              <w:left w:w="90" w:type="dxa"/>
              <w:bottom w:w="90" w:type="dxa"/>
              <w:right w:w="90" w:type="dxa"/>
            </w:tcMar>
          </w:tcPr>
          <w:p>
            <w:pPr>
              <w:spacing w:after="20" w:before="20"/>
              <w:jc w:val="center"/>
            </w:pPr>
            <w:r>
              <w:rPr>
                <w:sz w:val="19"/>
              </w:rPr>
              <w:t>Epoch 0 retained; no selected improvement</w:t>
            </w:r>
          </w:p>
        </w:tc>
      </w:tr>
      <w:tr>
        <w:tc>
          <w:tcPr>
            <w:tcW w:type="dxa" w:w="2736"/>
            <w:vAlign w:val="center"/>
            <w:tcMar>
              <w:top w:w="90" w:type="dxa"/>
              <w:left w:w="90" w:type="dxa"/>
              <w:bottom w:w="90" w:type="dxa"/>
              <w:right w:w="90" w:type="dxa"/>
            </w:tcMar>
          </w:tcPr>
          <w:p>
            <w:pPr>
              <w:spacing w:after="20" w:before="20"/>
              <w:jc w:val="left"/>
            </w:pPr>
            <w:r>
              <w:rPr>
                <w:sz w:val="19"/>
              </w:rPr>
              <w:t>Adapter-only full-pool pilot</w:t>
            </w:r>
          </w:p>
        </w:tc>
        <w:tc>
          <w:tcPr>
            <w:tcW w:type="dxa" w:w="1944"/>
            <w:vAlign w:val="center"/>
            <w:tcMar>
              <w:top w:w="90" w:type="dxa"/>
              <w:left w:w="90" w:type="dxa"/>
              <w:bottom w:w="90" w:type="dxa"/>
              <w:right w:w="90" w:type="dxa"/>
            </w:tcMar>
          </w:tcPr>
          <w:p>
            <w:pPr>
              <w:spacing w:after="20" w:before="20"/>
              <w:jc w:val="center"/>
            </w:pPr>
            <w:r>
              <w:rPr>
                <w:sz w:val="19"/>
              </w:rPr>
              <w:t>Completed</w:t>
            </w:r>
          </w:p>
        </w:tc>
        <w:tc>
          <w:tcPr>
            <w:tcW w:type="dxa" w:w="5544"/>
            <w:vAlign w:val="center"/>
            <w:tcMar>
              <w:top w:w="90" w:type="dxa"/>
              <w:left w:w="90" w:type="dxa"/>
              <w:bottom w:w="90" w:type="dxa"/>
              <w:right w:w="90" w:type="dxa"/>
            </w:tcMar>
          </w:tcPr>
          <w:p>
            <w:pPr>
              <w:spacing w:after="20" w:before="20"/>
              <w:jc w:val="center"/>
            </w:pPr>
            <w:r>
              <w:rPr>
                <w:sz w:val="19"/>
              </w:rPr>
              <w:t>Actual-camera epoch 4 selected</w:t>
            </w:r>
          </w:p>
        </w:tc>
      </w:tr>
      <w:tr>
        <w:tc>
          <w:tcPr>
            <w:tcW w:type="dxa" w:w="2736"/>
            <w:vAlign w:val="center"/>
            <w:tcMar>
              <w:top w:w="90" w:type="dxa"/>
              <w:left w:w="90" w:type="dxa"/>
              <w:bottom w:w="90" w:type="dxa"/>
              <w:right w:w="90" w:type="dxa"/>
            </w:tcMar>
          </w:tcPr>
          <w:p>
            <w:pPr>
              <w:spacing w:after="20" w:before="20"/>
              <w:jc w:val="left"/>
            </w:pPr>
            <w:r>
              <w:rPr>
                <w:sz w:val="19"/>
              </w:rPr>
              <w:t>Full nuScenes coverage census</w:t>
            </w:r>
          </w:p>
        </w:tc>
        <w:tc>
          <w:tcPr>
            <w:tcW w:type="dxa" w:w="1944"/>
            <w:vAlign w:val="center"/>
            <w:tcMar>
              <w:top w:w="90" w:type="dxa"/>
              <w:left w:w="90" w:type="dxa"/>
              <w:bottom w:w="90" w:type="dxa"/>
              <w:right w:w="90" w:type="dxa"/>
            </w:tcMar>
          </w:tcPr>
          <w:p>
            <w:pPr>
              <w:spacing w:after="20" w:before="20"/>
              <w:jc w:val="center"/>
            </w:pPr>
            <w:r>
              <w:rPr>
                <w:sz w:val="19"/>
              </w:rPr>
              <w:t>Completed</w:t>
            </w:r>
          </w:p>
        </w:tc>
        <w:tc>
          <w:tcPr>
            <w:tcW w:type="dxa" w:w="5544"/>
            <w:vAlign w:val="center"/>
            <w:tcMar>
              <w:top w:w="90" w:type="dxa"/>
              <w:left w:w="90" w:type="dxa"/>
              <w:bottom w:w="90" w:type="dxa"/>
              <w:right w:w="90" w:type="dxa"/>
            </w:tcMar>
          </w:tcPr>
          <w:p>
            <w:pPr>
              <w:spacing w:after="20" w:before="20"/>
              <w:jc w:val="center"/>
            </w:pPr>
            <w:r>
              <w:rPr>
                <w:sz w:val="19"/>
              </w:rPr>
              <w:t>34,149 keyframes across 850 scenes</w:t>
            </w:r>
          </w:p>
        </w:tc>
      </w:tr>
      <w:tr>
        <w:tc>
          <w:tcPr>
            <w:tcW w:type="dxa" w:w="2736"/>
            <w:vAlign w:val="center"/>
            <w:tcMar>
              <w:top w:w="90" w:type="dxa"/>
              <w:left w:w="90" w:type="dxa"/>
              <w:bottom w:w="90" w:type="dxa"/>
              <w:right w:w="90" w:type="dxa"/>
            </w:tcMar>
          </w:tcPr>
          <w:p>
            <w:pPr>
              <w:spacing w:after="20" w:before="20"/>
              <w:jc w:val="left"/>
            </w:pPr>
            <w:r>
              <w:rPr>
                <w:sz w:val="19"/>
              </w:rPr>
              <w:t>Frozen V0/V1 benchmark</w:t>
            </w:r>
          </w:p>
        </w:tc>
        <w:tc>
          <w:tcPr>
            <w:tcW w:type="dxa" w:w="1944"/>
            <w:vAlign w:val="center"/>
            <w:tcMar>
              <w:top w:w="90" w:type="dxa"/>
              <w:left w:w="90" w:type="dxa"/>
              <w:bottom w:w="90" w:type="dxa"/>
              <w:right w:w="90" w:type="dxa"/>
            </w:tcMar>
          </w:tcPr>
          <w:p>
            <w:pPr>
              <w:spacing w:after="20" w:before="20"/>
              <w:jc w:val="center"/>
            </w:pPr>
            <w:r>
              <w:rPr>
                <w:sz w:val="19"/>
              </w:rPr>
              <w:t>Prepared</w:t>
            </w:r>
          </w:p>
        </w:tc>
        <w:tc>
          <w:tcPr>
            <w:tcW w:type="dxa" w:w="5544"/>
            <w:vAlign w:val="center"/>
            <w:tcMar>
              <w:top w:w="90" w:type="dxa"/>
              <w:left w:w="90" w:type="dxa"/>
              <w:bottom w:w="90" w:type="dxa"/>
              <w:right w:w="90" w:type="dxa"/>
            </w:tcMar>
          </w:tcPr>
          <w:p>
            <w:pPr>
              <w:spacing w:after="20" w:before="20"/>
              <w:jc w:val="center"/>
            </w:pPr>
            <w:r>
              <w:rPr>
                <w:sz w:val="19"/>
              </w:rPr>
              <w:t>512 dev and 512 held-out images</w:t>
            </w:r>
          </w:p>
        </w:tc>
      </w:tr>
      <w:tr>
        <w:tc>
          <w:tcPr>
            <w:tcW w:type="dxa" w:w="2736"/>
            <w:vAlign w:val="center"/>
            <w:tcMar>
              <w:top w:w="90" w:type="dxa"/>
              <w:left w:w="90" w:type="dxa"/>
              <w:bottom w:w="90" w:type="dxa"/>
              <w:right w:w="90" w:type="dxa"/>
            </w:tcMar>
          </w:tcPr>
          <w:p>
            <w:pPr>
              <w:spacing w:after="20" w:before="20"/>
              <w:jc w:val="left"/>
            </w:pPr>
            <w:r>
              <w:rPr>
                <w:sz w:val="19"/>
              </w:rPr>
              <w:t>V0 score on the new benchmark</w:t>
            </w:r>
          </w:p>
        </w:tc>
        <w:tc>
          <w:tcPr>
            <w:tcW w:type="dxa" w:w="1944"/>
            <w:vAlign w:val="center"/>
            <w:tcMar>
              <w:top w:w="90" w:type="dxa"/>
              <w:left w:w="90" w:type="dxa"/>
              <w:bottom w:w="90" w:type="dxa"/>
              <w:right w:w="90" w:type="dxa"/>
            </w:tcMar>
          </w:tcPr>
          <w:p>
            <w:pPr>
              <w:spacing w:after="20" w:before="20"/>
              <w:jc w:val="center"/>
            </w:pPr>
            <w:r>
              <w:rPr>
                <w:sz w:val="19"/>
              </w:rPr>
              <w:t>Next</w:t>
            </w:r>
          </w:p>
        </w:tc>
        <w:tc>
          <w:tcPr>
            <w:tcW w:type="dxa" w:w="5544"/>
            <w:vAlign w:val="center"/>
            <w:tcMar>
              <w:top w:w="90" w:type="dxa"/>
              <w:left w:w="90" w:type="dxa"/>
              <w:bottom w:w="90" w:type="dxa"/>
              <w:right w:w="90" w:type="dxa"/>
            </w:tcMar>
          </w:tcPr>
          <w:p>
            <w:pPr>
              <w:spacing w:after="20" w:before="20"/>
              <w:jc w:val="center"/>
            </w:pPr>
            <w:r>
              <w:rPr>
                <w:sz w:val="19"/>
              </w:rPr>
              <w:t>No model inference yet</w:t>
            </w:r>
          </w:p>
        </w:tc>
      </w:tr>
    </w:tbl>
    <w:p>
      <w:r>
        <w:br w:type="page"/>
      </w:r>
    </w:p>
    <w:p>
      <w:pPr>
        <w:pStyle w:val="Heading1"/>
      </w:pPr>
      <w:r>
        <w:t>What the model experiments showed</w:t>
      </w:r>
    </w:p>
    <w:p>
      <w:r>
        <w:t>The shared model processes an image once and reuses three feature scales for detection, projected cuboid corners and depth. The detection body and its BatchNorm statistics stay frozen during these depth pilots. The depth decoder was trained using sparse LiDAR ground truth, not a teacher model. A small camera adapter then uses the camera calibration to adjust depth predictions.</w:t>
      </w:r>
    </w:p>
    <w:p>
      <w:r>
        <w:t>The parking-balanced depth recipe reduced the old development error from 2.142 m for its broad-loss control to 0.760 m. Training the camera-aware decoder and adapter together did not improve the selected checkpoint. Training only the 1,553 adapter parameters gave a selected error of 0.716 m, about 5.8% lower than the 0.760 m initialization. The original 57,441 depth parameters and detector stayed frozen.</w:t>
      </w:r>
    </w:p>
    <w:p>
      <w:r>
        <w:t>These numbers use the earlier 256-image development set and an image-macro four-cell metric. They are not the new benchmark score and cannot be directly compared with it. The adapter did not pass every earlier research check: Vehicle at 2 to 4 metres remained worse than a constant 4 metre diagnostic. This is a useful improvement, not deployment qualification.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880"/>
        <w:gridCol w:w="1584"/>
        <w:gridCol w:w="2304"/>
      </w:tblGrid>
      <w:tr>
        <w:trPr>
          <w:tblHeader/>
        </w:trPr>
        <w:tc>
          <w:tcPr>
            <w:tcW w:type="dxa" w:w="2556"/>
            <w:vAlign w:val="center"/>
            <w:tcMar>
              <w:top w:w="90" w:type="dxa"/>
              <w:left w:w="90" w:type="dxa"/>
              <w:bottom w:w="90" w:type="dxa"/>
              <w:right w:w="90" w:type="dxa"/>
            </w:tcMar>
            <w:shd w:fill="E8EEF4"/>
          </w:tcPr>
          <w:p>
            <w:pPr>
              <w:spacing w:after="20" w:before="20"/>
              <w:jc w:val="left"/>
            </w:pPr>
            <w:r>
              <w:rPr>
                <w:b/>
                <w:sz w:val="19"/>
              </w:rPr>
              <w:t>Experiment</w:t>
            </w:r>
          </w:p>
        </w:tc>
        <w:tc>
          <w:tcPr>
            <w:tcW w:type="dxa" w:w="2556"/>
            <w:vAlign w:val="center"/>
            <w:tcMar>
              <w:top w:w="90" w:type="dxa"/>
              <w:left w:w="90" w:type="dxa"/>
              <w:bottom w:w="90" w:type="dxa"/>
              <w:right w:w="90" w:type="dxa"/>
            </w:tcMar>
            <w:shd w:fill="E8EEF4"/>
          </w:tcPr>
          <w:p>
            <w:pPr>
              <w:spacing w:after="20" w:before="20"/>
              <w:jc w:val="center"/>
            </w:pPr>
            <w:r>
              <w:rPr>
                <w:b/>
                <w:sz w:val="19"/>
              </w:rPr>
              <w:t>Budget per arm</w:t>
            </w:r>
          </w:p>
        </w:tc>
        <w:tc>
          <w:tcPr>
            <w:tcW w:type="dxa" w:w="2556"/>
            <w:vAlign w:val="center"/>
            <w:tcMar>
              <w:top w:w="90" w:type="dxa"/>
              <w:left w:w="90" w:type="dxa"/>
              <w:bottom w:w="90" w:type="dxa"/>
              <w:right w:w="90" w:type="dxa"/>
            </w:tcMar>
            <w:shd w:fill="E8EEF4"/>
          </w:tcPr>
          <w:p>
            <w:pPr>
              <w:spacing w:after="20" w:before="20"/>
              <w:jc w:val="center"/>
            </w:pPr>
            <w:r>
              <w:rPr>
                <w:b/>
                <w:sz w:val="19"/>
              </w:rPr>
              <w:t>Selected epoch</w:t>
            </w:r>
          </w:p>
        </w:tc>
        <w:tc>
          <w:tcPr>
            <w:tcW w:type="dxa" w:w="2556"/>
            <w:vAlign w:val="center"/>
            <w:tcMar>
              <w:top w:w="90" w:type="dxa"/>
              <w:left w:w="90" w:type="dxa"/>
              <w:bottom w:w="90" w:type="dxa"/>
              <w:right w:w="90" w:type="dxa"/>
            </w:tcMar>
            <w:shd w:fill="E8EEF4"/>
          </w:tcPr>
          <w:p>
            <w:pPr>
              <w:spacing w:after="20" w:before="20"/>
              <w:jc w:val="center"/>
            </w:pPr>
            <w:r>
              <w:rPr>
                <w:b/>
                <w:sz w:val="19"/>
              </w:rPr>
              <w:t>Old dev MAE</w:t>
            </w:r>
          </w:p>
        </w:tc>
      </w:tr>
      <w:tr>
        <w:tc>
          <w:tcPr>
            <w:tcW w:type="dxa" w:w="3456"/>
            <w:vAlign w:val="center"/>
            <w:tcMar>
              <w:top w:w="90" w:type="dxa"/>
              <w:left w:w="90" w:type="dxa"/>
              <w:bottom w:w="90" w:type="dxa"/>
              <w:right w:w="90" w:type="dxa"/>
            </w:tcMar>
          </w:tcPr>
          <w:p>
            <w:pPr>
              <w:spacing w:after="20" w:before="20"/>
              <w:jc w:val="left"/>
            </w:pPr>
            <w:r>
              <w:rPr>
                <w:sz w:val="19"/>
              </w:rPr>
              <w:t>Broad-loss control</w:t>
            </w:r>
          </w:p>
        </w:tc>
        <w:tc>
          <w:tcPr>
            <w:tcW w:type="dxa" w:w="2880"/>
            <w:vAlign w:val="center"/>
            <w:tcMar>
              <w:top w:w="90" w:type="dxa"/>
              <w:left w:w="90" w:type="dxa"/>
              <w:bottom w:w="90" w:type="dxa"/>
              <w:right w:w="90" w:type="dxa"/>
            </w:tcMar>
          </w:tcPr>
          <w:p>
            <w:pPr>
              <w:spacing w:after="20" w:before="20"/>
              <w:jc w:val="center"/>
            </w:pPr>
            <w:r>
              <w:rPr>
                <w:sz w:val="19"/>
              </w:rPr>
              <w:t>10 epochs / 1,920 updates</w:t>
            </w:r>
          </w:p>
        </w:tc>
        <w:tc>
          <w:tcPr>
            <w:tcW w:type="dxa" w:w="1584"/>
            <w:vAlign w:val="center"/>
            <w:tcMar>
              <w:top w:w="90" w:type="dxa"/>
              <w:left w:w="90" w:type="dxa"/>
              <w:bottom w:w="90" w:type="dxa"/>
              <w:right w:w="90" w:type="dxa"/>
            </w:tcMar>
          </w:tcPr>
          <w:p>
            <w:pPr>
              <w:spacing w:after="20" w:before="20"/>
              <w:jc w:val="center"/>
            </w:pPr>
            <w:r>
              <w:rPr>
                <w:sz w:val="19"/>
              </w:rPr>
              <w:t>4</w:t>
            </w:r>
          </w:p>
        </w:tc>
        <w:tc>
          <w:tcPr>
            <w:tcW w:type="dxa" w:w="2304"/>
            <w:vAlign w:val="center"/>
            <w:tcMar>
              <w:top w:w="90" w:type="dxa"/>
              <w:left w:w="90" w:type="dxa"/>
              <w:bottom w:w="90" w:type="dxa"/>
              <w:right w:w="90" w:type="dxa"/>
            </w:tcMar>
          </w:tcPr>
          <w:p>
            <w:pPr>
              <w:spacing w:after="20" w:before="20"/>
              <w:jc w:val="center"/>
            </w:pPr>
            <w:r>
              <w:rPr>
                <w:sz w:val="19"/>
              </w:rPr>
              <w:t>2.142 m</w:t>
            </w:r>
          </w:p>
        </w:tc>
      </w:tr>
      <w:tr>
        <w:tc>
          <w:tcPr>
            <w:tcW w:type="dxa" w:w="3456"/>
            <w:vAlign w:val="center"/>
            <w:tcMar>
              <w:top w:w="90" w:type="dxa"/>
              <w:left w:w="90" w:type="dxa"/>
              <w:bottom w:w="90" w:type="dxa"/>
              <w:right w:w="90" w:type="dxa"/>
            </w:tcMar>
          </w:tcPr>
          <w:p>
            <w:pPr>
              <w:spacing w:after="20" w:before="20"/>
              <w:jc w:val="left"/>
            </w:pPr>
            <w:r>
              <w:rPr>
                <w:sz w:val="19"/>
              </w:rPr>
              <w:t>Parking-balanced depth</w:t>
            </w:r>
          </w:p>
        </w:tc>
        <w:tc>
          <w:tcPr>
            <w:tcW w:type="dxa" w:w="2880"/>
            <w:vAlign w:val="center"/>
            <w:tcMar>
              <w:top w:w="90" w:type="dxa"/>
              <w:left w:w="90" w:type="dxa"/>
              <w:bottom w:w="90" w:type="dxa"/>
              <w:right w:w="90" w:type="dxa"/>
            </w:tcMar>
          </w:tcPr>
          <w:p>
            <w:pPr>
              <w:spacing w:after="20" w:before="20"/>
              <w:jc w:val="center"/>
            </w:pPr>
            <w:r>
              <w:rPr>
                <w:sz w:val="19"/>
              </w:rPr>
              <w:t>10 epochs / 1,920 updates</w:t>
            </w:r>
          </w:p>
        </w:tc>
        <w:tc>
          <w:tcPr>
            <w:tcW w:type="dxa" w:w="1584"/>
            <w:vAlign w:val="center"/>
            <w:tcMar>
              <w:top w:w="90" w:type="dxa"/>
              <w:left w:w="90" w:type="dxa"/>
              <w:bottom w:w="90" w:type="dxa"/>
              <w:right w:w="90" w:type="dxa"/>
            </w:tcMar>
          </w:tcPr>
          <w:p>
            <w:pPr>
              <w:spacing w:after="20" w:before="20"/>
              <w:jc w:val="center"/>
            </w:pPr>
            <w:r>
              <w:rPr>
                <w:sz w:val="19"/>
              </w:rPr>
              <w:t>7</w:t>
            </w:r>
          </w:p>
        </w:tc>
        <w:tc>
          <w:tcPr>
            <w:tcW w:type="dxa" w:w="2304"/>
            <w:vAlign w:val="center"/>
            <w:tcMar>
              <w:top w:w="90" w:type="dxa"/>
              <w:left w:w="90" w:type="dxa"/>
              <w:bottom w:w="90" w:type="dxa"/>
              <w:right w:w="90" w:type="dxa"/>
            </w:tcMar>
          </w:tcPr>
          <w:p>
            <w:pPr>
              <w:spacing w:after="20" w:before="20"/>
              <w:jc w:val="center"/>
            </w:pPr>
            <w:r>
              <w:rPr>
                <w:sz w:val="19"/>
              </w:rPr>
              <w:t>0.760 m</w:t>
            </w:r>
          </w:p>
        </w:tc>
      </w:tr>
      <w:tr>
        <w:tc>
          <w:tcPr>
            <w:tcW w:type="dxa" w:w="3456"/>
            <w:vAlign w:val="center"/>
            <w:tcMar>
              <w:top w:w="90" w:type="dxa"/>
              <w:left w:w="90" w:type="dxa"/>
              <w:bottom w:w="90" w:type="dxa"/>
              <w:right w:w="90" w:type="dxa"/>
            </w:tcMar>
          </w:tcPr>
          <w:p>
            <w:pPr>
              <w:spacing w:after="20" w:before="20"/>
              <w:jc w:val="left"/>
            </w:pPr>
            <w:r>
              <w:rPr>
                <w:sz w:val="19"/>
              </w:rPr>
              <w:t>Joint camera pilot</w:t>
            </w:r>
          </w:p>
        </w:tc>
        <w:tc>
          <w:tcPr>
            <w:tcW w:type="dxa" w:w="2880"/>
            <w:vAlign w:val="center"/>
            <w:tcMar>
              <w:top w:w="90" w:type="dxa"/>
              <w:left w:w="90" w:type="dxa"/>
              <w:bottom w:w="90" w:type="dxa"/>
              <w:right w:w="90" w:type="dxa"/>
            </w:tcMar>
          </w:tcPr>
          <w:p>
            <w:pPr>
              <w:spacing w:after="20" w:before="20"/>
              <w:jc w:val="center"/>
            </w:pPr>
            <w:r>
              <w:rPr>
                <w:sz w:val="19"/>
              </w:rPr>
              <w:t>5 epochs / 960 updates</w:t>
            </w:r>
          </w:p>
        </w:tc>
        <w:tc>
          <w:tcPr>
            <w:tcW w:type="dxa" w:w="1584"/>
            <w:vAlign w:val="center"/>
            <w:tcMar>
              <w:top w:w="90" w:type="dxa"/>
              <w:left w:w="90" w:type="dxa"/>
              <w:bottom w:w="90" w:type="dxa"/>
              <w:right w:w="90" w:type="dxa"/>
            </w:tcMar>
          </w:tcPr>
          <w:p>
            <w:pPr>
              <w:spacing w:after="20" w:before="20"/>
              <w:jc w:val="center"/>
            </w:pPr>
            <w:r>
              <w:rPr>
                <w:sz w:val="19"/>
              </w:rPr>
              <w:t>0</w:t>
            </w:r>
          </w:p>
        </w:tc>
        <w:tc>
          <w:tcPr>
            <w:tcW w:type="dxa" w:w="2304"/>
            <w:vAlign w:val="center"/>
            <w:tcMar>
              <w:top w:w="90" w:type="dxa"/>
              <w:left w:w="90" w:type="dxa"/>
              <w:bottom w:w="90" w:type="dxa"/>
              <w:right w:w="90" w:type="dxa"/>
            </w:tcMar>
          </w:tcPr>
          <w:p>
            <w:pPr>
              <w:spacing w:after="20" w:before="20"/>
              <w:jc w:val="center"/>
            </w:pPr>
            <w:r>
              <w:rPr>
                <w:sz w:val="19"/>
              </w:rPr>
              <w:t>0.760 m</w:t>
            </w:r>
          </w:p>
        </w:tc>
      </w:tr>
      <w:tr>
        <w:tc>
          <w:tcPr>
            <w:tcW w:type="dxa" w:w="3456"/>
            <w:vAlign w:val="center"/>
            <w:tcMar>
              <w:top w:w="90" w:type="dxa"/>
              <w:left w:w="90" w:type="dxa"/>
              <w:bottom w:w="90" w:type="dxa"/>
              <w:right w:w="90" w:type="dxa"/>
            </w:tcMar>
          </w:tcPr>
          <w:p>
            <w:pPr>
              <w:spacing w:after="20" w:before="20"/>
              <w:jc w:val="left"/>
            </w:pPr>
            <w:r>
              <w:rPr>
                <w:sz w:val="19"/>
              </w:rPr>
              <w:t>Adapter fixed-camera control</w:t>
            </w:r>
          </w:p>
        </w:tc>
        <w:tc>
          <w:tcPr>
            <w:tcW w:type="dxa" w:w="2880"/>
            <w:vAlign w:val="center"/>
            <w:tcMar>
              <w:top w:w="90" w:type="dxa"/>
              <w:left w:w="90" w:type="dxa"/>
              <w:bottom w:w="90" w:type="dxa"/>
              <w:right w:w="90" w:type="dxa"/>
            </w:tcMar>
          </w:tcPr>
          <w:p>
            <w:pPr>
              <w:spacing w:after="20" w:before="20"/>
              <w:jc w:val="center"/>
            </w:pPr>
            <w:r>
              <w:rPr>
                <w:sz w:val="19"/>
              </w:rPr>
              <w:t>5 epochs / 1,920 updates</w:t>
            </w:r>
          </w:p>
        </w:tc>
        <w:tc>
          <w:tcPr>
            <w:tcW w:type="dxa" w:w="1584"/>
            <w:vAlign w:val="center"/>
            <w:tcMar>
              <w:top w:w="90" w:type="dxa"/>
              <w:left w:w="90" w:type="dxa"/>
              <w:bottom w:w="90" w:type="dxa"/>
              <w:right w:w="90" w:type="dxa"/>
            </w:tcMar>
          </w:tcPr>
          <w:p>
            <w:pPr>
              <w:spacing w:after="20" w:before="20"/>
              <w:jc w:val="center"/>
            </w:pPr>
            <w:r>
              <w:rPr>
                <w:sz w:val="19"/>
              </w:rPr>
              <w:t>3</w:t>
            </w:r>
          </w:p>
        </w:tc>
        <w:tc>
          <w:tcPr>
            <w:tcW w:type="dxa" w:w="2304"/>
            <w:vAlign w:val="center"/>
            <w:tcMar>
              <w:top w:w="90" w:type="dxa"/>
              <w:left w:w="90" w:type="dxa"/>
              <w:bottom w:w="90" w:type="dxa"/>
              <w:right w:w="90" w:type="dxa"/>
            </w:tcMar>
          </w:tcPr>
          <w:p>
            <w:pPr>
              <w:spacing w:after="20" w:before="20"/>
              <w:jc w:val="center"/>
            </w:pPr>
            <w:r>
              <w:rPr>
                <w:sz w:val="19"/>
              </w:rPr>
              <w:t>0.759 m</w:t>
            </w:r>
          </w:p>
        </w:tc>
      </w:tr>
      <w:tr>
        <w:tc>
          <w:tcPr>
            <w:tcW w:type="dxa" w:w="3456"/>
            <w:vAlign w:val="center"/>
            <w:tcMar>
              <w:top w:w="90" w:type="dxa"/>
              <w:left w:w="90" w:type="dxa"/>
              <w:bottom w:w="90" w:type="dxa"/>
              <w:right w:w="90" w:type="dxa"/>
            </w:tcMar>
          </w:tcPr>
          <w:p>
            <w:pPr>
              <w:spacing w:after="20" w:before="20"/>
              <w:jc w:val="left"/>
            </w:pPr>
            <w:r>
              <w:rPr>
                <w:sz w:val="19"/>
              </w:rPr>
              <w:t>Adapter actual camera  V0</w:t>
            </w:r>
          </w:p>
        </w:tc>
        <w:tc>
          <w:tcPr>
            <w:tcW w:type="dxa" w:w="2880"/>
            <w:vAlign w:val="center"/>
            <w:tcMar>
              <w:top w:w="90" w:type="dxa"/>
              <w:left w:w="90" w:type="dxa"/>
              <w:bottom w:w="90" w:type="dxa"/>
              <w:right w:w="90" w:type="dxa"/>
            </w:tcMar>
          </w:tcPr>
          <w:p>
            <w:pPr>
              <w:spacing w:after="20" w:before="20"/>
              <w:jc w:val="center"/>
            </w:pPr>
            <w:r>
              <w:rPr>
                <w:sz w:val="19"/>
              </w:rPr>
              <w:t>5 epochs / 1,920 updates</w:t>
            </w:r>
          </w:p>
        </w:tc>
        <w:tc>
          <w:tcPr>
            <w:tcW w:type="dxa" w:w="1584"/>
            <w:vAlign w:val="center"/>
            <w:tcMar>
              <w:top w:w="90" w:type="dxa"/>
              <w:left w:w="90" w:type="dxa"/>
              <w:bottom w:w="90" w:type="dxa"/>
              <w:right w:w="90" w:type="dxa"/>
            </w:tcMar>
          </w:tcPr>
          <w:p>
            <w:pPr>
              <w:spacing w:after="20" w:before="20"/>
              <w:jc w:val="center"/>
            </w:pPr>
            <w:r>
              <w:rPr>
                <w:sz w:val="19"/>
              </w:rPr>
              <w:t>4</w:t>
            </w:r>
          </w:p>
        </w:tc>
        <w:tc>
          <w:tcPr>
            <w:tcW w:type="dxa" w:w="2304"/>
            <w:vAlign w:val="center"/>
            <w:tcMar>
              <w:top w:w="90" w:type="dxa"/>
              <w:left w:w="90" w:type="dxa"/>
              <w:bottom w:w="90" w:type="dxa"/>
              <w:right w:w="90" w:type="dxa"/>
            </w:tcMar>
          </w:tcPr>
          <w:p>
            <w:pPr>
              <w:spacing w:after="20" w:before="20"/>
              <w:jc w:val="center"/>
            </w:pPr>
            <w:r>
              <w:rPr>
                <w:sz w:val="19"/>
              </w:rPr>
              <w:t>0.716 m</w:t>
            </w:r>
          </w:p>
        </w:tc>
      </w:tr>
    </w:tbl>
    <w:p>
      <w:r>
        <w:br w:type="page"/>
      </w:r>
    </w:p>
    <w:p>
      <w:pPr>
        <w:pStyle w:val="Heading1"/>
      </w:pPr>
      <w:r>
        <w:t>What data we now have</w:t>
      </w:r>
    </w:p>
    <w:p>
      <w:r>
        <w:t>We acquired the nuScenes v1.0 trainval metadata, LiDAR semantic labels and all ten keyframe-only sensor parts in Google Drive. The 12 compressed archives total 45.53 GB. The complete census checked 204,894 image headers and projected 204,889 camera views. Five views were excluded because the camera and LiDAR timestamps differed by more than 50 milliseconds.</w:t>
      </w:r>
    </w:p>
    <w:p>
      <w:r>
        <w:t>Training, development and evaluation roles are kept apart by recording log. The assigned pools contain 477 training scenes, 150 development scenes and 113 evaluation scenes. Another 110 scenes from Mini recording logs are excluded. Three previously inspected evaluation logs are excluded from the new final benchmark, leaving 98 scenes in 11 uninspected logs. These are our frozen custom roles, not a claim to the standard official nuScenes benchmark split.</w:t>
      </w:r>
    </w:p>
    <w:p>
      <w:r>
        <w:t>Counts below are object observations at individual keyframes, supported by at least five conservative object-owned LiDAR points in a camera and range band. A moving sequence can contain many observations of the same tracked object. Unique tracks show the number of distinct annotated instances. Extended objects can occupy several bands, so rows must not be added together.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160"/>
        <w:gridCol w:w="1728"/>
        <w:gridCol w:w="2592"/>
        <w:gridCol w:w="2160"/>
      </w:tblGrid>
      <w:tr>
        <w:trPr>
          <w:tblHeader/>
        </w:trPr>
        <w:tc>
          <w:tcPr>
            <w:tcW w:type="dxa" w:w="2045"/>
            <w:vAlign w:val="center"/>
            <w:tcMar>
              <w:top w:w="90" w:type="dxa"/>
              <w:left w:w="90" w:type="dxa"/>
              <w:bottom w:w="90" w:type="dxa"/>
              <w:right w:w="90" w:type="dxa"/>
            </w:tcMar>
            <w:shd w:fill="E8EEF4"/>
          </w:tcPr>
          <w:p>
            <w:pPr>
              <w:spacing w:after="20" w:before="20"/>
              <w:jc w:val="left"/>
            </w:pPr>
            <w:r>
              <w:rPr>
                <w:b/>
                <w:sz w:val="19"/>
              </w:rPr>
              <w:t>Training band</w:t>
            </w:r>
          </w:p>
        </w:tc>
        <w:tc>
          <w:tcPr>
            <w:tcW w:type="dxa" w:w="2045"/>
            <w:vAlign w:val="center"/>
            <w:tcMar>
              <w:top w:w="90" w:type="dxa"/>
              <w:left w:w="90" w:type="dxa"/>
              <w:bottom w:w="90" w:type="dxa"/>
              <w:right w:w="90" w:type="dxa"/>
            </w:tcMar>
            <w:shd w:fill="E8EEF4"/>
          </w:tcPr>
          <w:p>
            <w:pPr>
              <w:spacing w:after="20" w:before="20"/>
              <w:jc w:val="center"/>
            </w:pPr>
            <w:r>
              <w:rPr>
                <w:b/>
                <w:sz w:val="19"/>
              </w:rPr>
              <w:t>Vehicle observations</w:t>
            </w:r>
          </w:p>
        </w:tc>
        <w:tc>
          <w:tcPr>
            <w:tcW w:type="dxa" w:w="2045"/>
            <w:vAlign w:val="center"/>
            <w:tcMar>
              <w:top w:w="90" w:type="dxa"/>
              <w:left w:w="90" w:type="dxa"/>
              <w:bottom w:w="90" w:type="dxa"/>
              <w:right w:w="90" w:type="dxa"/>
            </w:tcMar>
            <w:shd w:fill="E8EEF4"/>
          </w:tcPr>
          <w:p>
            <w:pPr>
              <w:spacing w:after="20" w:before="20"/>
              <w:jc w:val="center"/>
            </w:pPr>
            <w:r>
              <w:rPr>
                <w:b/>
                <w:sz w:val="19"/>
              </w:rPr>
              <w:t>Vehicle tracks</w:t>
            </w:r>
          </w:p>
        </w:tc>
        <w:tc>
          <w:tcPr>
            <w:tcW w:type="dxa" w:w="2045"/>
            <w:vAlign w:val="center"/>
            <w:tcMar>
              <w:top w:w="90" w:type="dxa"/>
              <w:left w:w="90" w:type="dxa"/>
              <w:bottom w:w="90" w:type="dxa"/>
              <w:right w:w="90" w:type="dxa"/>
            </w:tcMar>
            <w:shd w:fill="E8EEF4"/>
          </w:tcPr>
          <w:p>
            <w:pPr>
              <w:spacing w:after="20" w:before="20"/>
              <w:jc w:val="center"/>
            </w:pPr>
            <w:r>
              <w:rPr>
                <w:b/>
                <w:sz w:val="19"/>
              </w:rPr>
              <w:t>Pedestrian observations</w:t>
            </w:r>
          </w:p>
        </w:tc>
        <w:tc>
          <w:tcPr>
            <w:tcW w:type="dxa" w:w="2045"/>
            <w:vAlign w:val="center"/>
            <w:tcMar>
              <w:top w:w="90" w:type="dxa"/>
              <w:left w:w="90" w:type="dxa"/>
              <w:bottom w:w="90" w:type="dxa"/>
              <w:right w:w="90" w:type="dxa"/>
            </w:tcMar>
            <w:shd w:fill="E8EEF4"/>
          </w:tcPr>
          <w:p>
            <w:pPr>
              <w:spacing w:after="20" w:before="20"/>
              <w:jc w:val="center"/>
            </w:pPr>
            <w:r>
              <w:rPr>
                <w:b/>
                <w:sz w:val="19"/>
              </w:rPr>
              <w:t>Pedestrian tracks</w:t>
            </w:r>
          </w:p>
        </w:tc>
      </w:tr>
      <w:tr>
        <w:tc>
          <w:tcPr>
            <w:tcW w:type="dxa" w:w="1584"/>
            <w:vAlign w:val="center"/>
            <w:tcMar>
              <w:top w:w="90" w:type="dxa"/>
              <w:left w:w="90" w:type="dxa"/>
              <w:bottom w:w="90" w:type="dxa"/>
              <w:right w:w="90" w:type="dxa"/>
            </w:tcMar>
          </w:tcPr>
          <w:p>
            <w:pPr>
              <w:spacing w:after="20" w:before="20"/>
              <w:jc w:val="left"/>
            </w:pPr>
            <w:r>
              <w:rPr>
                <w:sz w:val="19"/>
              </w:rPr>
              <w:t>0 to 1 m</w:t>
            </w:r>
          </w:p>
        </w:tc>
        <w:tc>
          <w:tcPr>
            <w:tcW w:type="dxa" w:w="2160"/>
            <w:vAlign w:val="center"/>
            <w:tcMar>
              <w:top w:w="90" w:type="dxa"/>
              <w:left w:w="90" w:type="dxa"/>
              <w:bottom w:w="90" w:type="dxa"/>
              <w:right w:w="90" w:type="dxa"/>
            </w:tcMar>
          </w:tcPr>
          <w:p>
            <w:pPr>
              <w:spacing w:after="20" w:before="20"/>
              <w:jc w:val="center"/>
            </w:pPr>
            <w:r>
              <w:rPr>
                <w:sz w:val="19"/>
              </w:rPr>
              <w:t>1</w:t>
            </w:r>
          </w:p>
        </w:tc>
        <w:tc>
          <w:tcPr>
            <w:tcW w:type="dxa" w:w="1728"/>
            <w:vAlign w:val="center"/>
            <w:tcMar>
              <w:top w:w="90" w:type="dxa"/>
              <w:left w:w="90" w:type="dxa"/>
              <w:bottom w:w="90" w:type="dxa"/>
              <w:right w:w="90" w:type="dxa"/>
            </w:tcMar>
          </w:tcPr>
          <w:p>
            <w:pPr>
              <w:spacing w:after="20" w:before="20"/>
              <w:jc w:val="center"/>
            </w:pPr>
            <w:r>
              <w:rPr>
                <w:sz w:val="19"/>
              </w:rPr>
              <w:t>1</w:t>
            </w:r>
          </w:p>
        </w:tc>
        <w:tc>
          <w:tcPr>
            <w:tcW w:type="dxa" w:w="2592"/>
            <w:vAlign w:val="center"/>
            <w:tcMar>
              <w:top w:w="90" w:type="dxa"/>
              <w:left w:w="90" w:type="dxa"/>
              <w:bottom w:w="90" w:type="dxa"/>
              <w:right w:w="90" w:type="dxa"/>
            </w:tcMar>
          </w:tcPr>
          <w:p>
            <w:pPr>
              <w:spacing w:after="20" w:before="20"/>
              <w:jc w:val="center"/>
            </w:pPr>
            <w:r>
              <w:rPr>
                <w:sz w:val="19"/>
              </w:rPr>
              <w:t>24</w:t>
            </w:r>
          </w:p>
        </w:tc>
        <w:tc>
          <w:tcPr>
            <w:tcW w:type="dxa" w:w="2160"/>
            <w:vAlign w:val="center"/>
            <w:tcMar>
              <w:top w:w="90" w:type="dxa"/>
              <w:left w:w="90" w:type="dxa"/>
              <w:bottom w:w="90" w:type="dxa"/>
              <w:right w:w="90" w:type="dxa"/>
            </w:tcMar>
          </w:tcPr>
          <w:p>
            <w:pPr>
              <w:spacing w:after="20" w:before="20"/>
              <w:jc w:val="center"/>
            </w:pPr>
            <w:r>
              <w:rPr>
                <w:sz w:val="19"/>
              </w:rPr>
              <w:t>5</w:t>
            </w:r>
          </w:p>
        </w:tc>
      </w:tr>
      <w:tr>
        <w:tc>
          <w:tcPr>
            <w:tcW w:type="dxa" w:w="1584"/>
            <w:vAlign w:val="center"/>
            <w:tcMar>
              <w:top w:w="90" w:type="dxa"/>
              <w:left w:w="90" w:type="dxa"/>
              <w:bottom w:w="90" w:type="dxa"/>
              <w:right w:w="90" w:type="dxa"/>
            </w:tcMar>
          </w:tcPr>
          <w:p>
            <w:pPr>
              <w:spacing w:after="20" w:before="20"/>
              <w:jc w:val="left"/>
            </w:pPr>
            <w:r>
              <w:rPr>
                <w:sz w:val="19"/>
              </w:rPr>
              <w:t>0 to 2 m</w:t>
            </w:r>
          </w:p>
        </w:tc>
        <w:tc>
          <w:tcPr>
            <w:tcW w:type="dxa" w:w="2160"/>
            <w:vAlign w:val="center"/>
            <w:tcMar>
              <w:top w:w="90" w:type="dxa"/>
              <w:left w:w="90" w:type="dxa"/>
              <w:bottom w:w="90" w:type="dxa"/>
              <w:right w:w="90" w:type="dxa"/>
            </w:tcMar>
          </w:tcPr>
          <w:p>
            <w:pPr>
              <w:spacing w:after="20" w:before="20"/>
              <w:jc w:val="center"/>
            </w:pPr>
            <w:r>
              <w:rPr>
                <w:sz w:val="19"/>
              </w:rPr>
              <w:t>2,290</w:t>
            </w:r>
          </w:p>
        </w:tc>
        <w:tc>
          <w:tcPr>
            <w:tcW w:type="dxa" w:w="1728"/>
            <w:vAlign w:val="center"/>
            <w:tcMar>
              <w:top w:w="90" w:type="dxa"/>
              <w:left w:w="90" w:type="dxa"/>
              <w:bottom w:w="90" w:type="dxa"/>
              <w:right w:w="90" w:type="dxa"/>
            </w:tcMar>
          </w:tcPr>
          <w:p>
            <w:pPr>
              <w:spacing w:after="20" w:before="20"/>
              <w:jc w:val="center"/>
            </w:pPr>
            <w:r>
              <w:rPr>
                <w:sz w:val="19"/>
              </w:rPr>
              <w:t>578</w:t>
            </w:r>
          </w:p>
        </w:tc>
        <w:tc>
          <w:tcPr>
            <w:tcW w:type="dxa" w:w="2592"/>
            <w:vAlign w:val="center"/>
            <w:tcMar>
              <w:top w:w="90" w:type="dxa"/>
              <w:left w:w="90" w:type="dxa"/>
              <w:bottom w:w="90" w:type="dxa"/>
              <w:right w:w="90" w:type="dxa"/>
            </w:tcMar>
          </w:tcPr>
          <w:p>
            <w:pPr>
              <w:spacing w:after="20" w:before="20"/>
              <w:jc w:val="center"/>
            </w:pPr>
            <w:r>
              <w:rPr>
                <w:sz w:val="19"/>
              </w:rPr>
              <w:t>110</w:t>
            </w:r>
          </w:p>
        </w:tc>
        <w:tc>
          <w:tcPr>
            <w:tcW w:type="dxa" w:w="2160"/>
            <w:vAlign w:val="center"/>
            <w:tcMar>
              <w:top w:w="90" w:type="dxa"/>
              <w:left w:w="90" w:type="dxa"/>
              <w:bottom w:w="90" w:type="dxa"/>
              <w:right w:w="90" w:type="dxa"/>
            </w:tcMar>
          </w:tcPr>
          <w:p>
            <w:pPr>
              <w:spacing w:after="20" w:before="20"/>
              <w:jc w:val="center"/>
            </w:pPr>
            <w:r>
              <w:rPr>
                <w:sz w:val="19"/>
              </w:rPr>
              <w:t>43</w:t>
            </w:r>
          </w:p>
        </w:tc>
      </w:tr>
      <w:tr>
        <w:tc>
          <w:tcPr>
            <w:tcW w:type="dxa" w:w="1584"/>
            <w:vAlign w:val="center"/>
            <w:tcMar>
              <w:top w:w="90" w:type="dxa"/>
              <w:left w:w="90" w:type="dxa"/>
              <w:bottom w:w="90" w:type="dxa"/>
              <w:right w:w="90" w:type="dxa"/>
            </w:tcMar>
          </w:tcPr>
          <w:p>
            <w:pPr>
              <w:spacing w:after="20" w:before="20"/>
              <w:jc w:val="left"/>
            </w:pPr>
            <w:r>
              <w:rPr>
                <w:sz w:val="19"/>
              </w:rPr>
              <w:t>2 to 4 m</w:t>
            </w:r>
          </w:p>
        </w:tc>
        <w:tc>
          <w:tcPr>
            <w:tcW w:type="dxa" w:w="2160"/>
            <w:vAlign w:val="center"/>
            <w:tcMar>
              <w:top w:w="90" w:type="dxa"/>
              <w:left w:w="90" w:type="dxa"/>
              <w:bottom w:w="90" w:type="dxa"/>
              <w:right w:w="90" w:type="dxa"/>
            </w:tcMar>
          </w:tcPr>
          <w:p>
            <w:pPr>
              <w:spacing w:after="20" w:before="20"/>
              <w:jc w:val="center"/>
            </w:pPr>
            <w:r>
              <w:rPr>
                <w:sz w:val="19"/>
              </w:rPr>
              <w:t>10,930</w:t>
            </w:r>
          </w:p>
        </w:tc>
        <w:tc>
          <w:tcPr>
            <w:tcW w:type="dxa" w:w="1728"/>
            <w:vAlign w:val="center"/>
            <w:tcMar>
              <w:top w:w="90" w:type="dxa"/>
              <w:left w:w="90" w:type="dxa"/>
              <w:bottom w:w="90" w:type="dxa"/>
              <w:right w:w="90" w:type="dxa"/>
            </w:tcMar>
          </w:tcPr>
          <w:p>
            <w:pPr>
              <w:spacing w:after="20" w:before="20"/>
              <w:jc w:val="center"/>
            </w:pPr>
            <w:r>
              <w:rPr>
                <w:sz w:val="19"/>
              </w:rPr>
              <w:t>2,043</w:t>
            </w:r>
          </w:p>
        </w:tc>
        <w:tc>
          <w:tcPr>
            <w:tcW w:type="dxa" w:w="2592"/>
            <w:vAlign w:val="center"/>
            <w:tcMar>
              <w:top w:w="90" w:type="dxa"/>
              <w:left w:w="90" w:type="dxa"/>
              <w:bottom w:w="90" w:type="dxa"/>
              <w:right w:w="90" w:type="dxa"/>
            </w:tcMar>
          </w:tcPr>
          <w:p>
            <w:pPr>
              <w:spacing w:after="20" w:before="20"/>
              <w:jc w:val="center"/>
            </w:pPr>
            <w:r>
              <w:rPr>
                <w:sz w:val="19"/>
              </w:rPr>
              <w:t>1,049</w:t>
            </w:r>
          </w:p>
        </w:tc>
        <w:tc>
          <w:tcPr>
            <w:tcW w:type="dxa" w:w="2160"/>
            <w:vAlign w:val="center"/>
            <w:tcMar>
              <w:top w:w="90" w:type="dxa"/>
              <w:left w:w="90" w:type="dxa"/>
              <w:bottom w:w="90" w:type="dxa"/>
              <w:right w:w="90" w:type="dxa"/>
            </w:tcMar>
          </w:tcPr>
          <w:p>
            <w:pPr>
              <w:spacing w:after="20" w:before="20"/>
              <w:jc w:val="center"/>
            </w:pPr>
            <w:r>
              <w:rPr>
                <w:sz w:val="19"/>
              </w:rPr>
              <w:t>347</w:t>
            </w:r>
          </w:p>
        </w:tc>
      </w:tr>
      <w:tr>
        <w:tc>
          <w:tcPr>
            <w:tcW w:type="dxa" w:w="1584"/>
            <w:vAlign w:val="center"/>
            <w:tcMar>
              <w:top w:w="90" w:type="dxa"/>
              <w:left w:w="90" w:type="dxa"/>
              <w:bottom w:w="90" w:type="dxa"/>
              <w:right w:w="90" w:type="dxa"/>
            </w:tcMar>
          </w:tcPr>
          <w:p>
            <w:pPr>
              <w:spacing w:after="20" w:before="20"/>
              <w:jc w:val="left"/>
            </w:pPr>
            <w:r>
              <w:rPr>
                <w:sz w:val="19"/>
              </w:rPr>
              <w:t>4 to 6 m</w:t>
            </w:r>
          </w:p>
        </w:tc>
        <w:tc>
          <w:tcPr>
            <w:tcW w:type="dxa" w:w="2160"/>
            <w:vAlign w:val="center"/>
            <w:tcMar>
              <w:top w:w="90" w:type="dxa"/>
              <w:left w:w="90" w:type="dxa"/>
              <w:bottom w:w="90" w:type="dxa"/>
              <w:right w:w="90" w:type="dxa"/>
            </w:tcMar>
          </w:tcPr>
          <w:p>
            <w:pPr>
              <w:spacing w:after="20" w:before="20"/>
              <w:jc w:val="center"/>
            </w:pPr>
            <w:r>
              <w:rPr>
                <w:sz w:val="19"/>
              </w:rPr>
              <w:t>19,186</w:t>
            </w:r>
          </w:p>
        </w:tc>
        <w:tc>
          <w:tcPr>
            <w:tcW w:type="dxa" w:w="1728"/>
            <w:vAlign w:val="center"/>
            <w:tcMar>
              <w:top w:w="90" w:type="dxa"/>
              <w:left w:w="90" w:type="dxa"/>
              <w:bottom w:w="90" w:type="dxa"/>
              <w:right w:w="90" w:type="dxa"/>
            </w:tcMar>
          </w:tcPr>
          <w:p>
            <w:pPr>
              <w:spacing w:after="20" w:before="20"/>
              <w:jc w:val="center"/>
            </w:pPr>
            <w:r>
              <w:rPr>
                <w:sz w:val="19"/>
              </w:rPr>
              <w:t>3,142</w:t>
            </w:r>
          </w:p>
        </w:tc>
        <w:tc>
          <w:tcPr>
            <w:tcW w:type="dxa" w:w="2592"/>
            <w:vAlign w:val="center"/>
            <w:tcMar>
              <w:top w:w="90" w:type="dxa"/>
              <w:left w:w="90" w:type="dxa"/>
              <w:bottom w:w="90" w:type="dxa"/>
              <w:right w:w="90" w:type="dxa"/>
            </w:tcMar>
          </w:tcPr>
          <w:p>
            <w:pPr>
              <w:spacing w:after="20" w:before="20"/>
              <w:jc w:val="center"/>
            </w:pPr>
            <w:r>
              <w:rPr>
                <w:sz w:val="19"/>
              </w:rPr>
              <w:t>2,742</w:t>
            </w:r>
          </w:p>
        </w:tc>
        <w:tc>
          <w:tcPr>
            <w:tcW w:type="dxa" w:w="2160"/>
            <w:vAlign w:val="center"/>
            <w:tcMar>
              <w:top w:w="90" w:type="dxa"/>
              <w:left w:w="90" w:type="dxa"/>
              <w:bottom w:w="90" w:type="dxa"/>
              <w:right w:w="90" w:type="dxa"/>
            </w:tcMar>
          </w:tcPr>
          <w:p>
            <w:pPr>
              <w:spacing w:after="20" w:before="20"/>
              <w:jc w:val="center"/>
            </w:pPr>
            <w:r>
              <w:rPr>
                <w:sz w:val="19"/>
              </w:rPr>
              <w:t>843</w:t>
            </w:r>
          </w:p>
        </w:tc>
      </w:tr>
      <w:tr>
        <w:tc>
          <w:tcPr>
            <w:tcW w:type="dxa" w:w="1584"/>
            <w:vAlign w:val="center"/>
            <w:tcMar>
              <w:top w:w="90" w:type="dxa"/>
              <w:left w:w="90" w:type="dxa"/>
              <w:bottom w:w="90" w:type="dxa"/>
              <w:right w:w="90" w:type="dxa"/>
            </w:tcMar>
          </w:tcPr>
          <w:p>
            <w:pPr>
              <w:spacing w:after="20" w:before="20"/>
              <w:jc w:val="left"/>
            </w:pPr>
            <w:r>
              <w:rPr>
                <w:sz w:val="19"/>
              </w:rPr>
              <w:t>0 to 6 m</w:t>
            </w:r>
          </w:p>
        </w:tc>
        <w:tc>
          <w:tcPr>
            <w:tcW w:type="dxa" w:w="2160"/>
            <w:vAlign w:val="center"/>
            <w:tcMar>
              <w:top w:w="90" w:type="dxa"/>
              <w:left w:w="90" w:type="dxa"/>
              <w:bottom w:w="90" w:type="dxa"/>
              <w:right w:w="90" w:type="dxa"/>
            </w:tcMar>
          </w:tcPr>
          <w:p>
            <w:pPr>
              <w:spacing w:after="20" w:before="20"/>
              <w:jc w:val="center"/>
            </w:pPr>
            <w:r>
              <w:rPr>
                <w:sz w:val="19"/>
              </w:rPr>
              <w:t>20,366</w:t>
            </w:r>
          </w:p>
        </w:tc>
        <w:tc>
          <w:tcPr>
            <w:tcW w:type="dxa" w:w="1728"/>
            <w:vAlign w:val="center"/>
            <w:tcMar>
              <w:top w:w="90" w:type="dxa"/>
              <w:left w:w="90" w:type="dxa"/>
              <w:bottom w:w="90" w:type="dxa"/>
              <w:right w:w="90" w:type="dxa"/>
            </w:tcMar>
          </w:tcPr>
          <w:p>
            <w:pPr>
              <w:spacing w:after="20" w:before="20"/>
              <w:jc w:val="center"/>
            </w:pPr>
            <w:r>
              <w:rPr>
                <w:sz w:val="19"/>
              </w:rPr>
              <w:t>3,154</w:t>
            </w:r>
          </w:p>
        </w:tc>
        <w:tc>
          <w:tcPr>
            <w:tcW w:type="dxa" w:w="2592"/>
            <w:vAlign w:val="center"/>
            <w:tcMar>
              <w:top w:w="90" w:type="dxa"/>
              <w:left w:w="90" w:type="dxa"/>
              <w:bottom w:w="90" w:type="dxa"/>
              <w:right w:w="90" w:type="dxa"/>
            </w:tcMar>
          </w:tcPr>
          <w:p>
            <w:pPr>
              <w:spacing w:after="20" w:before="20"/>
              <w:jc w:val="center"/>
            </w:pPr>
            <w:r>
              <w:rPr>
                <w:sz w:val="19"/>
              </w:rPr>
              <w:t>3,573</w:t>
            </w:r>
          </w:p>
        </w:tc>
        <w:tc>
          <w:tcPr>
            <w:tcW w:type="dxa" w:w="2160"/>
            <w:vAlign w:val="center"/>
            <w:tcMar>
              <w:top w:w="90" w:type="dxa"/>
              <w:left w:w="90" w:type="dxa"/>
              <w:bottom w:w="90" w:type="dxa"/>
              <w:right w:w="90" w:type="dxa"/>
            </w:tcMar>
          </w:tcPr>
          <w:p>
            <w:pPr>
              <w:spacing w:after="20" w:before="20"/>
              <w:jc w:val="center"/>
            </w:pPr>
            <w:r>
              <w:rPr>
                <w:sz w:val="19"/>
              </w:rPr>
              <w:t>863</w:t>
            </w:r>
          </w:p>
        </w:tc>
      </w:tr>
    </w:tbl>
    <w:p>
      <w:r>
        <w:br w:type="page"/>
      </w:r>
    </w:p>
    <w:p>
      <w:pPr>
        <w:pStyle w:val="Heading1"/>
      </w:pPr>
      <w:r>
        <w:t>What the coverage means</w:t>
      </w:r>
    </w:p>
    <w:p>
      <w:r>
        <w:t>Vehicle observations outnumber Pedestrian observations by about 5.7 to 1 across 0 to 6 metres and 20.8 to 1 below 2 metres. The larger pool gives us substantially more training material in the critical 2 to 6 metre range, but it does not remove the closest-range pedestrian gap.</w:t>
      </w:r>
    </w:p>
    <w:p>
      <w:r>
        <w:t>The 0 to 1 metre region is too sparse for a credible qualification claim, especially for vehicles. The new development benchmark contains no supported Vehicle observations in that band. Pedestrian below 2 metres is also small: 12 observations from eight tracks and three logs in development. We will report this limitation rather than convert a few examples into a pass or fail.</w:t>
      </w:r>
    </w:p>
    <w:p>
      <w:r>
        <w:t>The reference is camera-axis depth in metres at visible LiDAR surface points. It is not distance to an object centre, radial range from the lens, or the nearest surface seen by an ultrasonic sensor. Sensor validation will still need camera and sensor alignment, timing checks and a defined target surface. A lower depth error alone does not establish ultrasonic equivalence.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456"/>
        <w:gridCol w:w="3456"/>
      </w:tblGrid>
      <w:tr>
        <w:trPr>
          <w:tblHeader/>
        </w:trPr>
        <w:tc>
          <w:tcPr>
            <w:tcW w:type="dxa" w:w="3408"/>
            <w:vAlign w:val="center"/>
            <w:tcMar>
              <w:top w:w="90" w:type="dxa"/>
              <w:left w:w="90" w:type="dxa"/>
              <w:bottom w:w="90" w:type="dxa"/>
              <w:right w:w="90" w:type="dxa"/>
            </w:tcMar>
            <w:shd w:fill="E8EEF4"/>
          </w:tcPr>
          <w:p>
            <w:pPr>
              <w:spacing w:after="20" w:before="20"/>
              <w:jc w:val="left"/>
            </w:pPr>
            <w:r>
              <w:rPr>
                <w:b/>
                <w:sz w:val="19"/>
              </w:rPr>
              <w:t>Benchmark cell</w:t>
            </w:r>
          </w:p>
        </w:tc>
        <w:tc>
          <w:tcPr>
            <w:tcW w:type="dxa" w:w="3408"/>
            <w:vAlign w:val="center"/>
            <w:tcMar>
              <w:top w:w="90" w:type="dxa"/>
              <w:left w:w="90" w:type="dxa"/>
              <w:bottom w:w="90" w:type="dxa"/>
              <w:right w:w="90" w:type="dxa"/>
            </w:tcMar>
            <w:shd w:fill="E8EEF4"/>
          </w:tcPr>
          <w:p>
            <w:pPr>
              <w:spacing w:after="20" w:before="20"/>
              <w:jc w:val="center"/>
            </w:pPr>
            <w:r>
              <w:rPr>
                <w:b/>
                <w:sz w:val="19"/>
              </w:rPr>
              <w:t>Dev observations / tracks / logs</w:t>
            </w:r>
          </w:p>
        </w:tc>
        <w:tc>
          <w:tcPr>
            <w:tcW w:type="dxa" w:w="3408"/>
            <w:vAlign w:val="center"/>
            <w:tcMar>
              <w:top w:w="90" w:type="dxa"/>
              <w:left w:w="90" w:type="dxa"/>
              <w:bottom w:w="90" w:type="dxa"/>
              <w:right w:w="90" w:type="dxa"/>
            </w:tcMar>
            <w:shd w:fill="E8EEF4"/>
          </w:tcPr>
          <w:p>
            <w:pPr>
              <w:spacing w:after="20" w:before="20"/>
              <w:jc w:val="center"/>
            </w:pPr>
            <w:r>
              <w:rPr>
                <w:b/>
                <w:sz w:val="19"/>
              </w:rPr>
              <w:t>Held-out observations / tracks / logs</w:t>
            </w:r>
          </w:p>
        </w:tc>
      </w:tr>
      <w:tr>
        <w:tc>
          <w:tcPr>
            <w:tcW w:type="dxa" w:w="3312"/>
            <w:vAlign w:val="center"/>
            <w:tcMar>
              <w:top w:w="90" w:type="dxa"/>
              <w:left w:w="90" w:type="dxa"/>
              <w:bottom w:w="90" w:type="dxa"/>
              <w:right w:w="90" w:type="dxa"/>
            </w:tcMar>
          </w:tcPr>
          <w:p>
            <w:pPr>
              <w:spacing w:after="20" w:before="20"/>
              <w:jc w:val="left"/>
            </w:pPr>
            <w:r>
              <w:rPr>
                <w:sz w:val="19"/>
              </w:rPr>
              <w:t>Vehicle 2 to 4 m</w:t>
            </w:r>
          </w:p>
        </w:tc>
        <w:tc>
          <w:tcPr>
            <w:tcW w:type="dxa" w:w="3456"/>
            <w:vAlign w:val="center"/>
            <w:tcMar>
              <w:top w:w="90" w:type="dxa"/>
              <w:left w:w="90" w:type="dxa"/>
              <w:bottom w:w="90" w:type="dxa"/>
              <w:right w:w="90" w:type="dxa"/>
            </w:tcMar>
          </w:tcPr>
          <w:p>
            <w:pPr>
              <w:spacing w:after="20" w:before="20"/>
              <w:jc w:val="center"/>
            </w:pPr>
            <w:r>
              <w:rPr>
                <w:sz w:val="19"/>
              </w:rPr>
              <w:t>262 / 131 / 12</w:t>
            </w:r>
          </w:p>
        </w:tc>
        <w:tc>
          <w:tcPr>
            <w:tcW w:type="dxa" w:w="3456"/>
            <w:vAlign w:val="center"/>
            <w:tcMar>
              <w:top w:w="90" w:type="dxa"/>
              <w:left w:w="90" w:type="dxa"/>
              <w:bottom w:w="90" w:type="dxa"/>
              <w:right w:w="90" w:type="dxa"/>
            </w:tcMar>
          </w:tcPr>
          <w:p>
            <w:pPr>
              <w:spacing w:after="20" w:before="20"/>
              <w:jc w:val="center"/>
            </w:pPr>
            <w:r>
              <w:rPr>
                <w:sz w:val="19"/>
              </w:rPr>
              <w:t>232 / 121 / 11</w:t>
            </w:r>
          </w:p>
        </w:tc>
      </w:tr>
      <w:tr>
        <w:tc>
          <w:tcPr>
            <w:tcW w:type="dxa" w:w="3312"/>
            <w:vAlign w:val="center"/>
            <w:tcMar>
              <w:top w:w="90" w:type="dxa"/>
              <w:left w:w="90" w:type="dxa"/>
              <w:bottom w:w="90" w:type="dxa"/>
              <w:right w:w="90" w:type="dxa"/>
            </w:tcMar>
          </w:tcPr>
          <w:p>
            <w:pPr>
              <w:spacing w:after="20" w:before="20"/>
              <w:jc w:val="left"/>
            </w:pPr>
            <w:r>
              <w:rPr>
                <w:sz w:val="19"/>
              </w:rPr>
              <w:t>Vehicle 4 to 6 m</w:t>
            </w:r>
          </w:p>
        </w:tc>
        <w:tc>
          <w:tcPr>
            <w:tcW w:type="dxa" w:w="3456"/>
            <w:vAlign w:val="center"/>
            <w:tcMar>
              <w:top w:w="90" w:type="dxa"/>
              <w:left w:w="90" w:type="dxa"/>
              <w:bottom w:w="90" w:type="dxa"/>
              <w:right w:w="90" w:type="dxa"/>
            </w:tcMar>
          </w:tcPr>
          <w:p>
            <w:pPr>
              <w:spacing w:after="20" w:before="20"/>
              <w:jc w:val="center"/>
            </w:pPr>
            <w:r>
              <w:rPr>
                <w:sz w:val="19"/>
              </w:rPr>
              <w:t>314 / 191 / 12</w:t>
            </w:r>
          </w:p>
        </w:tc>
        <w:tc>
          <w:tcPr>
            <w:tcW w:type="dxa" w:w="3456"/>
            <w:vAlign w:val="center"/>
            <w:tcMar>
              <w:top w:w="90" w:type="dxa"/>
              <w:left w:w="90" w:type="dxa"/>
              <w:bottom w:w="90" w:type="dxa"/>
              <w:right w:w="90" w:type="dxa"/>
            </w:tcMar>
          </w:tcPr>
          <w:p>
            <w:pPr>
              <w:spacing w:after="20" w:before="20"/>
              <w:jc w:val="center"/>
            </w:pPr>
            <w:r>
              <w:rPr>
                <w:sz w:val="19"/>
              </w:rPr>
              <w:t>308 / 171 / 11</w:t>
            </w:r>
          </w:p>
        </w:tc>
      </w:tr>
      <w:tr>
        <w:tc>
          <w:tcPr>
            <w:tcW w:type="dxa" w:w="3312"/>
            <w:vAlign w:val="center"/>
            <w:tcMar>
              <w:top w:w="90" w:type="dxa"/>
              <w:left w:w="90" w:type="dxa"/>
              <w:bottom w:w="90" w:type="dxa"/>
              <w:right w:w="90" w:type="dxa"/>
            </w:tcMar>
          </w:tcPr>
          <w:p>
            <w:pPr>
              <w:spacing w:after="20" w:before="20"/>
              <w:jc w:val="left"/>
            </w:pPr>
            <w:r>
              <w:rPr>
                <w:sz w:val="19"/>
              </w:rPr>
              <w:t>Pedestrian 2 to 4 m</w:t>
            </w:r>
          </w:p>
        </w:tc>
        <w:tc>
          <w:tcPr>
            <w:tcW w:type="dxa" w:w="3456"/>
            <w:vAlign w:val="center"/>
            <w:tcMar>
              <w:top w:w="90" w:type="dxa"/>
              <w:left w:w="90" w:type="dxa"/>
              <w:bottom w:w="90" w:type="dxa"/>
              <w:right w:w="90" w:type="dxa"/>
            </w:tcMar>
          </w:tcPr>
          <w:p>
            <w:pPr>
              <w:spacing w:after="20" w:before="20"/>
              <w:jc w:val="center"/>
            </w:pPr>
            <w:r>
              <w:rPr>
                <w:sz w:val="19"/>
              </w:rPr>
              <w:t>132 / 63 / 12</w:t>
            </w:r>
          </w:p>
        </w:tc>
        <w:tc>
          <w:tcPr>
            <w:tcW w:type="dxa" w:w="3456"/>
            <w:vAlign w:val="center"/>
            <w:tcMar>
              <w:top w:w="90" w:type="dxa"/>
              <w:left w:w="90" w:type="dxa"/>
              <w:bottom w:w="90" w:type="dxa"/>
              <w:right w:w="90" w:type="dxa"/>
            </w:tcMar>
          </w:tcPr>
          <w:p>
            <w:pPr>
              <w:spacing w:after="20" w:before="20"/>
              <w:jc w:val="center"/>
            </w:pPr>
            <w:r>
              <w:rPr>
                <w:sz w:val="19"/>
              </w:rPr>
              <w:t>140 / 58 / 9</w:t>
            </w:r>
          </w:p>
        </w:tc>
      </w:tr>
      <w:tr>
        <w:tc>
          <w:tcPr>
            <w:tcW w:type="dxa" w:w="3312"/>
            <w:vAlign w:val="center"/>
            <w:tcMar>
              <w:top w:w="90" w:type="dxa"/>
              <w:left w:w="90" w:type="dxa"/>
              <w:bottom w:w="90" w:type="dxa"/>
              <w:right w:w="90" w:type="dxa"/>
            </w:tcMar>
          </w:tcPr>
          <w:p>
            <w:pPr>
              <w:spacing w:after="20" w:before="20"/>
              <w:jc w:val="left"/>
            </w:pPr>
            <w:r>
              <w:rPr>
                <w:sz w:val="19"/>
              </w:rPr>
              <w:t>Pedestrian 4 to 6 m</w:t>
            </w:r>
          </w:p>
        </w:tc>
        <w:tc>
          <w:tcPr>
            <w:tcW w:type="dxa" w:w="3456"/>
            <w:vAlign w:val="center"/>
            <w:tcMar>
              <w:top w:w="90" w:type="dxa"/>
              <w:left w:w="90" w:type="dxa"/>
              <w:bottom w:w="90" w:type="dxa"/>
              <w:right w:w="90" w:type="dxa"/>
            </w:tcMar>
          </w:tcPr>
          <w:p>
            <w:pPr>
              <w:spacing w:after="20" w:before="20"/>
              <w:jc w:val="center"/>
            </w:pPr>
            <w:r>
              <w:rPr>
                <w:sz w:val="19"/>
              </w:rPr>
              <w:t>231 / 110 / 12</w:t>
            </w:r>
          </w:p>
        </w:tc>
        <w:tc>
          <w:tcPr>
            <w:tcW w:type="dxa" w:w="3456"/>
            <w:vAlign w:val="center"/>
            <w:tcMar>
              <w:top w:w="90" w:type="dxa"/>
              <w:left w:w="90" w:type="dxa"/>
              <w:bottom w:w="90" w:type="dxa"/>
              <w:right w:w="90" w:type="dxa"/>
            </w:tcMar>
          </w:tcPr>
          <w:p>
            <w:pPr>
              <w:spacing w:after="20" w:before="20"/>
              <w:jc w:val="center"/>
            </w:pPr>
            <w:r>
              <w:rPr>
                <w:sz w:val="19"/>
              </w:rPr>
              <w:t>224 / 106 / 11</w:t>
            </w:r>
          </w:p>
        </w:tc>
      </w:tr>
      <w:tr>
        <w:tc>
          <w:tcPr>
            <w:tcW w:type="dxa" w:w="3312"/>
            <w:vAlign w:val="center"/>
            <w:tcMar>
              <w:top w:w="90" w:type="dxa"/>
              <w:left w:w="90" w:type="dxa"/>
              <w:bottom w:w="90" w:type="dxa"/>
              <w:right w:w="90" w:type="dxa"/>
            </w:tcMar>
          </w:tcPr>
          <w:p>
            <w:pPr>
              <w:spacing w:after="20" w:before="20"/>
              <w:jc w:val="left"/>
            </w:pPr>
            <w:r>
              <w:rPr>
                <w:sz w:val="19"/>
              </w:rPr>
              <w:t>Vehicle 0 to 2 m</w:t>
            </w:r>
          </w:p>
        </w:tc>
        <w:tc>
          <w:tcPr>
            <w:tcW w:type="dxa" w:w="3456"/>
            <w:vAlign w:val="center"/>
            <w:tcMar>
              <w:top w:w="90" w:type="dxa"/>
              <w:left w:w="90" w:type="dxa"/>
              <w:bottom w:w="90" w:type="dxa"/>
              <w:right w:w="90" w:type="dxa"/>
            </w:tcMar>
          </w:tcPr>
          <w:p>
            <w:pPr>
              <w:spacing w:after="20" w:before="20"/>
              <w:jc w:val="center"/>
            </w:pPr>
            <w:r>
              <w:rPr>
                <w:sz w:val="19"/>
              </w:rPr>
              <w:t>120 / 55 / 12</w:t>
            </w:r>
          </w:p>
        </w:tc>
        <w:tc>
          <w:tcPr>
            <w:tcW w:type="dxa" w:w="3456"/>
            <w:vAlign w:val="center"/>
            <w:tcMar>
              <w:top w:w="90" w:type="dxa"/>
              <w:left w:w="90" w:type="dxa"/>
              <w:bottom w:w="90" w:type="dxa"/>
              <w:right w:w="90" w:type="dxa"/>
            </w:tcMar>
          </w:tcPr>
          <w:p>
            <w:pPr>
              <w:spacing w:after="20" w:before="20"/>
              <w:jc w:val="center"/>
            </w:pPr>
            <w:r>
              <w:rPr>
                <w:sz w:val="19"/>
              </w:rPr>
              <w:t>102 / 53 / 9</w:t>
            </w:r>
          </w:p>
        </w:tc>
      </w:tr>
      <w:tr>
        <w:tc>
          <w:tcPr>
            <w:tcW w:type="dxa" w:w="3312"/>
            <w:vAlign w:val="center"/>
            <w:tcMar>
              <w:top w:w="90" w:type="dxa"/>
              <w:left w:w="90" w:type="dxa"/>
              <w:bottom w:w="90" w:type="dxa"/>
              <w:right w:w="90" w:type="dxa"/>
            </w:tcMar>
          </w:tcPr>
          <w:p>
            <w:pPr>
              <w:spacing w:after="20" w:before="20"/>
              <w:jc w:val="left"/>
            </w:pPr>
            <w:r>
              <w:rPr>
                <w:sz w:val="19"/>
              </w:rPr>
              <w:t>Pedestrian 0 to 2 m</w:t>
            </w:r>
          </w:p>
        </w:tc>
        <w:tc>
          <w:tcPr>
            <w:tcW w:type="dxa" w:w="3456"/>
            <w:vAlign w:val="center"/>
            <w:tcMar>
              <w:top w:w="90" w:type="dxa"/>
              <w:left w:w="90" w:type="dxa"/>
              <w:bottom w:w="90" w:type="dxa"/>
              <w:right w:w="90" w:type="dxa"/>
            </w:tcMar>
          </w:tcPr>
          <w:p>
            <w:pPr>
              <w:spacing w:after="20" w:before="20"/>
              <w:jc w:val="center"/>
            </w:pPr>
            <w:r>
              <w:rPr>
                <w:sz w:val="19"/>
              </w:rPr>
              <w:t>12 / 8 / 3</w:t>
            </w:r>
          </w:p>
        </w:tc>
        <w:tc>
          <w:tcPr>
            <w:tcW w:type="dxa" w:w="3456"/>
            <w:vAlign w:val="center"/>
            <w:tcMar>
              <w:top w:w="90" w:type="dxa"/>
              <w:left w:w="90" w:type="dxa"/>
              <w:bottom w:w="90" w:type="dxa"/>
              <w:right w:w="90" w:type="dxa"/>
            </w:tcMar>
          </w:tcPr>
          <w:p>
            <w:pPr>
              <w:spacing w:after="20" w:before="20"/>
              <w:jc w:val="center"/>
            </w:pPr>
            <w:r>
              <w:rPr>
                <w:sz w:val="19"/>
              </w:rPr>
              <w:t>61 / 13 / 6</w:t>
            </w:r>
          </w:p>
        </w:tc>
      </w:tr>
    </w:tbl>
    <w:p>
      <w:r>
        <w:br w:type="page"/>
      </w:r>
    </w:p>
    <w:p>
      <w:pPr>
        <w:pStyle w:val="Heading1"/>
      </w:pPr>
      <w:r>
        <w:t>How we will compare V0 and V1</w:t>
      </w:r>
    </w:p>
    <w:p>
      <w:r>
        <w:t>The frozen package contains 512 development images and 512 held-out images, covering 1,009 unique keyframes. Its 39 immutable image and sparse-ground-truth shards total about 156 MB. Selection used ground-truth coverage only, retained rare close-range views, and did not consult model predictions. This deliberately enriched sample is not an estimate of natural traffic prevalence.</w:t>
      </w:r>
    </w:p>
    <w:p>
      <w:r>
        <w:t>Our primary metric is mean absolute depth error in metres, averaged equally across Vehicle and Pedestrian in the 2 to 4 and 4 to 6 metre bands. Within each cell, cameras are averaged within an object observation, observations within a tracked object, tracks within a recording log, and then logs equally. This reduces domination by dense point clouds, repeated frames or long logs.</w:t>
      </w:r>
    </w:p>
    <w:p>
      <w:r>
        <w:t>We also report pointwise mean, median and 90th-percentile absolute error, prediction coverage and the 0 to 2 metre breakdown. The 0 to 1 metre result is exploratory. Invalid or missing predictions remain visible in the denominator; later V0/V1 comparisons will also use exactly the same valid points. We will not fit an individual scale to each image, clamp predictions into the ground-truth band, or interpolate missing ground truth.</w:t>
      </w:r>
    </w:p>
    <w:p>
      <w:r>
        <w:t>This is a depth comparison on ground-truth-labelled object surfaces. It does not measure detection mAP, missed objects or cuboid quality. There is no plus-or-minus 10 centimetre accuracy rule and no product pass or fail threshold in this benchmark. We must set any eventual acceptance rule from the sensor-validation requirement, not from whichever model result looks best.</w:t>
      </w:r>
    </w:p>
    <w:p>
      <w:r>
        <w:br w:type="page"/>
      </w:r>
    </w:p>
    <w:p>
      <w:pPr>
        <w:pStyle w:val="Heading1"/>
      </w:pPr>
      <w:r>
        <w:t>Next actions and reporting boundaries</w:t>
      </w:r>
    </w:p>
    <w:p>
      <w:r>
        <w:t>First, freeze V0 as the unchanged actual-camera epoch-4 checkpoint. Register its checkpoint hash, architecture, preprocessing, calibration mapping, depth sampling and runtime. Run the 512 development images only, save resumable predictions, and publish errors alongside prediction coverage. This is inference only: no optimizer updates, BatchNorm changes or checkpoint selection.</w:t>
      </w:r>
    </w:p>
    <w:p>
      <w:r>
        <w:t>Second, inspect the development errors by class, range, track and recording log. Use those findings to write a prospective V1 training recipe using training logs only. Keep the architecture and scoring identities fixed for a weight-only comparison. Extra epochs, class sampling or new losses should be justified by this baseline, not assumed to help.</w:t>
      </w:r>
    </w:p>
    <w:p>
      <w:r>
        <w:t>Third, compare the chosen V1 with V0 on development using paired points. Freeze the final candidate before opening the held-out benchmark. Evaluate on the iPhone separately for latency, heat and sustained camera operation. No V1 training, held-out model scoring or phone replacement has started in this update.</w:t>
      </w:r>
    </w:p>
    <w:p>
      <w:r>
        <w:t>For next week, the completed deliverables are the trained shared-model pilots, the full 0 to 6 metre census, explicit coverage gaps and a reproducible benchmark package. The next evidence we need is the new V0 development score. We should not claim a new benchmark improvement or a production-ready distance model before those measurements exist.</w:t>
      </w:r>
    </w:p>
    <w:p>
      <w:pPr>
        <w:pStyle w:val="Heading2"/>
      </w:pPr>
      <w:r>
        <w:t>Evidence retained</w:t>
      </w:r>
    </w:p>
    <w:p>
      <w:r>
        <w:t>Reviewed result bundles: parking_shared_near_results.zip, parking_shared_camera_results.zip, parking_shared_adapter_results.zip, nuscenes_0_6m_coverage_results.zip and parking_v0_v1_benchmark_results.zip. Download completion is recorded in download_manifest_keyframes_all.json. Full hashes and frozen identities accompany the HTML report and machine-readable evidence record.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MobileADAS3D near field progress update</dc:title>
  <dc:subject>Training evidence and frozen V0 V1 benchmark readiness</dc:subject>
  <dc:creator>MobileADAS3D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