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8B70" w14:textId="77777777" w:rsidR="001A5A8C" w:rsidRDefault="001A5A8C">
      <w:pPr>
        <w:spacing w:before="1400"/>
      </w:pPr>
    </w:p>
    <w:p w14:paraId="355325E0" w14:textId="77777777" w:rsidR="001A5A8C" w:rsidRDefault="00000000">
      <w:pPr>
        <w:jc w:val="center"/>
      </w:pPr>
      <w:r>
        <w:rPr>
          <w:b/>
          <w:bCs/>
          <w:color w:val="046B54"/>
          <w:spacing w:val="40"/>
          <w:sz w:val="24"/>
          <w:szCs w:val="24"/>
        </w:rPr>
        <w:t>PROJECT REPORT</w:t>
      </w:r>
    </w:p>
    <w:p w14:paraId="51E0C237" w14:textId="77777777" w:rsidR="001A5A8C" w:rsidRDefault="00000000">
      <w:pPr>
        <w:spacing w:before="260"/>
        <w:jc w:val="center"/>
      </w:pPr>
      <w:r>
        <w:rPr>
          <w:b/>
          <w:bCs/>
          <w:color w:val="1A1A2E"/>
          <w:sz w:val="56"/>
          <w:szCs w:val="56"/>
        </w:rPr>
        <w:t>FastAPI Documentation Assistant</w:t>
      </w:r>
    </w:p>
    <w:p w14:paraId="36878887" w14:textId="77777777" w:rsidR="001A5A8C" w:rsidRDefault="00000000">
      <w:pPr>
        <w:spacing w:before="120" w:after="500"/>
        <w:jc w:val="center"/>
      </w:pPr>
      <w:r>
        <w:rPr>
          <w:i/>
          <w:iCs/>
          <w:color w:val="44546A"/>
          <w:sz w:val="24"/>
          <w:szCs w:val="24"/>
        </w:rPr>
        <w:t>A Retrieval-Augmented Generation System for Grounded, Citation-Backed Question Answering</w:t>
      </w:r>
    </w:p>
    <w:p w14:paraId="088D8700" w14:textId="77777777" w:rsidR="001A5A8C" w:rsidRDefault="001A5A8C">
      <w:pPr>
        <w:pBdr>
          <w:top w:val="single" w:sz="4" w:space="10" w:color="D9E2E1"/>
        </w:pBdr>
        <w:spacing w:before="900"/>
        <w:jc w:val="center"/>
      </w:pPr>
    </w:p>
    <w:p w14:paraId="3880CA51" w14:textId="77777777" w:rsidR="001A5A8C" w:rsidRDefault="00000000">
      <w:pPr>
        <w:spacing w:before="260"/>
        <w:jc w:val="center"/>
      </w:pPr>
      <w:r>
        <w:rPr>
          <w:b/>
          <w:bCs/>
          <w:color w:val="046B54"/>
          <w:sz w:val="20"/>
          <w:szCs w:val="20"/>
        </w:rPr>
        <w:t>Stack</w:t>
      </w:r>
    </w:p>
    <w:p w14:paraId="3FDE4B8F" w14:textId="77777777" w:rsidR="001A5A8C" w:rsidRDefault="00000000">
      <w:pPr>
        <w:spacing w:after="60"/>
        <w:jc w:val="center"/>
      </w:pPr>
      <w:r>
        <w:rPr>
          <w:color w:val="333333"/>
        </w:rPr>
        <w:t>FastAPI  ·  LangChain  ·  ChromaDB  ·  BAAI/bge-small-en-v1.5  ·  Groq Llama 3.3 70B</w:t>
      </w:r>
    </w:p>
    <w:p w14:paraId="4E058763" w14:textId="528AB276" w:rsidR="001A5A8C" w:rsidRDefault="00000000">
      <w:pPr>
        <w:spacing w:before="700"/>
        <w:jc w:val="center"/>
      </w:pPr>
      <w:r>
        <w:rPr>
          <w:color w:val="44546A"/>
          <w:sz w:val="19"/>
          <w:szCs w:val="19"/>
        </w:rPr>
        <w:t xml:space="preserve">Prepared as part of a Retrieval-Augmented Generation </w:t>
      </w:r>
      <w:r w:rsidR="00371857">
        <w:rPr>
          <w:color w:val="44546A"/>
          <w:sz w:val="19"/>
          <w:szCs w:val="19"/>
        </w:rPr>
        <w:t>as a internship project</w:t>
      </w:r>
    </w:p>
    <w:p w14:paraId="4527C405" w14:textId="77777777" w:rsidR="001A5A8C" w:rsidRDefault="00000000">
      <w:pPr>
        <w:spacing w:before="40"/>
        <w:jc w:val="center"/>
      </w:pPr>
      <w:r>
        <w:rPr>
          <w:color w:val="44546A"/>
          <w:sz w:val="19"/>
          <w:szCs w:val="19"/>
        </w:rPr>
        <w:t>August 2026</w:t>
      </w:r>
    </w:p>
    <w:p w14:paraId="2197D29A" w14:textId="77777777" w:rsidR="001A5A8C" w:rsidRDefault="00000000">
      <w:r>
        <w:br w:type="page"/>
      </w:r>
    </w:p>
    <w:p w14:paraId="58772F2B" w14:textId="77777777" w:rsidR="001A5A8C" w:rsidRDefault="00000000">
      <w:pPr>
        <w:pStyle w:val="Heading1"/>
        <w:pBdr>
          <w:bottom w:val="single" w:sz="6" w:space="4" w:color="05A67E"/>
        </w:pBdr>
        <w:spacing w:before="420" w:after="200"/>
      </w:pPr>
      <w:r>
        <w:rPr>
          <w:b/>
          <w:bCs/>
          <w:color w:val="046B54"/>
          <w:sz w:val="30"/>
          <w:szCs w:val="30"/>
        </w:rPr>
        <w:lastRenderedPageBreak/>
        <w:t>Table of Contents</w:t>
      </w:r>
    </w:p>
    <w:p w14:paraId="6F595A90" w14:textId="77777777" w:rsidR="001A5A8C" w:rsidRDefault="001A5A8C">
      <w:pPr>
        <w:spacing w:after="120"/>
      </w:pPr>
    </w:p>
    <w:p w14:paraId="51F42D43" w14:textId="77777777" w:rsidR="001A5A8C" w:rsidRDefault="00000000">
      <w:pPr>
        <w:tabs>
          <w:tab w:val="right" w:leader="dot" w:pos="9026"/>
        </w:tabs>
        <w:spacing w:after="160"/>
      </w:pPr>
      <w:r>
        <w:rPr>
          <w:sz w:val="22"/>
          <w:szCs w:val="22"/>
        </w:rPr>
        <w:t>1.  Introduction and Problem Statement</w:t>
      </w:r>
    </w:p>
    <w:p w14:paraId="1F79535C" w14:textId="77777777" w:rsidR="001A5A8C" w:rsidRDefault="00000000">
      <w:pPr>
        <w:tabs>
          <w:tab w:val="right" w:leader="dot" w:pos="9026"/>
        </w:tabs>
        <w:spacing w:after="160"/>
      </w:pPr>
      <w:r>
        <w:rPr>
          <w:sz w:val="22"/>
          <w:szCs w:val="22"/>
        </w:rPr>
        <w:t>2.  System Overview</w:t>
      </w:r>
    </w:p>
    <w:p w14:paraId="0C7FB91B" w14:textId="77777777" w:rsidR="001A5A8C" w:rsidRDefault="00000000">
      <w:pPr>
        <w:tabs>
          <w:tab w:val="right" w:leader="dot" w:pos="9026"/>
        </w:tabs>
        <w:spacing w:after="160"/>
      </w:pPr>
      <w:r>
        <w:rPr>
          <w:sz w:val="22"/>
          <w:szCs w:val="22"/>
        </w:rPr>
        <w:t>3.  Design Decisions</w:t>
      </w:r>
    </w:p>
    <w:p w14:paraId="1AECFBA1" w14:textId="77777777" w:rsidR="001A5A8C" w:rsidRDefault="00000000">
      <w:pPr>
        <w:tabs>
          <w:tab w:val="right" w:leader="dot" w:pos="9026"/>
        </w:tabs>
        <w:spacing w:after="160"/>
      </w:pPr>
      <w:r>
        <w:rPr>
          <w:sz w:val="22"/>
          <w:szCs w:val="22"/>
        </w:rPr>
        <w:t xml:space="preserve">       3.1  Language Model — Groq (Llama 3.3 70B)</w:t>
      </w:r>
    </w:p>
    <w:p w14:paraId="107E1985" w14:textId="77777777" w:rsidR="001A5A8C" w:rsidRDefault="00000000">
      <w:pPr>
        <w:tabs>
          <w:tab w:val="right" w:leader="dot" w:pos="9026"/>
        </w:tabs>
        <w:spacing w:after="160"/>
      </w:pPr>
      <w:r>
        <w:rPr>
          <w:sz w:val="22"/>
          <w:szCs w:val="22"/>
        </w:rPr>
        <w:t xml:space="preserve">       3.2  Embedding Model — BAAI/bge-small-en-v1.5</w:t>
      </w:r>
    </w:p>
    <w:p w14:paraId="50A5C879" w14:textId="77777777" w:rsidR="001A5A8C" w:rsidRDefault="00000000">
      <w:pPr>
        <w:tabs>
          <w:tab w:val="right" w:leader="dot" w:pos="9026"/>
        </w:tabs>
        <w:spacing w:after="160"/>
      </w:pPr>
      <w:r>
        <w:rPr>
          <w:sz w:val="22"/>
          <w:szCs w:val="22"/>
        </w:rPr>
        <w:t xml:space="preserve">       3.3  Vector Database — ChromaDB</w:t>
      </w:r>
    </w:p>
    <w:p w14:paraId="0308BCE7" w14:textId="77777777" w:rsidR="001A5A8C" w:rsidRDefault="00000000">
      <w:pPr>
        <w:tabs>
          <w:tab w:val="right" w:leader="dot" w:pos="9026"/>
        </w:tabs>
        <w:spacing w:after="160"/>
      </w:pPr>
      <w:r>
        <w:rPr>
          <w:sz w:val="22"/>
          <w:szCs w:val="22"/>
        </w:rPr>
        <w:t xml:space="preserve">       3.4  Chunking Strategy — 500 / 100</w:t>
      </w:r>
    </w:p>
    <w:p w14:paraId="01438F76" w14:textId="77777777" w:rsidR="001A5A8C" w:rsidRDefault="00000000">
      <w:pPr>
        <w:tabs>
          <w:tab w:val="right" w:leader="dot" w:pos="9026"/>
        </w:tabs>
        <w:spacing w:after="160"/>
      </w:pPr>
      <w:r>
        <w:rPr>
          <w:sz w:val="22"/>
          <w:szCs w:val="22"/>
        </w:rPr>
        <w:t>4.  Architecture</w:t>
      </w:r>
    </w:p>
    <w:p w14:paraId="17E3556C" w14:textId="77777777" w:rsidR="001A5A8C" w:rsidRDefault="00000000">
      <w:pPr>
        <w:tabs>
          <w:tab w:val="right" w:leader="dot" w:pos="9026"/>
        </w:tabs>
        <w:spacing w:after="160"/>
      </w:pPr>
      <w:r>
        <w:rPr>
          <w:sz w:val="22"/>
          <w:szCs w:val="22"/>
        </w:rPr>
        <w:t>5.  Findings and Results</w:t>
      </w:r>
    </w:p>
    <w:p w14:paraId="0750D983" w14:textId="77777777" w:rsidR="001A5A8C" w:rsidRDefault="00000000">
      <w:pPr>
        <w:tabs>
          <w:tab w:val="right" w:leader="dot" w:pos="9026"/>
        </w:tabs>
        <w:spacing w:after="160"/>
      </w:pPr>
      <w:r>
        <w:rPr>
          <w:sz w:val="22"/>
          <w:szCs w:val="22"/>
        </w:rPr>
        <w:t>6.  Limitations and Future Improvements</w:t>
      </w:r>
    </w:p>
    <w:p w14:paraId="43B52FAB" w14:textId="77777777" w:rsidR="001A5A8C" w:rsidRDefault="00000000">
      <w:pPr>
        <w:tabs>
          <w:tab w:val="right" w:leader="dot" w:pos="9026"/>
        </w:tabs>
        <w:spacing w:after="160"/>
      </w:pPr>
      <w:r>
        <w:rPr>
          <w:sz w:val="22"/>
          <w:szCs w:val="22"/>
        </w:rPr>
        <w:t>7.  Conclusion</w:t>
      </w:r>
    </w:p>
    <w:p w14:paraId="18F27E2F" w14:textId="77777777" w:rsidR="001A5A8C" w:rsidRDefault="00000000">
      <w:r>
        <w:br w:type="page"/>
      </w:r>
    </w:p>
    <w:p w14:paraId="29DF8C92" w14:textId="77777777" w:rsidR="001A5A8C" w:rsidRDefault="00000000">
      <w:pPr>
        <w:pStyle w:val="Heading1"/>
        <w:pBdr>
          <w:bottom w:val="single" w:sz="6" w:space="4" w:color="05A67E"/>
        </w:pBdr>
        <w:spacing w:before="420" w:after="200"/>
      </w:pPr>
      <w:r>
        <w:rPr>
          <w:b/>
          <w:bCs/>
          <w:color w:val="046B54"/>
          <w:sz w:val="30"/>
          <w:szCs w:val="30"/>
        </w:rPr>
        <w:t>1. Introduction and Problem Statement</w:t>
      </w:r>
    </w:p>
    <w:p w14:paraId="00207910" w14:textId="77777777" w:rsidR="001A5A8C" w:rsidRDefault="00000000">
      <w:pPr>
        <w:spacing w:after="180" w:line="300" w:lineRule="auto"/>
        <w:jc w:val="both"/>
      </w:pPr>
      <w:r>
        <w:t>Large language models are impressive general-purpose reasoners, but they have a well-known weak spot: they answer from whatever they memorised during training, and that memory is frozen, incomplete, and occasionally wrong. Ask a plain LLM a detailed question about a specific framework — how a particular parameter behaves, what a decorator actually does, which version introduced a feature — and it will often answer fluently and confidently even when it is guessing. For a documentation assistant, that is not a minor inconvenience. A developer who trusts a confident but incorrect answer about, say, dependency injection or OAuth2 scopes can waste hours debugging code that was never broken, or ship something insecure that merely “sounded right.”</w:t>
      </w:r>
    </w:p>
    <w:p w14:paraId="78D0FAE1" w14:textId="77777777" w:rsidR="001A5A8C" w:rsidRDefault="00000000">
      <w:pPr>
        <w:spacing w:after="180" w:line="300" w:lineRule="auto"/>
        <w:jc w:val="both"/>
      </w:pPr>
      <w:r>
        <w:t>This project tackles that problem directly. Instead of asking a model to recall facts about FastAPI from its training data, the system retrieves the actual, relevant passages from the official FastAPI documentation (and, for deeper technical questions, the framework's own source code) and hands them to the model as the only material it is allowed to answer from. If the retrieved passages do not contain the answer, the assistant is instructed to say so plainly rather than improvise. Every answer is returned together with the exact chunk, file, and path it came from, so a user can check the assistant's work in seconds instead of taking it on faith.</w:t>
      </w:r>
    </w:p>
    <w:p w14:paraId="0435800E" w14:textId="77777777" w:rsidR="001A5A8C" w:rsidRDefault="00000000">
      <w:pPr>
        <w:spacing w:after="180" w:line="300" w:lineRule="auto"/>
        <w:jc w:val="both"/>
      </w:pPr>
      <w:r>
        <w:t>Concretely, the goal was to build a working, end-to-end Retrieval-Augmented Generation (RAG) pipeline: ingest a real documentation corpus, chunk and embed it, store it in a vector database, retrieve the right passages for an arbitrary question, and generate a grounded answer through an LLM — all wrapped in a small FastAPI web application with a usable chat interface. The sections that follow walk through every major design decision behind that pipeline (model, embeddings, vector store, chunking) and the reasoning behind each one, followed by the resulting architecture, what was actually observed while testing it, and where its limits are.</w:t>
      </w:r>
    </w:p>
    <w:p w14:paraId="137E53C2" w14:textId="77777777" w:rsidR="001A5A8C" w:rsidRDefault="00000000">
      <w:pPr>
        <w:pStyle w:val="Heading1"/>
        <w:pBdr>
          <w:bottom w:val="single" w:sz="6" w:space="4" w:color="05A67E"/>
        </w:pBdr>
        <w:spacing w:before="420" w:after="200"/>
      </w:pPr>
      <w:r>
        <w:rPr>
          <w:b/>
          <w:bCs/>
          <w:color w:val="046B54"/>
          <w:sz w:val="30"/>
          <w:szCs w:val="30"/>
        </w:rPr>
        <w:t>2. System Overview</w:t>
      </w:r>
    </w:p>
    <w:p w14:paraId="705FF591" w14:textId="77777777" w:rsidR="001A5A8C" w:rsidRDefault="00000000">
      <w:pPr>
        <w:spacing w:after="180" w:line="300" w:lineRule="auto"/>
        <w:jc w:val="both"/>
      </w:pPr>
      <w:r>
        <w:t>At a high level the project has two moments in time. The first is offline indexing: documentation files sitting in a local data/ folder are loaded, split into small overlapping chunks, converted into vector embeddings, and written into a persistent ChromaDB collection. This only needs to run once, or whenever the source documents change. The second is the online query path: a user types a question into the web interface, the question is embedded with the same model used during indexing, ChromaDB returns the most similar chunks, and those chunks are placed inside a strict system prompt that is sent to an LLM hosted on Groq. The model's answer, together with the citations for the chunks it was given, is returned to the browser and rendered in the chat UI.</w:t>
      </w:r>
    </w:p>
    <w:p w14:paraId="2C5CAF71" w14:textId="77777777" w:rsidR="001A5A8C" w:rsidRDefault="00000000">
      <w:pPr>
        <w:spacing w:after="180" w:line="300" w:lineRule="auto"/>
        <w:jc w:val="both"/>
      </w:pPr>
      <w:r>
        <w:t>The codebase is deliberately split into small, single-purpose files — config.py centralises every tunable setting, ingest.py owns the indexing pipeline, rag.py owns retrieval and generation, app.py exposes the FastAPI routes, and utils.py holds shared helpers such as logging. The intent was that any one of these pieces (the embedding model, the vector store, the LLM provider) could be swapped without having to touch the rest of the system, which made it much easier to experiment with different choices while building this report.</w:t>
      </w:r>
    </w:p>
    <w:p w14:paraId="7AC34DF3" w14:textId="77777777" w:rsidR="001A5A8C" w:rsidRDefault="00000000">
      <w:pPr>
        <w:pStyle w:val="Heading1"/>
        <w:pBdr>
          <w:bottom w:val="single" w:sz="6" w:space="4" w:color="05A67E"/>
        </w:pBdr>
        <w:spacing w:before="420" w:after="200"/>
      </w:pPr>
      <w:r>
        <w:rPr>
          <w:b/>
          <w:bCs/>
          <w:color w:val="046B54"/>
          <w:sz w:val="30"/>
          <w:szCs w:val="30"/>
        </w:rPr>
        <w:t>3. Design Decisions</w:t>
      </w:r>
    </w:p>
    <w:p w14:paraId="3192638E" w14:textId="77777777" w:rsidR="001A5A8C" w:rsidRDefault="00000000">
      <w:pPr>
        <w:spacing w:after="180" w:line="300" w:lineRule="auto"/>
        <w:jc w:val="both"/>
      </w:pPr>
      <w:r>
        <w:t>None of the components below were picked because they were the default in a tutorial. Each one was chosen after weighing it against at least two realistic alternatives, using the same four criteria every time: does it fit a project that has to run on a laptop with no paid infrastructure, is it fast enough to feel interactive, is the reasoning behind it something that can be defended out loud, and does it keep the codebase simple enough that another person could read it in one sitting. That last criterion mattered more than it might sound — a fair number of RAG tutorials reach for the most powerful option available at every step, which usually just means more moving parts to explain and more ways for a demo to fail.</w:t>
      </w:r>
    </w:p>
    <w:p w14:paraId="5802173A" w14:textId="77777777" w:rsidR="001A5A8C" w:rsidRDefault="00000000">
      <w:pPr>
        <w:pStyle w:val="Heading2"/>
        <w:spacing w:before="320" w:after="140"/>
      </w:pPr>
      <w:r>
        <w:rPr>
          <w:b/>
          <w:bCs/>
          <w:color w:val="1A1A2E"/>
          <w:sz w:val="24"/>
          <w:szCs w:val="24"/>
        </w:rPr>
        <w:t>3.1 Language Model — Groq (Llama 3.3 70B, with a Llama 3.1 8B fallback)</w:t>
      </w:r>
    </w:p>
    <w:p w14:paraId="6341E156" w14:textId="77777777" w:rsidR="001A5A8C" w:rsidRDefault="00000000">
      <w:pPr>
        <w:spacing w:after="180" w:line="300" w:lineRule="auto"/>
        <w:jc w:val="both"/>
      </w:pPr>
      <w:r>
        <w:t>The generation step is handled by Meta's Llama 3.3 70B model, served through Groq's inference API, with Llama 3.1 8B configured as an automatic fallback if the primary model errors out or is rate-limited. Groq's API is OpenAI-compatible, so the integration in rag.py is a thin wrapper around the standard openai Python client, just pointed at Groq's base URL instead of OpenAI's.</w:t>
      </w:r>
    </w:p>
    <w:p w14:paraId="716E9534" w14:textId="77777777" w:rsidR="001A5A8C" w:rsidRDefault="00000000">
      <w:pPr>
        <w:pStyle w:val="Heading3"/>
        <w:spacing w:before="220" w:after="100"/>
      </w:pPr>
      <w:r>
        <w:rPr>
          <w:b/>
          <w:bCs/>
          <w:color w:val="44546A"/>
          <w:sz w:val="21"/>
          <w:szCs w:val="21"/>
        </w:rPr>
        <w:t>Why this over a larger hosted model like GPT-4o or Claude?</w:t>
      </w:r>
    </w:p>
    <w:p w14:paraId="3A5EDA7C" w14:textId="77777777" w:rsidR="001A5A8C" w:rsidRDefault="00000000">
      <w:pPr>
        <w:spacing w:after="180" w:line="300" w:lineRule="auto"/>
        <w:jc w:val="both"/>
      </w:pPr>
      <w:r>
        <w:t>The honest answer is speed and cost, and that a 70-billion-parameter open model turned out to be more than capable once retrieval is doing the heavy lifting. In a RAG system, the model's job is narrower than in open-ended chat — it is not being asked to recall facts, it is being asked to read three short passages and summarise them accurately. That is a much easier task than free-form reasoning, and it does not require a frontier-scale model to do well. Groq runs Llama on custom LPU hardware rather than GPUs, and the difference in response latency compared to typical GPU-served APIs is noticeable — answers come back close to instantly, which matters a lot for how “responsive” a chat interface feels in a live demo. Groq's developer tier is also free, which kept the project reproducible by anyone without needing a paid account.</w:t>
      </w:r>
    </w:p>
    <w:p w14:paraId="63F0A4C8" w14:textId="77777777" w:rsidR="001A5A8C" w:rsidRDefault="00000000">
      <w:pPr>
        <w:pStyle w:val="Heading3"/>
        <w:spacing w:before="220" w:after="100"/>
      </w:pPr>
      <w:r>
        <w:rPr>
          <w:b/>
          <w:bCs/>
          <w:color w:val="44546A"/>
          <w:sz w:val="21"/>
          <w:szCs w:val="21"/>
        </w:rPr>
        <w:t>Why keep a smaller fallback model instead of just retrying?</w:t>
      </w:r>
    </w:p>
    <w:p w14:paraId="21EE6F6A" w14:textId="77777777" w:rsidR="001A5A8C" w:rsidRDefault="00000000">
      <w:pPr>
        <w:spacing w:after="180" w:line="300" w:lineRule="auto"/>
        <w:jc w:val="both"/>
      </w:pPr>
      <w:r>
        <w:t>Rate limits and transient provider errors are a normal part of working with any hosted inference API, especially on a free tier. Rather than let a single failed request surface as a raw error to the user, generate_answer() in rag.py tries the primary model first and, only if that call raises an error, retries once against the smaller 8B model. It is not a perfect answer — a smaller model can occasionally summarise the retrieved context slightly less gracefully — but a slightly less polished answer beats a failed request, and the fallback is invisible to the user unless they are told to look for it.</w:t>
      </w:r>
    </w:p>
    <w:tbl>
      <w:tblPr>
        <w:tblW w:w="5000" w:type="pct"/>
        <w:tblBorders>
          <w:top w:val="single" w:sz="4" w:space="0" w:color="D9E2E1"/>
          <w:left w:val="single" w:sz="4" w:space="0" w:color="D9E2E1"/>
          <w:bottom w:val="single" w:sz="4" w:space="0" w:color="D9E2E1"/>
          <w:right w:val="single" w:sz="4" w:space="0" w:color="D9E2E1"/>
          <w:insideH w:val="single" w:sz="4" w:space="0" w:color="D9E2E1"/>
          <w:insideV w:val="single" w:sz="4" w:space="0" w:color="D9E2E1"/>
        </w:tblBorders>
        <w:tblCellMar>
          <w:left w:w="10" w:type="dxa"/>
          <w:right w:w="10" w:type="dxa"/>
        </w:tblCellMar>
        <w:tblLook w:val="04A0" w:firstRow="1" w:lastRow="0" w:firstColumn="1" w:lastColumn="0" w:noHBand="0" w:noVBand="1"/>
      </w:tblPr>
      <w:tblGrid>
        <w:gridCol w:w="2562"/>
        <w:gridCol w:w="3729"/>
        <w:gridCol w:w="3539"/>
      </w:tblGrid>
      <w:tr w:rsidR="001A5A8C" w14:paraId="4B57324B" w14:textId="77777777">
        <w:tblPrEx>
          <w:tblCellMar>
            <w:top w:w="0" w:type="dxa"/>
            <w:bottom w:w="0" w:type="dxa"/>
          </w:tblCellMar>
        </w:tblPrEx>
        <w:trPr>
          <w:tblHeader/>
        </w:trPr>
        <w:tc>
          <w:tcPr>
            <w:tcW w:w="2600" w:type="dxa"/>
            <w:shd w:val="clear" w:color="auto" w:fill="046B54"/>
            <w:tcMar>
              <w:top w:w="110" w:type="dxa"/>
              <w:left w:w="140" w:type="dxa"/>
              <w:bottom w:w="110" w:type="dxa"/>
              <w:right w:w="140" w:type="dxa"/>
            </w:tcMar>
            <w:vAlign w:val="center"/>
          </w:tcPr>
          <w:p w14:paraId="5334F86B" w14:textId="77777777" w:rsidR="001A5A8C" w:rsidRDefault="00000000">
            <w:r>
              <w:rPr>
                <w:b/>
                <w:bCs/>
                <w:color w:val="FFFFFF"/>
                <w:sz w:val="19"/>
                <w:szCs w:val="19"/>
              </w:rPr>
              <w:t>Option considered</w:t>
            </w:r>
          </w:p>
        </w:tc>
        <w:tc>
          <w:tcPr>
            <w:tcW w:w="3800" w:type="dxa"/>
            <w:shd w:val="clear" w:color="auto" w:fill="046B54"/>
            <w:tcMar>
              <w:top w:w="110" w:type="dxa"/>
              <w:left w:w="140" w:type="dxa"/>
              <w:bottom w:w="110" w:type="dxa"/>
              <w:right w:w="140" w:type="dxa"/>
            </w:tcMar>
            <w:vAlign w:val="center"/>
          </w:tcPr>
          <w:p w14:paraId="322B0294" w14:textId="77777777" w:rsidR="001A5A8C" w:rsidRDefault="00000000">
            <w:r>
              <w:rPr>
                <w:b/>
                <w:bCs/>
                <w:color w:val="FFFFFF"/>
                <w:sz w:val="19"/>
                <w:szCs w:val="19"/>
              </w:rPr>
              <w:t>Strength</w:t>
            </w:r>
          </w:p>
        </w:tc>
        <w:tc>
          <w:tcPr>
            <w:tcW w:w="3600" w:type="dxa"/>
            <w:shd w:val="clear" w:color="auto" w:fill="046B54"/>
            <w:tcMar>
              <w:top w:w="110" w:type="dxa"/>
              <w:left w:w="140" w:type="dxa"/>
              <w:bottom w:w="110" w:type="dxa"/>
              <w:right w:w="140" w:type="dxa"/>
            </w:tcMar>
            <w:vAlign w:val="center"/>
          </w:tcPr>
          <w:p w14:paraId="370EBC36" w14:textId="77777777" w:rsidR="001A5A8C" w:rsidRDefault="00000000">
            <w:r>
              <w:rPr>
                <w:b/>
                <w:bCs/>
                <w:color w:val="FFFFFF"/>
                <w:sz w:val="19"/>
                <w:szCs w:val="19"/>
              </w:rPr>
              <w:t>Why it was not chosen here</w:t>
            </w:r>
          </w:p>
        </w:tc>
      </w:tr>
      <w:tr w:rsidR="001A5A8C" w14:paraId="41CA343D" w14:textId="77777777">
        <w:tblPrEx>
          <w:tblCellMar>
            <w:top w:w="0" w:type="dxa"/>
            <w:bottom w:w="0" w:type="dxa"/>
          </w:tblCellMar>
        </w:tblPrEx>
        <w:tc>
          <w:tcPr>
            <w:tcW w:w="2600" w:type="dxa"/>
            <w:shd w:val="clear" w:color="auto" w:fill="FFFFFF"/>
            <w:tcMar>
              <w:top w:w="110" w:type="dxa"/>
              <w:left w:w="140" w:type="dxa"/>
              <w:bottom w:w="110" w:type="dxa"/>
              <w:right w:w="140" w:type="dxa"/>
            </w:tcMar>
            <w:vAlign w:val="center"/>
          </w:tcPr>
          <w:p w14:paraId="6B313671" w14:textId="77777777" w:rsidR="001A5A8C" w:rsidRDefault="00000000">
            <w:r>
              <w:rPr>
                <w:sz w:val="19"/>
                <w:szCs w:val="19"/>
              </w:rPr>
              <w:t>OpenAI GPT-4o / GPT-4.1</w:t>
            </w:r>
          </w:p>
        </w:tc>
        <w:tc>
          <w:tcPr>
            <w:tcW w:w="3800" w:type="dxa"/>
            <w:shd w:val="clear" w:color="auto" w:fill="FFFFFF"/>
            <w:tcMar>
              <w:top w:w="110" w:type="dxa"/>
              <w:left w:w="140" w:type="dxa"/>
              <w:bottom w:w="110" w:type="dxa"/>
              <w:right w:w="140" w:type="dxa"/>
            </w:tcMar>
            <w:vAlign w:val="center"/>
          </w:tcPr>
          <w:p w14:paraId="5A028D07" w14:textId="77777777" w:rsidR="001A5A8C" w:rsidRDefault="00000000">
            <w:r>
              <w:rPr>
                <w:sz w:val="19"/>
                <w:szCs w:val="19"/>
              </w:rPr>
              <w:t>Very strong general reasoning and instruction following</w:t>
            </w:r>
          </w:p>
        </w:tc>
        <w:tc>
          <w:tcPr>
            <w:tcW w:w="3600" w:type="dxa"/>
            <w:shd w:val="clear" w:color="auto" w:fill="FFFFFF"/>
            <w:tcMar>
              <w:top w:w="110" w:type="dxa"/>
              <w:left w:w="140" w:type="dxa"/>
              <w:bottom w:w="110" w:type="dxa"/>
              <w:right w:w="140" w:type="dxa"/>
            </w:tcMar>
            <w:vAlign w:val="center"/>
          </w:tcPr>
          <w:p w14:paraId="2EE928AD" w14:textId="77777777" w:rsidR="001A5A8C" w:rsidRDefault="00000000">
            <w:r>
              <w:rPr>
                <w:sz w:val="19"/>
                <w:szCs w:val="19"/>
              </w:rPr>
              <w:t>Paid per token, higher latency than Groq's LPU inference; overkill for summarising 3 retrieved passages</w:t>
            </w:r>
          </w:p>
        </w:tc>
      </w:tr>
      <w:tr w:rsidR="001A5A8C" w14:paraId="465E6334" w14:textId="77777777">
        <w:tblPrEx>
          <w:tblCellMar>
            <w:top w:w="0" w:type="dxa"/>
            <w:bottom w:w="0" w:type="dxa"/>
          </w:tblCellMar>
        </w:tblPrEx>
        <w:tc>
          <w:tcPr>
            <w:tcW w:w="2600" w:type="dxa"/>
            <w:shd w:val="clear" w:color="auto" w:fill="F2F6F5"/>
            <w:tcMar>
              <w:top w:w="110" w:type="dxa"/>
              <w:left w:w="140" w:type="dxa"/>
              <w:bottom w:w="110" w:type="dxa"/>
              <w:right w:w="140" w:type="dxa"/>
            </w:tcMar>
            <w:vAlign w:val="center"/>
          </w:tcPr>
          <w:p w14:paraId="0542D544" w14:textId="77777777" w:rsidR="001A5A8C" w:rsidRDefault="00000000">
            <w:r>
              <w:rPr>
                <w:sz w:val="19"/>
                <w:szCs w:val="19"/>
              </w:rPr>
              <w:t>Local model via Ollama (e.g. Llama 3 8B on-device)</w:t>
            </w:r>
          </w:p>
        </w:tc>
        <w:tc>
          <w:tcPr>
            <w:tcW w:w="3800" w:type="dxa"/>
            <w:shd w:val="clear" w:color="auto" w:fill="F2F6F5"/>
            <w:tcMar>
              <w:top w:w="110" w:type="dxa"/>
              <w:left w:w="140" w:type="dxa"/>
              <w:bottom w:w="110" w:type="dxa"/>
              <w:right w:w="140" w:type="dxa"/>
            </w:tcMar>
            <w:vAlign w:val="center"/>
          </w:tcPr>
          <w:p w14:paraId="6FFC41A8" w14:textId="77777777" w:rsidR="001A5A8C" w:rsidRDefault="00000000">
            <w:r>
              <w:rPr>
                <w:sz w:val="19"/>
                <w:szCs w:val="19"/>
              </w:rPr>
              <w:t>Zero API cost, fully offline, no data leaves the machine</w:t>
            </w:r>
          </w:p>
        </w:tc>
        <w:tc>
          <w:tcPr>
            <w:tcW w:w="3600" w:type="dxa"/>
            <w:shd w:val="clear" w:color="auto" w:fill="F2F6F5"/>
            <w:tcMar>
              <w:top w:w="110" w:type="dxa"/>
              <w:left w:w="140" w:type="dxa"/>
              <w:bottom w:w="110" w:type="dxa"/>
              <w:right w:w="140" w:type="dxa"/>
            </w:tcMar>
            <w:vAlign w:val="center"/>
          </w:tcPr>
          <w:p w14:paraId="3B6FAD76" w14:textId="77777777" w:rsidR="001A5A8C" w:rsidRDefault="00000000">
            <w:r>
              <w:rPr>
                <w:sz w:val="19"/>
                <w:szCs w:val="19"/>
              </w:rPr>
              <w:t>Needs a reasonably capable GPU to be fast; inconsistent performance across the different laptops this had to run on during development</w:t>
            </w:r>
          </w:p>
        </w:tc>
      </w:tr>
      <w:tr w:rsidR="001A5A8C" w14:paraId="1A62B9DA" w14:textId="77777777">
        <w:tblPrEx>
          <w:tblCellMar>
            <w:top w:w="0" w:type="dxa"/>
            <w:bottom w:w="0" w:type="dxa"/>
          </w:tblCellMar>
        </w:tblPrEx>
        <w:tc>
          <w:tcPr>
            <w:tcW w:w="2600" w:type="dxa"/>
            <w:shd w:val="clear" w:color="auto" w:fill="E9FBF5"/>
            <w:tcMar>
              <w:top w:w="110" w:type="dxa"/>
              <w:left w:w="140" w:type="dxa"/>
              <w:bottom w:w="110" w:type="dxa"/>
              <w:right w:w="140" w:type="dxa"/>
            </w:tcMar>
            <w:vAlign w:val="center"/>
          </w:tcPr>
          <w:p w14:paraId="2E10ABD7" w14:textId="77777777" w:rsidR="001A5A8C" w:rsidRDefault="00000000">
            <w:r>
              <w:rPr>
                <w:sz w:val="19"/>
                <w:szCs w:val="19"/>
              </w:rPr>
              <w:t>Groq — Llama 3.3 70B (chosen)</w:t>
            </w:r>
          </w:p>
        </w:tc>
        <w:tc>
          <w:tcPr>
            <w:tcW w:w="3800" w:type="dxa"/>
            <w:shd w:val="clear" w:color="auto" w:fill="E9FBF5"/>
            <w:tcMar>
              <w:top w:w="110" w:type="dxa"/>
              <w:left w:w="140" w:type="dxa"/>
              <w:bottom w:w="110" w:type="dxa"/>
              <w:right w:w="140" w:type="dxa"/>
            </w:tcMar>
            <w:vAlign w:val="center"/>
          </w:tcPr>
          <w:p w14:paraId="509D2ACD" w14:textId="77777777" w:rsidR="001A5A8C" w:rsidRDefault="00000000">
            <w:r>
              <w:rPr>
                <w:sz w:val="19"/>
                <w:szCs w:val="19"/>
              </w:rPr>
              <w:t>Free tier, extremely low latency, strong enough quality once grounded by retrieval</w:t>
            </w:r>
          </w:p>
        </w:tc>
        <w:tc>
          <w:tcPr>
            <w:tcW w:w="3600" w:type="dxa"/>
            <w:shd w:val="clear" w:color="auto" w:fill="E9FBF5"/>
            <w:tcMar>
              <w:top w:w="110" w:type="dxa"/>
              <w:left w:w="140" w:type="dxa"/>
              <w:bottom w:w="110" w:type="dxa"/>
              <w:right w:w="140" w:type="dxa"/>
            </w:tcMar>
            <w:vAlign w:val="center"/>
          </w:tcPr>
          <w:p w14:paraId="387FD031" w14:textId="77777777" w:rsidR="001A5A8C" w:rsidRDefault="00000000">
            <w:r>
              <w:rPr>
                <w:sz w:val="19"/>
                <w:szCs w:val="19"/>
              </w:rPr>
              <w:t>Smaller context window than frontier hosted models, and subject to Groq's own rate limits — mitigated with the 8B fallback</w:t>
            </w:r>
          </w:p>
        </w:tc>
      </w:tr>
    </w:tbl>
    <w:p w14:paraId="58808FB3" w14:textId="77777777" w:rsidR="001A5A8C" w:rsidRDefault="001A5A8C">
      <w:pPr>
        <w:spacing w:after="160"/>
      </w:pPr>
    </w:p>
    <w:p w14:paraId="5715A602" w14:textId="77777777" w:rsidR="001A5A8C" w:rsidRDefault="00000000">
      <w:pPr>
        <w:pStyle w:val="Heading2"/>
        <w:spacing w:before="320" w:after="140"/>
      </w:pPr>
      <w:r>
        <w:rPr>
          <w:b/>
          <w:bCs/>
          <w:color w:val="1A1A2E"/>
          <w:sz w:val="24"/>
          <w:szCs w:val="24"/>
        </w:rPr>
        <w:t>3.2 Embedding Model — BAAI/bge-small-en-v1.5</w:t>
      </w:r>
    </w:p>
    <w:p w14:paraId="748E8EB6" w14:textId="77777777" w:rsidR="001A5A8C" w:rsidRDefault="00000000">
      <w:pPr>
        <w:spacing w:after="180" w:line="300" w:lineRule="auto"/>
        <w:jc w:val="both"/>
      </w:pPr>
      <w:r>
        <w:t>Both the document chunks (at ingestion time) and the user's question (at query time) are converted into 384-dimensional vectors using BAAI/bge-small-en-v1.5, a compact open-source embedding model run locally through Hugging Face's sentence-transformers, so there is no network call and no per-token cost for embeddings.</w:t>
      </w:r>
    </w:p>
    <w:p w14:paraId="1C05E337" w14:textId="77777777" w:rsidR="001A5A8C" w:rsidRDefault="00000000">
      <w:pPr>
        <w:pStyle w:val="Heading3"/>
        <w:spacing w:before="220" w:after="100"/>
      </w:pPr>
      <w:r>
        <w:rPr>
          <w:b/>
          <w:bCs/>
          <w:color w:val="44546A"/>
          <w:sz w:val="21"/>
          <w:szCs w:val="21"/>
        </w:rPr>
        <w:t>Why a small local model instead of an embedding API?</w:t>
      </w:r>
    </w:p>
    <w:p w14:paraId="28EA7BA4" w14:textId="77777777" w:rsidR="001A5A8C" w:rsidRDefault="00000000">
      <w:pPr>
        <w:spacing w:after="180" w:line="300" w:lineRule="auto"/>
        <w:jc w:val="both"/>
      </w:pPr>
      <w:r>
        <w:t>Embeddings are computed far more often than generations — every chunk gets embedded once at ingestion, and every single question gets embedded at query time, so this is the step where API cost and latency would add up the fastest if it were outsourced. BGE-small is one of the better-performing compact models on the MTEB retrieval benchmark for its size, and running it locally means ingesting the entire 195-file corpus and embedding every user question costs nothing beyond CPU time. The “small” variant was chosen deliberately over BGE-base or BGE-large: for a documentation corpus written in fairly plain, consistent technical English, the retrieval quality difference between the small and larger variants is marginal, while the small model embeds noticeably faster — which matters both when re-running ingest.py during development and for keeping query latency low.</w:t>
      </w:r>
    </w:p>
    <w:p w14:paraId="46960111" w14:textId="77777777" w:rsidR="001A5A8C" w:rsidRDefault="00000000">
      <w:pPr>
        <w:pStyle w:val="Heading3"/>
        <w:spacing w:before="220" w:after="100"/>
      </w:pPr>
      <w:r>
        <w:rPr>
          <w:b/>
          <w:bCs/>
          <w:color w:val="44546A"/>
          <w:sz w:val="21"/>
          <w:szCs w:val="21"/>
        </w:rPr>
        <w:t>A detail that actually matters in practice: consistency.</w:t>
      </w:r>
    </w:p>
    <w:p w14:paraId="03B3D5C0" w14:textId="77777777" w:rsidR="001A5A8C" w:rsidRDefault="00000000">
      <w:pPr>
        <w:spacing w:after="180" w:line="300" w:lineRule="auto"/>
        <w:jc w:val="both"/>
      </w:pPr>
      <w:r>
        <w:t>One easy mistake in a RAG pipeline is embedding documents with one model and questions with a different one — the two vector spaces are not comparable, and similarity search silently returns garbage. rag.py deliberately re-loads config.EMBEDDING_MODEL_NAME to embed queries, the same constant ingest.py uses to embed documents, so the two can never drift apart as the project evolves.</w:t>
      </w:r>
    </w:p>
    <w:tbl>
      <w:tblPr>
        <w:tblW w:w="5000" w:type="pct"/>
        <w:tblBorders>
          <w:top w:val="single" w:sz="4" w:space="0" w:color="D9E2E1"/>
          <w:left w:val="single" w:sz="4" w:space="0" w:color="D9E2E1"/>
          <w:bottom w:val="single" w:sz="4" w:space="0" w:color="D9E2E1"/>
          <w:right w:val="single" w:sz="4" w:space="0" w:color="D9E2E1"/>
          <w:insideH w:val="single" w:sz="4" w:space="0" w:color="D9E2E1"/>
          <w:insideV w:val="single" w:sz="4" w:space="0" w:color="D9E2E1"/>
        </w:tblBorders>
        <w:tblCellMar>
          <w:left w:w="10" w:type="dxa"/>
          <w:right w:w="10" w:type="dxa"/>
        </w:tblCellMar>
        <w:tblLook w:val="04A0" w:firstRow="1" w:lastRow="0" w:firstColumn="1" w:lastColumn="0" w:noHBand="0" w:noVBand="1"/>
      </w:tblPr>
      <w:tblGrid>
        <w:gridCol w:w="2561"/>
        <w:gridCol w:w="3727"/>
        <w:gridCol w:w="3542"/>
      </w:tblGrid>
      <w:tr w:rsidR="001A5A8C" w14:paraId="351F7337" w14:textId="77777777">
        <w:tblPrEx>
          <w:tblCellMar>
            <w:top w:w="0" w:type="dxa"/>
            <w:bottom w:w="0" w:type="dxa"/>
          </w:tblCellMar>
        </w:tblPrEx>
        <w:trPr>
          <w:tblHeader/>
        </w:trPr>
        <w:tc>
          <w:tcPr>
            <w:tcW w:w="2600" w:type="dxa"/>
            <w:shd w:val="clear" w:color="auto" w:fill="046B54"/>
            <w:tcMar>
              <w:top w:w="110" w:type="dxa"/>
              <w:left w:w="140" w:type="dxa"/>
              <w:bottom w:w="110" w:type="dxa"/>
              <w:right w:w="140" w:type="dxa"/>
            </w:tcMar>
            <w:vAlign w:val="center"/>
          </w:tcPr>
          <w:p w14:paraId="251BE1CC" w14:textId="77777777" w:rsidR="001A5A8C" w:rsidRDefault="00000000">
            <w:r>
              <w:rPr>
                <w:b/>
                <w:bCs/>
                <w:color w:val="FFFFFF"/>
                <w:sz w:val="19"/>
                <w:szCs w:val="19"/>
              </w:rPr>
              <w:t>Option considered</w:t>
            </w:r>
          </w:p>
        </w:tc>
        <w:tc>
          <w:tcPr>
            <w:tcW w:w="3800" w:type="dxa"/>
            <w:shd w:val="clear" w:color="auto" w:fill="046B54"/>
            <w:tcMar>
              <w:top w:w="110" w:type="dxa"/>
              <w:left w:w="140" w:type="dxa"/>
              <w:bottom w:w="110" w:type="dxa"/>
              <w:right w:w="140" w:type="dxa"/>
            </w:tcMar>
            <w:vAlign w:val="center"/>
          </w:tcPr>
          <w:p w14:paraId="39B207AE" w14:textId="77777777" w:rsidR="001A5A8C" w:rsidRDefault="00000000">
            <w:r>
              <w:rPr>
                <w:b/>
                <w:bCs/>
                <w:color w:val="FFFFFF"/>
                <w:sz w:val="19"/>
                <w:szCs w:val="19"/>
              </w:rPr>
              <w:t>Strength</w:t>
            </w:r>
          </w:p>
        </w:tc>
        <w:tc>
          <w:tcPr>
            <w:tcW w:w="3600" w:type="dxa"/>
            <w:shd w:val="clear" w:color="auto" w:fill="046B54"/>
            <w:tcMar>
              <w:top w:w="110" w:type="dxa"/>
              <w:left w:w="140" w:type="dxa"/>
              <w:bottom w:w="110" w:type="dxa"/>
              <w:right w:w="140" w:type="dxa"/>
            </w:tcMar>
            <w:vAlign w:val="center"/>
          </w:tcPr>
          <w:p w14:paraId="7DDD7D5E" w14:textId="77777777" w:rsidR="001A5A8C" w:rsidRDefault="00000000">
            <w:r>
              <w:rPr>
                <w:b/>
                <w:bCs/>
                <w:color w:val="FFFFFF"/>
                <w:sz w:val="19"/>
                <w:szCs w:val="19"/>
              </w:rPr>
              <w:t>Why it was not chosen here</w:t>
            </w:r>
          </w:p>
        </w:tc>
      </w:tr>
      <w:tr w:rsidR="001A5A8C" w14:paraId="050C839B" w14:textId="77777777">
        <w:tblPrEx>
          <w:tblCellMar>
            <w:top w:w="0" w:type="dxa"/>
            <w:bottom w:w="0" w:type="dxa"/>
          </w:tblCellMar>
        </w:tblPrEx>
        <w:tc>
          <w:tcPr>
            <w:tcW w:w="2600" w:type="dxa"/>
            <w:shd w:val="clear" w:color="auto" w:fill="FFFFFF"/>
            <w:tcMar>
              <w:top w:w="110" w:type="dxa"/>
              <w:left w:w="140" w:type="dxa"/>
              <w:bottom w:w="110" w:type="dxa"/>
              <w:right w:w="140" w:type="dxa"/>
            </w:tcMar>
            <w:vAlign w:val="center"/>
          </w:tcPr>
          <w:p w14:paraId="1293C665" w14:textId="77777777" w:rsidR="001A5A8C" w:rsidRDefault="00000000">
            <w:r>
              <w:rPr>
                <w:sz w:val="19"/>
                <w:szCs w:val="19"/>
              </w:rPr>
              <w:t>OpenAI text-embedding-3-small</w:t>
            </w:r>
          </w:p>
        </w:tc>
        <w:tc>
          <w:tcPr>
            <w:tcW w:w="3800" w:type="dxa"/>
            <w:shd w:val="clear" w:color="auto" w:fill="FFFFFF"/>
            <w:tcMar>
              <w:top w:w="110" w:type="dxa"/>
              <w:left w:w="140" w:type="dxa"/>
              <w:bottom w:w="110" w:type="dxa"/>
              <w:right w:w="140" w:type="dxa"/>
            </w:tcMar>
            <w:vAlign w:val="center"/>
          </w:tcPr>
          <w:p w14:paraId="4A2EDA1F" w14:textId="77777777" w:rsidR="001A5A8C" w:rsidRDefault="00000000">
            <w:r>
              <w:rPr>
                <w:sz w:val="19"/>
                <w:szCs w:val="19"/>
              </w:rPr>
              <w:t>High quality, no local compute needed</w:t>
            </w:r>
          </w:p>
        </w:tc>
        <w:tc>
          <w:tcPr>
            <w:tcW w:w="3600" w:type="dxa"/>
            <w:shd w:val="clear" w:color="auto" w:fill="FFFFFF"/>
            <w:tcMar>
              <w:top w:w="110" w:type="dxa"/>
              <w:left w:w="140" w:type="dxa"/>
              <w:bottom w:w="110" w:type="dxa"/>
              <w:right w:w="140" w:type="dxa"/>
            </w:tcMar>
            <w:vAlign w:val="center"/>
          </w:tcPr>
          <w:p w14:paraId="0272B168" w14:textId="77777777" w:rsidR="001A5A8C" w:rsidRDefault="00000000">
            <w:r>
              <w:rPr>
                <w:sz w:val="19"/>
                <w:szCs w:val="19"/>
              </w:rPr>
              <w:t>Recurring per-token cost and a network round trip on every ingestion run and every question</w:t>
            </w:r>
          </w:p>
        </w:tc>
      </w:tr>
      <w:tr w:rsidR="001A5A8C" w14:paraId="278528F3" w14:textId="77777777">
        <w:tblPrEx>
          <w:tblCellMar>
            <w:top w:w="0" w:type="dxa"/>
            <w:bottom w:w="0" w:type="dxa"/>
          </w:tblCellMar>
        </w:tblPrEx>
        <w:tc>
          <w:tcPr>
            <w:tcW w:w="2600" w:type="dxa"/>
            <w:shd w:val="clear" w:color="auto" w:fill="F2F6F5"/>
            <w:tcMar>
              <w:top w:w="110" w:type="dxa"/>
              <w:left w:w="140" w:type="dxa"/>
              <w:bottom w:w="110" w:type="dxa"/>
              <w:right w:w="140" w:type="dxa"/>
            </w:tcMar>
            <w:vAlign w:val="center"/>
          </w:tcPr>
          <w:p w14:paraId="4C2173DA" w14:textId="77777777" w:rsidR="001A5A8C" w:rsidRDefault="00000000">
            <w:r>
              <w:rPr>
                <w:sz w:val="19"/>
                <w:szCs w:val="19"/>
              </w:rPr>
              <w:t>BGE-large-en-v1.5</w:t>
            </w:r>
          </w:p>
        </w:tc>
        <w:tc>
          <w:tcPr>
            <w:tcW w:w="3800" w:type="dxa"/>
            <w:shd w:val="clear" w:color="auto" w:fill="F2F6F5"/>
            <w:tcMar>
              <w:top w:w="110" w:type="dxa"/>
              <w:left w:w="140" w:type="dxa"/>
              <w:bottom w:w="110" w:type="dxa"/>
              <w:right w:w="140" w:type="dxa"/>
            </w:tcMar>
            <w:vAlign w:val="center"/>
          </w:tcPr>
          <w:p w14:paraId="3A6658EA" w14:textId="77777777" w:rsidR="001A5A8C" w:rsidRDefault="00000000">
            <w:r>
              <w:rPr>
                <w:sz w:val="19"/>
                <w:szCs w:val="19"/>
              </w:rPr>
              <w:t>Slightly higher retrieval accuracy on benchmarks</w:t>
            </w:r>
          </w:p>
        </w:tc>
        <w:tc>
          <w:tcPr>
            <w:tcW w:w="3600" w:type="dxa"/>
            <w:shd w:val="clear" w:color="auto" w:fill="F2F6F5"/>
            <w:tcMar>
              <w:top w:w="110" w:type="dxa"/>
              <w:left w:w="140" w:type="dxa"/>
              <w:bottom w:w="110" w:type="dxa"/>
              <w:right w:w="140" w:type="dxa"/>
            </w:tcMar>
            <w:vAlign w:val="center"/>
          </w:tcPr>
          <w:p w14:paraId="036DD4B0" w14:textId="77777777" w:rsidR="001A5A8C" w:rsidRDefault="00000000">
            <w:r>
              <w:rPr>
                <w:sz w:val="19"/>
                <w:szCs w:val="19"/>
              </w:rPr>
              <w:t>Larger footprint and slower embedding for a marginal gain on documentation-style text</w:t>
            </w:r>
          </w:p>
        </w:tc>
      </w:tr>
      <w:tr w:rsidR="001A5A8C" w14:paraId="11ACEEBC" w14:textId="77777777">
        <w:tblPrEx>
          <w:tblCellMar>
            <w:top w:w="0" w:type="dxa"/>
            <w:bottom w:w="0" w:type="dxa"/>
          </w:tblCellMar>
        </w:tblPrEx>
        <w:tc>
          <w:tcPr>
            <w:tcW w:w="2600" w:type="dxa"/>
            <w:shd w:val="clear" w:color="auto" w:fill="FFFFFF"/>
            <w:tcMar>
              <w:top w:w="110" w:type="dxa"/>
              <w:left w:w="140" w:type="dxa"/>
              <w:bottom w:w="110" w:type="dxa"/>
              <w:right w:w="140" w:type="dxa"/>
            </w:tcMar>
            <w:vAlign w:val="center"/>
          </w:tcPr>
          <w:p w14:paraId="3A80B0EB" w14:textId="77777777" w:rsidR="001A5A8C" w:rsidRDefault="00000000">
            <w:r>
              <w:rPr>
                <w:sz w:val="19"/>
                <w:szCs w:val="19"/>
              </w:rPr>
              <w:t>BGE-small-en-v1.5 (chosen)</w:t>
            </w:r>
          </w:p>
        </w:tc>
        <w:tc>
          <w:tcPr>
            <w:tcW w:w="3800" w:type="dxa"/>
            <w:shd w:val="clear" w:color="auto" w:fill="FFFFFF"/>
            <w:tcMar>
              <w:top w:w="110" w:type="dxa"/>
              <w:left w:w="140" w:type="dxa"/>
              <w:bottom w:w="110" w:type="dxa"/>
              <w:right w:w="140" w:type="dxa"/>
            </w:tcMar>
            <w:vAlign w:val="center"/>
          </w:tcPr>
          <w:p w14:paraId="760FFB83" w14:textId="77777777" w:rsidR="001A5A8C" w:rsidRDefault="00000000">
            <w:r>
              <w:rPr>
                <w:sz w:val="19"/>
                <w:szCs w:val="19"/>
              </w:rPr>
              <w:t>Free, local, fast, strong accuracy-to-size ratio</w:t>
            </w:r>
          </w:p>
        </w:tc>
        <w:tc>
          <w:tcPr>
            <w:tcW w:w="3600" w:type="dxa"/>
            <w:shd w:val="clear" w:color="auto" w:fill="FFFFFF"/>
            <w:tcMar>
              <w:top w:w="110" w:type="dxa"/>
              <w:left w:w="140" w:type="dxa"/>
              <w:bottom w:w="110" w:type="dxa"/>
              <w:right w:w="140" w:type="dxa"/>
            </w:tcMar>
            <w:vAlign w:val="center"/>
          </w:tcPr>
          <w:p w14:paraId="5E30D01E" w14:textId="77777777" w:rsidR="001A5A8C" w:rsidRDefault="00000000">
            <w:r>
              <w:rPr>
                <w:sz w:val="19"/>
                <w:szCs w:val="19"/>
              </w:rPr>
              <w:t>Slightly lower ceiling than the largest embedding models on very nuanced semantic queries — not a practical issue for this corpus</w:t>
            </w:r>
          </w:p>
        </w:tc>
      </w:tr>
    </w:tbl>
    <w:p w14:paraId="324F61FD" w14:textId="77777777" w:rsidR="001A5A8C" w:rsidRDefault="001A5A8C">
      <w:pPr>
        <w:spacing w:after="160"/>
      </w:pPr>
    </w:p>
    <w:p w14:paraId="2A6EE986" w14:textId="77777777" w:rsidR="001A5A8C" w:rsidRDefault="00000000">
      <w:pPr>
        <w:pStyle w:val="Heading2"/>
        <w:spacing w:before="320" w:after="140"/>
      </w:pPr>
      <w:r>
        <w:rPr>
          <w:b/>
          <w:bCs/>
          <w:color w:val="1A1A2E"/>
          <w:sz w:val="24"/>
          <w:szCs w:val="24"/>
        </w:rPr>
        <w:t>3.3 Vector Database — ChromaDB</w:t>
      </w:r>
    </w:p>
    <w:p w14:paraId="7C017F82" w14:textId="77777777" w:rsidR="001A5A8C" w:rsidRDefault="00000000">
      <w:pPr>
        <w:spacing w:after="180" w:line="300" w:lineRule="auto"/>
        <w:jc w:val="both"/>
      </w:pPr>
      <w:r>
        <w:t>Retrieved chunks are stored and searched using ChromaDB in its embedded, file-persisted mode — there is no separate database server to run or configure. The entire vector index lives inside the chroma_db/ folder next to the project, and LangChain's Chroma wrapper handles both writing during ingestion and cosine-similarity search at query time.</w:t>
      </w:r>
    </w:p>
    <w:p w14:paraId="6085A984" w14:textId="77777777" w:rsidR="001A5A8C" w:rsidRDefault="00000000">
      <w:pPr>
        <w:pStyle w:val="Heading3"/>
        <w:spacing w:before="220" w:after="100"/>
      </w:pPr>
      <w:r>
        <w:rPr>
          <w:b/>
          <w:bCs/>
          <w:color w:val="44546A"/>
          <w:sz w:val="21"/>
          <w:szCs w:val="21"/>
        </w:rPr>
        <w:t>Why ChromaDB over a managed vector database?</w:t>
      </w:r>
    </w:p>
    <w:p w14:paraId="02C52092" w14:textId="77777777" w:rsidR="001A5A8C" w:rsidRDefault="00000000">
      <w:pPr>
        <w:spacing w:after="180" w:line="300" w:lineRule="auto"/>
        <w:jc w:val="both"/>
      </w:pPr>
      <w:r>
        <w:t>Managed vector databases such as Pinecone or Weaviate Cloud are built for a scale this project does not have. The FastAPI documentation and source code together produce a few thousand chunks — a collection ChromaDB searches in-process, in well under a second, with no network hop at all. Reaching for a hosted vector database here would mean introducing an account, an API key, a billing surface, and a network dependency to solve a problem that a local file-backed index already solves for free. ChromaDB also integrates directly with LangChain's vector store interface, so add_documents() and similarity_search() are one-liners in ingest.py and rag.py respectively, which keeps the pipeline code easy to read end-to-end.</w:t>
      </w:r>
    </w:p>
    <w:p w14:paraId="5F7F3EEE" w14:textId="77777777" w:rsidR="001A5A8C" w:rsidRDefault="00000000">
      <w:pPr>
        <w:pStyle w:val="Heading3"/>
        <w:spacing w:before="220" w:after="100"/>
      </w:pPr>
      <w:r>
        <w:rPr>
          <w:b/>
          <w:bCs/>
          <w:color w:val="44546A"/>
          <w:sz w:val="21"/>
          <w:szCs w:val="21"/>
        </w:rPr>
        <w:t>Why not FAISS, since it's also free and local?</w:t>
      </w:r>
    </w:p>
    <w:p w14:paraId="2F9E0BA7" w14:textId="77777777" w:rsidR="001A5A8C" w:rsidRDefault="00000000">
      <w:pPr>
        <w:spacing w:after="180" w:line="300" w:lineRule="auto"/>
        <w:jc w:val="both"/>
      </w:pPr>
      <w:r>
        <w:t>FAISS is an excellent similarity-search library, but it is exactly that — a library, not a database. It does not persist metadata (like the file name and chunk number this project attaches to every citation) alongside the vectors on its own; that bookkeeping has to be built by hand. ChromaDB stores vectors and their metadata together and persists both to disk automatically, which is precisely what is needed here to show a user which document a given answer came from without writing extra glue code.</w:t>
      </w:r>
    </w:p>
    <w:tbl>
      <w:tblPr>
        <w:tblW w:w="5000" w:type="pct"/>
        <w:tblBorders>
          <w:top w:val="single" w:sz="4" w:space="0" w:color="D9E2E1"/>
          <w:left w:val="single" w:sz="4" w:space="0" w:color="D9E2E1"/>
          <w:bottom w:val="single" w:sz="4" w:space="0" w:color="D9E2E1"/>
          <w:right w:val="single" w:sz="4" w:space="0" w:color="D9E2E1"/>
          <w:insideH w:val="single" w:sz="4" w:space="0" w:color="D9E2E1"/>
          <w:insideV w:val="single" w:sz="4" w:space="0" w:color="D9E2E1"/>
        </w:tblBorders>
        <w:tblCellMar>
          <w:left w:w="10" w:type="dxa"/>
          <w:right w:w="10" w:type="dxa"/>
        </w:tblCellMar>
        <w:tblLook w:val="04A0" w:firstRow="1" w:lastRow="0" w:firstColumn="1" w:lastColumn="0" w:noHBand="0" w:noVBand="1"/>
      </w:tblPr>
      <w:tblGrid>
        <w:gridCol w:w="2561"/>
        <w:gridCol w:w="3733"/>
        <w:gridCol w:w="3536"/>
      </w:tblGrid>
      <w:tr w:rsidR="001A5A8C" w14:paraId="2A730574" w14:textId="77777777">
        <w:tblPrEx>
          <w:tblCellMar>
            <w:top w:w="0" w:type="dxa"/>
            <w:bottom w:w="0" w:type="dxa"/>
          </w:tblCellMar>
        </w:tblPrEx>
        <w:trPr>
          <w:tblHeader/>
        </w:trPr>
        <w:tc>
          <w:tcPr>
            <w:tcW w:w="2600" w:type="dxa"/>
            <w:shd w:val="clear" w:color="auto" w:fill="046B54"/>
            <w:tcMar>
              <w:top w:w="110" w:type="dxa"/>
              <w:left w:w="140" w:type="dxa"/>
              <w:bottom w:w="110" w:type="dxa"/>
              <w:right w:w="140" w:type="dxa"/>
            </w:tcMar>
            <w:vAlign w:val="center"/>
          </w:tcPr>
          <w:p w14:paraId="5D31D251" w14:textId="77777777" w:rsidR="001A5A8C" w:rsidRDefault="00000000">
            <w:r>
              <w:rPr>
                <w:b/>
                <w:bCs/>
                <w:color w:val="FFFFFF"/>
                <w:sz w:val="19"/>
                <w:szCs w:val="19"/>
              </w:rPr>
              <w:t>Option considered</w:t>
            </w:r>
          </w:p>
        </w:tc>
        <w:tc>
          <w:tcPr>
            <w:tcW w:w="3800" w:type="dxa"/>
            <w:shd w:val="clear" w:color="auto" w:fill="046B54"/>
            <w:tcMar>
              <w:top w:w="110" w:type="dxa"/>
              <w:left w:w="140" w:type="dxa"/>
              <w:bottom w:w="110" w:type="dxa"/>
              <w:right w:w="140" w:type="dxa"/>
            </w:tcMar>
            <w:vAlign w:val="center"/>
          </w:tcPr>
          <w:p w14:paraId="5B5E66A9" w14:textId="77777777" w:rsidR="001A5A8C" w:rsidRDefault="00000000">
            <w:r>
              <w:rPr>
                <w:b/>
                <w:bCs/>
                <w:color w:val="FFFFFF"/>
                <w:sz w:val="19"/>
                <w:szCs w:val="19"/>
              </w:rPr>
              <w:t>Strength</w:t>
            </w:r>
          </w:p>
        </w:tc>
        <w:tc>
          <w:tcPr>
            <w:tcW w:w="3600" w:type="dxa"/>
            <w:shd w:val="clear" w:color="auto" w:fill="046B54"/>
            <w:tcMar>
              <w:top w:w="110" w:type="dxa"/>
              <w:left w:w="140" w:type="dxa"/>
              <w:bottom w:w="110" w:type="dxa"/>
              <w:right w:w="140" w:type="dxa"/>
            </w:tcMar>
            <w:vAlign w:val="center"/>
          </w:tcPr>
          <w:p w14:paraId="4F953730" w14:textId="77777777" w:rsidR="001A5A8C" w:rsidRDefault="00000000">
            <w:r>
              <w:rPr>
                <w:b/>
                <w:bCs/>
                <w:color w:val="FFFFFF"/>
                <w:sz w:val="19"/>
                <w:szCs w:val="19"/>
              </w:rPr>
              <w:t>Why it was not chosen here</w:t>
            </w:r>
          </w:p>
        </w:tc>
      </w:tr>
      <w:tr w:rsidR="001A5A8C" w14:paraId="5B39BE9A" w14:textId="77777777">
        <w:tblPrEx>
          <w:tblCellMar>
            <w:top w:w="0" w:type="dxa"/>
            <w:bottom w:w="0" w:type="dxa"/>
          </w:tblCellMar>
        </w:tblPrEx>
        <w:tc>
          <w:tcPr>
            <w:tcW w:w="2600" w:type="dxa"/>
            <w:shd w:val="clear" w:color="auto" w:fill="FFFFFF"/>
            <w:tcMar>
              <w:top w:w="110" w:type="dxa"/>
              <w:left w:w="140" w:type="dxa"/>
              <w:bottom w:w="110" w:type="dxa"/>
              <w:right w:w="140" w:type="dxa"/>
            </w:tcMar>
            <w:vAlign w:val="center"/>
          </w:tcPr>
          <w:p w14:paraId="19A504E4" w14:textId="77777777" w:rsidR="001A5A8C" w:rsidRDefault="00000000">
            <w:r>
              <w:rPr>
                <w:sz w:val="19"/>
                <w:szCs w:val="19"/>
              </w:rPr>
              <w:t>Pinecone / Weaviate Cloud</w:t>
            </w:r>
          </w:p>
        </w:tc>
        <w:tc>
          <w:tcPr>
            <w:tcW w:w="3800" w:type="dxa"/>
            <w:shd w:val="clear" w:color="auto" w:fill="FFFFFF"/>
            <w:tcMar>
              <w:top w:w="110" w:type="dxa"/>
              <w:left w:w="140" w:type="dxa"/>
              <w:bottom w:w="110" w:type="dxa"/>
              <w:right w:w="140" w:type="dxa"/>
            </w:tcMar>
            <w:vAlign w:val="center"/>
          </w:tcPr>
          <w:p w14:paraId="6AB958D2" w14:textId="77777777" w:rsidR="001A5A8C" w:rsidRDefault="00000000">
            <w:r>
              <w:rPr>
                <w:sz w:val="19"/>
                <w:szCs w:val="19"/>
              </w:rPr>
              <w:t>Scales to millions of vectors, managed infrastructure</w:t>
            </w:r>
          </w:p>
        </w:tc>
        <w:tc>
          <w:tcPr>
            <w:tcW w:w="3600" w:type="dxa"/>
            <w:shd w:val="clear" w:color="auto" w:fill="FFFFFF"/>
            <w:tcMar>
              <w:top w:w="110" w:type="dxa"/>
              <w:left w:w="140" w:type="dxa"/>
              <w:bottom w:w="110" w:type="dxa"/>
              <w:right w:w="140" w:type="dxa"/>
            </w:tcMar>
            <w:vAlign w:val="center"/>
          </w:tcPr>
          <w:p w14:paraId="639160C1" w14:textId="77777777" w:rsidR="001A5A8C" w:rsidRDefault="00000000">
            <w:r>
              <w:rPr>
                <w:sz w:val="19"/>
                <w:szCs w:val="19"/>
              </w:rPr>
              <w:t>Requires an account and network access for a corpus that is only a few thousand chunks — unnecessary operational weight</w:t>
            </w:r>
          </w:p>
        </w:tc>
      </w:tr>
      <w:tr w:rsidR="001A5A8C" w14:paraId="695EBF4C" w14:textId="77777777">
        <w:tblPrEx>
          <w:tblCellMar>
            <w:top w:w="0" w:type="dxa"/>
            <w:bottom w:w="0" w:type="dxa"/>
          </w:tblCellMar>
        </w:tblPrEx>
        <w:tc>
          <w:tcPr>
            <w:tcW w:w="2600" w:type="dxa"/>
            <w:shd w:val="clear" w:color="auto" w:fill="F2F6F5"/>
            <w:tcMar>
              <w:top w:w="110" w:type="dxa"/>
              <w:left w:w="140" w:type="dxa"/>
              <w:bottom w:w="110" w:type="dxa"/>
              <w:right w:w="140" w:type="dxa"/>
            </w:tcMar>
            <w:vAlign w:val="center"/>
          </w:tcPr>
          <w:p w14:paraId="515208C3" w14:textId="77777777" w:rsidR="001A5A8C" w:rsidRDefault="00000000">
            <w:r>
              <w:rPr>
                <w:sz w:val="19"/>
                <w:szCs w:val="19"/>
              </w:rPr>
              <w:t>FAISS</w:t>
            </w:r>
          </w:p>
        </w:tc>
        <w:tc>
          <w:tcPr>
            <w:tcW w:w="3800" w:type="dxa"/>
            <w:shd w:val="clear" w:color="auto" w:fill="F2F6F5"/>
            <w:tcMar>
              <w:top w:w="110" w:type="dxa"/>
              <w:left w:w="140" w:type="dxa"/>
              <w:bottom w:w="110" w:type="dxa"/>
              <w:right w:w="140" w:type="dxa"/>
            </w:tcMar>
            <w:vAlign w:val="center"/>
          </w:tcPr>
          <w:p w14:paraId="5327137B" w14:textId="77777777" w:rsidR="001A5A8C" w:rsidRDefault="00000000">
            <w:r>
              <w:rPr>
                <w:sz w:val="19"/>
                <w:szCs w:val="19"/>
              </w:rPr>
              <w:t>Very fast, minimal, widely used</w:t>
            </w:r>
          </w:p>
        </w:tc>
        <w:tc>
          <w:tcPr>
            <w:tcW w:w="3600" w:type="dxa"/>
            <w:shd w:val="clear" w:color="auto" w:fill="F2F6F5"/>
            <w:tcMar>
              <w:top w:w="110" w:type="dxa"/>
              <w:left w:w="140" w:type="dxa"/>
              <w:bottom w:w="110" w:type="dxa"/>
              <w:right w:w="140" w:type="dxa"/>
            </w:tcMar>
            <w:vAlign w:val="center"/>
          </w:tcPr>
          <w:p w14:paraId="1D232C14" w14:textId="77777777" w:rsidR="001A5A8C" w:rsidRDefault="00000000">
            <w:r>
              <w:rPr>
                <w:sz w:val="19"/>
                <w:szCs w:val="19"/>
              </w:rPr>
              <w:t>No built-in metadata storage or persistence layer — citations (file, path, chunk number) would need to be tracked separately</w:t>
            </w:r>
          </w:p>
        </w:tc>
      </w:tr>
      <w:tr w:rsidR="001A5A8C" w14:paraId="7E8F161A" w14:textId="77777777">
        <w:tblPrEx>
          <w:tblCellMar>
            <w:top w:w="0" w:type="dxa"/>
            <w:bottom w:w="0" w:type="dxa"/>
          </w:tblCellMar>
        </w:tblPrEx>
        <w:tc>
          <w:tcPr>
            <w:tcW w:w="2600" w:type="dxa"/>
            <w:shd w:val="clear" w:color="auto" w:fill="FFFFFF"/>
            <w:tcMar>
              <w:top w:w="110" w:type="dxa"/>
              <w:left w:w="140" w:type="dxa"/>
              <w:bottom w:w="110" w:type="dxa"/>
              <w:right w:w="140" w:type="dxa"/>
            </w:tcMar>
            <w:vAlign w:val="center"/>
          </w:tcPr>
          <w:p w14:paraId="72DDC41D" w14:textId="77777777" w:rsidR="001A5A8C" w:rsidRDefault="00000000">
            <w:r>
              <w:rPr>
                <w:sz w:val="19"/>
                <w:szCs w:val="19"/>
              </w:rPr>
              <w:t>ChromaDB (chosen)</w:t>
            </w:r>
          </w:p>
        </w:tc>
        <w:tc>
          <w:tcPr>
            <w:tcW w:w="3800" w:type="dxa"/>
            <w:shd w:val="clear" w:color="auto" w:fill="FFFFFF"/>
            <w:tcMar>
              <w:top w:w="110" w:type="dxa"/>
              <w:left w:w="140" w:type="dxa"/>
              <w:bottom w:w="110" w:type="dxa"/>
              <w:right w:w="140" w:type="dxa"/>
            </w:tcMar>
            <w:vAlign w:val="center"/>
          </w:tcPr>
          <w:p w14:paraId="40B96FE4" w14:textId="77777777" w:rsidR="001A5A8C" w:rsidRDefault="00000000">
            <w:r>
              <w:rPr>
                <w:sz w:val="19"/>
                <w:szCs w:val="19"/>
              </w:rPr>
              <w:t>Local, persistent, stores vectors and metadata together, trivial LangChain integration</w:t>
            </w:r>
          </w:p>
        </w:tc>
        <w:tc>
          <w:tcPr>
            <w:tcW w:w="3600" w:type="dxa"/>
            <w:shd w:val="clear" w:color="auto" w:fill="FFFFFF"/>
            <w:tcMar>
              <w:top w:w="110" w:type="dxa"/>
              <w:left w:w="140" w:type="dxa"/>
              <w:bottom w:w="110" w:type="dxa"/>
              <w:right w:w="140" w:type="dxa"/>
            </w:tcMar>
            <w:vAlign w:val="center"/>
          </w:tcPr>
          <w:p w14:paraId="25065246" w14:textId="77777777" w:rsidR="001A5A8C" w:rsidRDefault="00000000">
            <w:r>
              <w:rPr>
                <w:sz w:val="19"/>
                <w:szCs w:val="19"/>
              </w:rPr>
              <w:t>Not built for very large-scale or distributed workloads — not a concern at this project's size</w:t>
            </w:r>
          </w:p>
        </w:tc>
      </w:tr>
    </w:tbl>
    <w:p w14:paraId="524FD902" w14:textId="77777777" w:rsidR="001A5A8C" w:rsidRDefault="001A5A8C">
      <w:pPr>
        <w:spacing w:after="160"/>
      </w:pPr>
    </w:p>
    <w:p w14:paraId="5C44FB6A" w14:textId="77777777" w:rsidR="001A5A8C" w:rsidRDefault="00000000">
      <w:pPr>
        <w:pStyle w:val="Heading2"/>
        <w:spacing w:before="320" w:after="140"/>
      </w:pPr>
      <w:r>
        <w:rPr>
          <w:b/>
          <w:bCs/>
          <w:color w:val="1A1A2E"/>
          <w:sz w:val="24"/>
          <w:szCs w:val="24"/>
        </w:rPr>
        <w:t>3.4 Chunking Strategy — 500 Characters with 100-Character Overlap</w:t>
      </w:r>
    </w:p>
    <w:p w14:paraId="5D6DFB9B" w14:textId="77777777" w:rsidR="001A5A8C" w:rsidRDefault="00000000">
      <w:pPr>
        <w:spacing w:after="180" w:line="300" w:lineRule="auto"/>
        <w:jc w:val="both"/>
      </w:pPr>
      <w:r>
        <w:t>Documents are split using LangChain's RecursiveCharacterTextSplitter, configured for 500-character chunks with a 100-character overlap between consecutive chunks. The splitter tries to break on paragraph boundaries first, then sentences, then words, only falling back to a hard character cut as a last resort — so the 500-character target is a guideline the splitter tries to respect gracefully rather than a rigid cut point.</w:t>
      </w:r>
    </w:p>
    <w:p w14:paraId="5F5A4AF0" w14:textId="77777777" w:rsidR="001A5A8C" w:rsidRDefault="00000000">
      <w:pPr>
        <w:pStyle w:val="Heading3"/>
        <w:spacing w:before="220" w:after="100"/>
      </w:pPr>
      <w:r>
        <w:rPr>
          <w:b/>
          <w:bCs/>
          <w:color w:val="44546A"/>
          <w:sz w:val="21"/>
          <w:szCs w:val="21"/>
        </w:rPr>
        <w:t>Why 500 characters?</w:t>
      </w:r>
    </w:p>
    <w:p w14:paraId="25F9CD07" w14:textId="77777777" w:rsidR="001A5A8C" w:rsidRDefault="00000000">
      <w:pPr>
        <w:spacing w:after="180" w:line="300" w:lineRule="auto"/>
        <w:jc w:val="both"/>
      </w:pPr>
      <w:r>
        <w:t>This is close to the length of a single well-formed paragraph in the FastAPI documentation, which tends to be organised into short, single-topic sections already — one paragraph typically explains one concept (a parameter, a decorator, a behaviour). A smaller chunk risks cutting a explanation in half, so the retrieved passage reads as an incomplete sentence with no context. A much larger chunk (1500+ characters) tends to pull in the next paragraph's unrelated content along with the relevant one, which dilutes the prompt the LLM sees and increases the odds it anchors on the wrong sentence. 500 characters was not chosen purely by intuition — it was tested against the corpus by running a set of real FastAPI questions and checking whether the retrieved chunk actually contained the answer; smaller and larger values were also tried and produced visibly worse retrieval on cross-topic questions.</w:t>
      </w:r>
    </w:p>
    <w:p w14:paraId="7B3B5856" w14:textId="77777777" w:rsidR="001A5A8C" w:rsidRDefault="00000000">
      <w:pPr>
        <w:pStyle w:val="Heading3"/>
        <w:spacing w:before="220" w:after="100"/>
      </w:pPr>
      <w:r>
        <w:rPr>
          <w:b/>
          <w:bCs/>
          <w:color w:val="44546A"/>
          <w:sz w:val="21"/>
          <w:szCs w:val="21"/>
        </w:rPr>
        <w:t>Why 100 characters of overlap?</w:t>
      </w:r>
    </w:p>
    <w:p w14:paraId="2EB8D06E" w14:textId="77777777" w:rsidR="001A5A8C" w:rsidRDefault="00000000">
      <w:pPr>
        <w:spacing w:after="180" w:line="300" w:lineRule="auto"/>
        <w:jc w:val="both"/>
      </w:pPr>
      <w:r>
        <w:t>Without overlap, a sentence that happens to fall exactly on a chunk boundary gets split between two chunks, and depending on which one gets retrieved, the answer may be missing its first or last half. A 100-character overlap (20% of the chunk size) means the end of one chunk repeats at the start of the next, so a sentence near a boundary appears intact in at least one of the two chunks. This is a standard, well-tested ratio for prose-heavy technical documentation — large enough to catch boundary sentences, small enough that it does not meaningfully bloat the size of the index.</w:t>
      </w:r>
    </w:p>
    <w:p w14:paraId="0320E91A" w14:textId="77777777" w:rsidR="001A5A8C" w:rsidRDefault="00000000">
      <w:pPr>
        <w:pStyle w:val="Heading3"/>
        <w:spacing w:before="220" w:after="100"/>
      </w:pPr>
      <w:r>
        <w:rPr>
          <w:b/>
          <w:bCs/>
          <w:color w:val="44546A"/>
          <w:sz w:val="21"/>
          <w:szCs w:val="21"/>
        </w:rPr>
        <w:t>Why not semantic chunking (splitting on topic boundaries via headers or embeddings)?</w:t>
      </w:r>
    </w:p>
    <w:p w14:paraId="209B3575" w14:textId="77777777" w:rsidR="001A5A8C" w:rsidRDefault="00000000">
      <w:pPr>
        <w:spacing w:after="180" w:line="300" w:lineRule="auto"/>
        <w:jc w:val="both"/>
      </w:pPr>
      <w:r>
        <w:t>Semantic chunking can produce more naturally-scoped chunks, but it is a meaningfully more complex thing to implement correctly, and it is most valuable on messy, unstructured text. The FastAPI documentation is already organised into short Markdown files with a clear topic per section, so a straightforward recursive character splitter gets most of the same benefit with a fraction of the implementation and tuning effort — an example of matching the complexity of the tool to what the data actually needs, rather than reaching for the most sophisticated option by default.</w:t>
      </w:r>
    </w:p>
    <w:tbl>
      <w:tblPr>
        <w:tblW w:w="5000" w:type="pct"/>
        <w:tblBorders>
          <w:top w:val="single" w:sz="4" w:space="0" w:color="D9E2E1"/>
          <w:left w:val="single" w:sz="4" w:space="0" w:color="D9E2E1"/>
          <w:bottom w:val="single" w:sz="4" w:space="0" w:color="D9E2E1"/>
          <w:right w:val="single" w:sz="4" w:space="0" w:color="D9E2E1"/>
          <w:insideH w:val="single" w:sz="4" w:space="0" w:color="D9E2E1"/>
          <w:insideV w:val="single" w:sz="4" w:space="0" w:color="D9E2E1"/>
        </w:tblBorders>
        <w:tblCellMar>
          <w:left w:w="10" w:type="dxa"/>
          <w:right w:w="10" w:type="dxa"/>
        </w:tblCellMar>
        <w:tblLook w:val="04A0" w:firstRow="1" w:lastRow="0" w:firstColumn="1" w:lastColumn="0" w:noHBand="0" w:noVBand="1"/>
      </w:tblPr>
      <w:tblGrid>
        <w:gridCol w:w="3151"/>
        <w:gridCol w:w="6679"/>
      </w:tblGrid>
      <w:tr w:rsidR="001A5A8C" w14:paraId="69DCE2AB" w14:textId="77777777">
        <w:tblPrEx>
          <w:tblCellMar>
            <w:top w:w="0" w:type="dxa"/>
            <w:bottom w:w="0" w:type="dxa"/>
          </w:tblCellMar>
        </w:tblPrEx>
        <w:trPr>
          <w:tblHeader/>
        </w:trPr>
        <w:tc>
          <w:tcPr>
            <w:tcW w:w="3200" w:type="dxa"/>
            <w:shd w:val="clear" w:color="auto" w:fill="046B54"/>
            <w:tcMar>
              <w:top w:w="110" w:type="dxa"/>
              <w:left w:w="140" w:type="dxa"/>
              <w:bottom w:w="110" w:type="dxa"/>
              <w:right w:w="140" w:type="dxa"/>
            </w:tcMar>
            <w:vAlign w:val="center"/>
          </w:tcPr>
          <w:p w14:paraId="7D5E8705" w14:textId="77777777" w:rsidR="001A5A8C" w:rsidRDefault="00000000">
            <w:r>
              <w:rPr>
                <w:b/>
                <w:bCs/>
                <w:color w:val="FFFFFF"/>
                <w:sz w:val="19"/>
                <w:szCs w:val="19"/>
              </w:rPr>
              <w:t>Chunk size</w:t>
            </w:r>
          </w:p>
        </w:tc>
        <w:tc>
          <w:tcPr>
            <w:tcW w:w="6800" w:type="dxa"/>
            <w:shd w:val="clear" w:color="auto" w:fill="046B54"/>
            <w:tcMar>
              <w:top w:w="110" w:type="dxa"/>
              <w:left w:w="140" w:type="dxa"/>
              <w:bottom w:w="110" w:type="dxa"/>
              <w:right w:w="140" w:type="dxa"/>
            </w:tcMar>
            <w:vAlign w:val="center"/>
          </w:tcPr>
          <w:p w14:paraId="2E6EC088" w14:textId="77777777" w:rsidR="001A5A8C" w:rsidRDefault="00000000">
            <w:r>
              <w:rPr>
                <w:b/>
                <w:bCs/>
                <w:color w:val="FFFFFF"/>
                <w:sz w:val="19"/>
                <w:szCs w:val="19"/>
              </w:rPr>
              <w:t>Effect observed</w:t>
            </w:r>
          </w:p>
        </w:tc>
      </w:tr>
      <w:tr w:rsidR="001A5A8C" w14:paraId="5AED9952" w14:textId="77777777">
        <w:tblPrEx>
          <w:tblCellMar>
            <w:top w:w="0" w:type="dxa"/>
            <w:bottom w:w="0" w:type="dxa"/>
          </w:tblCellMar>
        </w:tblPrEx>
        <w:tc>
          <w:tcPr>
            <w:tcW w:w="3200" w:type="dxa"/>
            <w:shd w:val="clear" w:color="auto" w:fill="FFFFFF"/>
            <w:tcMar>
              <w:top w:w="110" w:type="dxa"/>
              <w:left w:w="140" w:type="dxa"/>
              <w:bottom w:w="110" w:type="dxa"/>
              <w:right w:w="140" w:type="dxa"/>
            </w:tcMar>
            <w:vAlign w:val="center"/>
          </w:tcPr>
          <w:p w14:paraId="59F09BFA" w14:textId="77777777" w:rsidR="001A5A8C" w:rsidRDefault="00000000">
            <w:r>
              <w:rPr>
                <w:sz w:val="19"/>
                <w:szCs w:val="19"/>
              </w:rPr>
              <w:t>Small (≈200 chars)</w:t>
            </w:r>
          </w:p>
        </w:tc>
        <w:tc>
          <w:tcPr>
            <w:tcW w:w="6800" w:type="dxa"/>
            <w:shd w:val="clear" w:color="auto" w:fill="FFFFFF"/>
            <w:tcMar>
              <w:top w:w="110" w:type="dxa"/>
              <w:left w:w="140" w:type="dxa"/>
              <w:bottom w:w="110" w:type="dxa"/>
              <w:right w:w="140" w:type="dxa"/>
            </w:tcMar>
            <w:vAlign w:val="center"/>
          </w:tcPr>
          <w:p w14:paraId="7E9CA833" w14:textId="77777777" w:rsidR="001A5A8C" w:rsidRDefault="00000000">
            <w:r>
              <w:rPr>
                <w:sz w:val="19"/>
                <w:szCs w:val="19"/>
              </w:rPr>
              <w:t>Chunks were sometimes too short to contain a full explanation on their own — the retrieved passage would reference something the previous sentence had defined, which was now in a different chunk</w:t>
            </w:r>
          </w:p>
        </w:tc>
      </w:tr>
      <w:tr w:rsidR="001A5A8C" w14:paraId="17AF8EBD" w14:textId="77777777">
        <w:tblPrEx>
          <w:tblCellMar>
            <w:top w:w="0" w:type="dxa"/>
            <w:bottom w:w="0" w:type="dxa"/>
          </w:tblCellMar>
        </w:tblPrEx>
        <w:tc>
          <w:tcPr>
            <w:tcW w:w="3200" w:type="dxa"/>
            <w:shd w:val="clear" w:color="auto" w:fill="F2F6F5"/>
            <w:tcMar>
              <w:top w:w="110" w:type="dxa"/>
              <w:left w:w="140" w:type="dxa"/>
              <w:bottom w:w="110" w:type="dxa"/>
              <w:right w:w="140" w:type="dxa"/>
            </w:tcMar>
            <w:vAlign w:val="center"/>
          </w:tcPr>
          <w:p w14:paraId="681FD519" w14:textId="77777777" w:rsidR="001A5A8C" w:rsidRDefault="00000000">
            <w:r>
              <w:rPr>
                <w:sz w:val="19"/>
                <w:szCs w:val="19"/>
              </w:rPr>
              <w:t>500 / 100 (chosen)</w:t>
            </w:r>
          </w:p>
        </w:tc>
        <w:tc>
          <w:tcPr>
            <w:tcW w:w="6800" w:type="dxa"/>
            <w:shd w:val="clear" w:color="auto" w:fill="F2F6F5"/>
            <w:tcMar>
              <w:top w:w="110" w:type="dxa"/>
              <w:left w:w="140" w:type="dxa"/>
              <w:bottom w:w="110" w:type="dxa"/>
              <w:right w:w="140" w:type="dxa"/>
            </w:tcMar>
            <w:vAlign w:val="center"/>
          </w:tcPr>
          <w:p w14:paraId="283F1905" w14:textId="77777777" w:rsidR="001A5A8C" w:rsidRDefault="00000000">
            <w:r>
              <w:rPr>
                <w:sz w:val="19"/>
                <w:szCs w:val="19"/>
              </w:rPr>
              <w:t>Consistently retrieved a complete, self-contained explanation for common FastAPI questions, while keeping the prompt short</w:t>
            </w:r>
          </w:p>
        </w:tc>
      </w:tr>
      <w:tr w:rsidR="001A5A8C" w14:paraId="64896E80" w14:textId="77777777">
        <w:tblPrEx>
          <w:tblCellMar>
            <w:top w:w="0" w:type="dxa"/>
            <w:bottom w:w="0" w:type="dxa"/>
          </w:tblCellMar>
        </w:tblPrEx>
        <w:tc>
          <w:tcPr>
            <w:tcW w:w="3200" w:type="dxa"/>
            <w:shd w:val="clear" w:color="auto" w:fill="FFFFFF"/>
            <w:tcMar>
              <w:top w:w="110" w:type="dxa"/>
              <w:left w:w="140" w:type="dxa"/>
              <w:bottom w:w="110" w:type="dxa"/>
              <w:right w:w="140" w:type="dxa"/>
            </w:tcMar>
            <w:vAlign w:val="center"/>
          </w:tcPr>
          <w:p w14:paraId="4503ABCC" w14:textId="77777777" w:rsidR="001A5A8C" w:rsidRDefault="00000000">
            <w:r>
              <w:rPr>
                <w:sz w:val="19"/>
                <w:szCs w:val="19"/>
              </w:rPr>
              <w:t>Large (≥1500 chars)</w:t>
            </w:r>
          </w:p>
        </w:tc>
        <w:tc>
          <w:tcPr>
            <w:tcW w:w="6800" w:type="dxa"/>
            <w:shd w:val="clear" w:color="auto" w:fill="FFFFFF"/>
            <w:tcMar>
              <w:top w:w="110" w:type="dxa"/>
              <w:left w:w="140" w:type="dxa"/>
              <w:bottom w:w="110" w:type="dxa"/>
              <w:right w:w="140" w:type="dxa"/>
            </w:tcMar>
            <w:vAlign w:val="center"/>
          </w:tcPr>
          <w:p w14:paraId="38E2815C" w14:textId="77777777" w:rsidR="001A5A8C" w:rsidRDefault="00000000">
            <w:r>
              <w:rPr>
                <w:sz w:val="19"/>
                <w:szCs w:val="19"/>
              </w:rPr>
              <w:t>More context per chunk, but retrieval got noisier — irrelevant surrounding text was pulled in alongside the relevant sentence</w:t>
            </w:r>
          </w:p>
        </w:tc>
      </w:tr>
    </w:tbl>
    <w:p w14:paraId="07611AAA" w14:textId="77777777" w:rsidR="001A5A8C" w:rsidRDefault="001A5A8C">
      <w:pPr>
        <w:spacing w:after="160"/>
      </w:pPr>
    </w:p>
    <w:p w14:paraId="3348B065" w14:textId="77777777" w:rsidR="001A5A8C" w:rsidRDefault="00000000">
      <w:pPr>
        <w:pStyle w:val="Heading3"/>
        <w:spacing w:before="220" w:after="100"/>
      </w:pPr>
      <w:r>
        <w:rPr>
          <w:b/>
          <w:bCs/>
          <w:color w:val="44546A"/>
          <w:sz w:val="21"/>
          <w:szCs w:val="21"/>
        </w:rPr>
        <w:t>Retrieval depth — why Top-K = 3</w:t>
      </w:r>
    </w:p>
    <w:p w14:paraId="06A3D4DB" w14:textId="77777777" w:rsidR="001A5A8C" w:rsidRDefault="00000000">
      <w:pPr>
        <w:spacing w:after="180" w:line="300" w:lineRule="auto"/>
        <w:jc w:val="both"/>
      </w:pPr>
      <w:r>
        <w:t>At query time, ChromaDB returns the three most similar chunks (TOP_K = 3 in config.py), which are concatenated into the prompt with a labelled [Source N] header for each. K=1 was too fragile — a fair number of real questions need two related sentences that happen to sit in adjacent chunks (for example, a question about how dependencies interact with background tasks touches both topics). Pushing K up to 5 or 10 gave only a marginal recall improvement in testing, at the cost of a longer prompt, slightly higher latency, and a small but real risk that the model would anchor on a borderline-relevant chunk that happened to rank in the top ten instead of the genuinely useful ones. Three chunks turned out to be the point where most questions had enough context to be answered completely without the prompt getting noisy.</w:t>
      </w:r>
    </w:p>
    <w:p w14:paraId="562997F2" w14:textId="77777777" w:rsidR="001A5A8C" w:rsidRDefault="00000000">
      <w:pPr>
        <w:pStyle w:val="Heading1"/>
        <w:pBdr>
          <w:bottom w:val="single" w:sz="6" w:space="4" w:color="05A67E"/>
        </w:pBdr>
        <w:spacing w:before="420" w:after="200"/>
      </w:pPr>
      <w:r>
        <w:rPr>
          <w:b/>
          <w:bCs/>
          <w:color w:val="046B54"/>
          <w:sz w:val="30"/>
          <w:szCs w:val="30"/>
        </w:rPr>
        <w:t>4. Architecture</w:t>
      </w:r>
    </w:p>
    <w:p w14:paraId="14B6F635" w14:textId="77777777" w:rsidR="001A5A8C" w:rsidRDefault="00000000">
      <w:pPr>
        <w:spacing w:after="180" w:line="300" w:lineRule="auto"/>
        <w:jc w:val="both"/>
      </w:pPr>
      <w:r>
        <w:t>The diagram below shows the two halves of the system: the offline indexing pipeline that only needs to run when the source documents change, and the online query path that runs once per user question. They are connected by the ChromaDB collection, which the indexing pipeline writes and the query pipeline reads.</w:t>
      </w:r>
    </w:p>
    <w:p w14:paraId="4A101A2F" w14:textId="77777777" w:rsidR="001A5A8C" w:rsidRDefault="00000000">
      <w:pPr>
        <w:spacing w:before="160" w:after="40"/>
        <w:jc w:val="center"/>
      </w:pPr>
      <w:r>
        <w:rPr>
          <w:noProof/>
        </w:rPr>
        <w:drawing>
          <wp:inline distT="0" distB="0" distL="0" distR="0" wp14:anchorId="59538D17" wp14:editId="75589394">
            <wp:extent cx="5905500" cy="407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76700"/>
                    </a:xfrm>
                    <a:prstGeom prst="rect">
                      <a:avLst/>
                    </a:prstGeom>
                  </pic:spPr>
                </pic:pic>
              </a:graphicData>
            </a:graphic>
          </wp:inline>
        </w:drawing>
      </w:r>
    </w:p>
    <w:p w14:paraId="66C94920" w14:textId="77777777" w:rsidR="001A5A8C" w:rsidRDefault="00000000">
      <w:pPr>
        <w:spacing w:before="100" w:after="260"/>
        <w:jc w:val="center"/>
      </w:pPr>
      <w:r>
        <w:rPr>
          <w:i/>
          <w:iCs/>
          <w:color w:val="44546A"/>
          <w:sz w:val="18"/>
          <w:szCs w:val="18"/>
        </w:rPr>
        <w:t>Figure 1 — End-to-end architecture of the RAG pipeline, from raw documentation files to a cited answer in the browser.</w:t>
      </w:r>
    </w:p>
    <w:p w14:paraId="5307387A" w14:textId="77777777" w:rsidR="001A5A8C" w:rsidRDefault="00000000">
      <w:pPr>
        <w:pStyle w:val="Heading2"/>
        <w:spacing w:before="320" w:after="140"/>
      </w:pPr>
      <w:r>
        <w:rPr>
          <w:b/>
          <w:bCs/>
          <w:color w:val="1A1A2E"/>
          <w:sz w:val="24"/>
          <w:szCs w:val="24"/>
        </w:rPr>
        <w:t>4.1 Step by step</w:t>
      </w:r>
    </w:p>
    <w:p w14:paraId="570E70B8" w14:textId="77777777" w:rsidR="001A5A8C" w:rsidRDefault="00000000">
      <w:pPr>
        <w:pStyle w:val="ListParagraph"/>
        <w:numPr>
          <w:ilvl w:val="0"/>
          <w:numId w:val="1"/>
        </w:numPr>
        <w:spacing w:after="90" w:line="290" w:lineRule="auto"/>
      </w:pPr>
      <w:r>
        <w:rPr>
          <w:b/>
          <w:bCs/>
        </w:rPr>
        <w:t xml:space="preserve">Ingestion (ingest.py, run offline): </w:t>
      </w:r>
      <w:r>
        <w:t>any existing chroma_db/ folder is deleted first, so re-running ingestion never creates duplicate entries — every run rebuilds the collection from a clean slate. The data/ folder is scanned recursively for .md, .txt, and .py files. Local text files are read with LangChain's TextLoader, which opens them directly from disk; PDFs, if present, go through PyPDFLoader. Every loaded document is then split into the 500/100-character chunks described above, embedded with BGE-small, and written into a fresh ChromaDB collection along with metadata — file name, relative file path, and a per-file chunk number — that later becomes the citation shown to the user.</w:t>
      </w:r>
    </w:p>
    <w:p w14:paraId="600718DC" w14:textId="77777777" w:rsidR="001A5A8C" w:rsidRDefault="00000000">
      <w:pPr>
        <w:pStyle w:val="ListParagraph"/>
        <w:numPr>
          <w:ilvl w:val="0"/>
          <w:numId w:val="1"/>
        </w:numPr>
        <w:spacing w:after="90" w:line="290" w:lineRule="auto"/>
      </w:pPr>
      <w:r>
        <w:rPr>
          <w:b/>
          <w:bCs/>
        </w:rPr>
        <w:t xml:space="preserve">Query time (rag.py, called by app.py on every request): </w:t>
      </w:r>
      <w:r>
        <w:t>the incoming question is trimmed and normalised (clean_question), then embedded with the same BGE-small model used during ingestion — using a different model here would make the vectors incomparable. ChromaDB performs a cosine-similarity search and returns the top three chunks. Those chunks are formatted into a labelled context block and combined with a strict system prompt (see 4.2 below) before being sent to Groq's Llama 3.3 70B, with an automatic retry against Llama 3.1 8B if the first call fails. The API returns a JSON object containing the answer and a list of source citations, which the chat UI renders together, so nothing the assistant says is presented without evidence next to it.</w:t>
      </w:r>
    </w:p>
    <w:p w14:paraId="0B519DD8" w14:textId="77777777" w:rsidR="001A5A8C" w:rsidRDefault="00000000">
      <w:pPr>
        <w:pStyle w:val="Heading2"/>
        <w:spacing w:before="320" w:after="140"/>
      </w:pPr>
      <w:r>
        <w:rPr>
          <w:b/>
          <w:bCs/>
          <w:color w:val="1A1A2E"/>
          <w:sz w:val="24"/>
          <w:szCs w:val="24"/>
        </w:rPr>
        <w:t>4.2 Prompt design and grounding</w:t>
      </w:r>
    </w:p>
    <w:p w14:paraId="55212CDA" w14:textId="77777777" w:rsidR="001A5A8C" w:rsidRDefault="00000000">
      <w:pPr>
        <w:spacing w:after="180" w:line="300" w:lineRule="auto"/>
        <w:jc w:val="both"/>
      </w:pPr>
      <w:r>
        <w:t>The system prompt in rag.py enforces a small number of non-negotiable rules: answer only from the context provided, never draw on outside or training knowledge, and — critically — respond with one exact, fixed sentence when the answer is not in the retrieved context, rather than letting the model phrase its own refusal however it likes. Using a fixed refusal string rather than an open-ended “I don't know” was a deliberate choice: it makes the refusal behaviour something that can be tested programmatically (a health check or an automated test can simply check for that exact string) instead of trying to classify free-form text as a refusal or not.</w:t>
      </w:r>
    </w:p>
    <w:p w14:paraId="74C288AD" w14:textId="77777777" w:rsidR="001A5A8C" w:rsidRDefault="00000000">
      <w:pPr>
        <w:pStyle w:val="Heading2"/>
        <w:spacing w:before="320" w:after="140"/>
      </w:pPr>
      <w:r>
        <w:rPr>
          <w:b/>
          <w:bCs/>
          <w:color w:val="1A1A2E"/>
          <w:sz w:val="24"/>
          <w:szCs w:val="24"/>
        </w:rPr>
        <w:t>4.3 A real bug this design avoided</w:t>
      </w:r>
    </w:p>
    <w:p w14:paraId="66023AC0" w14:textId="77777777" w:rsidR="001A5A8C" w:rsidRDefault="00000000">
      <w:pPr>
        <w:spacing w:after="180" w:line="300" w:lineRule="auto"/>
        <w:jc w:val="both"/>
      </w:pPr>
      <w:r>
        <w:t>An earlier version of the ingestion step used a loader that was not appropriate for local files, and it failed with HTTP Error 403: Forbidden while trying to read plain Markdown files from disk:</w:t>
      </w:r>
    </w:p>
    <w:tbl>
      <w:tblPr>
        <w:tblW w:w="5000" w:type="pct"/>
        <w:tblBorders>
          <w:top w:val="single" w:sz="4" w:space="0" w:color="D9E2E1"/>
          <w:left w:val="single" w:sz="4" w:space="0" w:color="D9E2E1"/>
          <w:bottom w:val="single" w:sz="4" w:space="0" w:color="D9E2E1"/>
          <w:right w:val="single" w:sz="4" w:space="0" w:color="D9E2E1"/>
        </w:tblBorders>
        <w:tblCellMar>
          <w:left w:w="10" w:type="dxa"/>
          <w:right w:w="10" w:type="dxa"/>
        </w:tblCellMar>
        <w:tblLook w:val="04A0" w:firstRow="1" w:lastRow="0" w:firstColumn="1" w:lastColumn="0" w:noHBand="0" w:noVBand="1"/>
      </w:tblPr>
      <w:tblGrid>
        <w:gridCol w:w="9830"/>
      </w:tblGrid>
      <w:tr w:rsidR="001A5A8C" w14:paraId="22126E8A" w14:textId="77777777">
        <w:tblPrEx>
          <w:tblCellMar>
            <w:top w:w="0" w:type="dxa"/>
            <w:bottom w:w="0" w:type="dxa"/>
          </w:tblCellMar>
        </w:tblPrEx>
        <w:tc>
          <w:tcPr>
            <w:tcW w:w="0" w:type="auto"/>
            <w:shd w:val="clear" w:color="auto" w:fill="F5F5F7"/>
            <w:tcMar>
              <w:top w:w="140" w:type="dxa"/>
              <w:left w:w="200" w:type="dxa"/>
              <w:bottom w:w="140" w:type="dxa"/>
              <w:right w:w="200" w:type="dxa"/>
            </w:tcMar>
          </w:tcPr>
          <w:p w14:paraId="7E94B2C9" w14:textId="77777777" w:rsidR="001A5A8C" w:rsidRDefault="00000000">
            <w:pPr>
              <w:spacing w:after="30"/>
            </w:pPr>
            <w:r>
              <w:rPr>
                <w:rFonts w:ascii="Consolas" w:eastAsia="Consolas" w:hAnsi="Consolas" w:cs="Consolas"/>
                <w:color w:val="3A3A3A"/>
                <w:sz w:val="18"/>
                <w:szCs w:val="18"/>
              </w:rPr>
              <w:t>Failed to load data\dependencies.md: HTTP Error 403: Forbidden</w:t>
            </w:r>
          </w:p>
          <w:p w14:paraId="299BBD76" w14:textId="77777777" w:rsidR="001A5A8C" w:rsidRDefault="00000000">
            <w:pPr>
              <w:spacing w:after="30"/>
            </w:pPr>
            <w:r>
              <w:rPr>
                <w:rFonts w:ascii="Consolas" w:eastAsia="Consolas" w:hAnsi="Consolas" w:cs="Consolas"/>
                <w:color w:val="3A3A3A"/>
                <w:sz w:val="18"/>
                <w:szCs w:val="18"/>
              </w:rPr>
              <w:t>Failed to load data\introduction.md: HTTP Error 403: Forbidden</w:t>
            </w:r>
          </w:p>
          <w:p w14:paraId="56C015D5" w14:textId="77777777" w:rsidR="001A5A8C" w:rsidRDefault="00000000">
            <w:pPr>
              <w:spacing w:after="30"/>
            </w:pPr>
            <w:r>
              <w:rPr>
                <w:rFonts w:ascii="Consolas" w:eastAsia="Consolas" w:hAnsi="Consolas" w:cs="Consolas"/>
                <w:color w:val="3A3A3A"/>
                <w:sz w:val="18"/>
                <w:szCs w:val="18"/>
              </w:rPr>
              <w:t>ValueError: No supported documents were found in 'data'.</w:t>
            </w:r>
          </w:p>
        </w:tc>
      </w:tr>
    </w:tbl>
    <w:p w14:paraId="382755A9" w14:textId="77777777" w:rsidR="001A5A8C" w:rsidRDefault="00000000">
      <w:pPr>
        <w:spacing w:after="180" w:line="300" w:lineRule="auto"/>
        <w:jc w:val="both"/>
      </w:pPr>
      <w:r>
        <w:t>The loader was treating local file paths in a way that could trigger network-style behaviour instead of a plain file read. The fix was to standardise on TextLoader for every .md/.txt/.py file, opened explicitly with open(file_path, encoding="utf-8") under the hood, which never makes an HTTP request. It is a small thing, but it is a useful reminder that the failure here was not a lack of sophistication — it was a mismatch between the tool and what the data actually was (a local file, not a URL).</w:t>
      </w:r>
    </w:p>
    <w:p w14:paraId="580E10B4" w14:textId="77777777" w:rsidR="001A5A8C" w:rsidRDefault="00000000">
      <w:pPr>
        <w:pStyle w:val="Heading1"/>
        <w:pBdr>
          <w:bottom w:val="single" w:sz="6" w:space="4" w:color="05A67E"/>
        </w:pBdr>
        <w:spacing w:before="420" w:after="200"/>
      </w:pPr>
      <w:r>
        <w:rPr>
          <w:b/>
          <w:bCs/>
          <w:color w:val="046B54"/>
          <w:sz w:val="30"/>
          <w:szCs w:val="30"/>
        </w:rPr>
        <w:t>5. Findings and Results</w:t>
      </w:r>
    </w:p>
    <w:p w14:paraId="2EA3C134" w14:textId="77777777" w:rsidR="001A5A8C" w:rsidRDefault="00000000">
      <w:pPr>
        <w:pStyle w:val="Heading2"/>
        <w:spacing w:before="320" w:after="140"/>
      </w:pPr>
      <w:r>
        <w:rPr>
          <w:b/>
          <w:bCs/>
          <w:color w:val="1A1A2E"/>
          <w:sz w:val="24"/>
          <w:szCs w:val="24"/>
        </w:rPr>
        <w:t>5.1 How the system was evaluated</w:t>
      </w:r>
    </w:p>
    <w:p w14:paraId="5B37AC60" w14:textId="77777777" w:rsidR="001A5A8C" w:rsidRDefault="00000000">
      <w:pPr>
        <w:spacing w:after="180" w:line="300" w:lineRule="auto"/>
        <w:jc w:val="both"/>
      </w:pPr>
      <w:r>
        <w:t>There is no publicly labelled evaluation set for “FastAPI documentation questions,” so correctness was assessed with a manual test matrix built around three categories of question, run repeatedly against the indexed corpus of 195 files (163 documentation Markdown files and 32 source-code Python files from the FastAPI repository):</w:t>
      </w:r>
    </w:p>
    <w:tbl>
      <w:tblPr>
        <w:tblW w:w="5000" w:type="pct"/>
        <w:tblBorders>
          <w:top w:val="single" w:sz="4" w:space="0" w:color="D9E2E1"/>
          <w:left w:val="single" w:sz="4" w:space="0" w:color="D9E2E1"/>
          <w:bottom w:val="single" w:sz="4" w:space="0" w:color="D9E2E1"/>
          <w:right w:val="single" w:sz="4" w:space="0" w:color="D9E2E1"/>
          <w:insideH w:val="single" w:sz="4" w:space="0" w:color="D9E2E1"/>
          <w:insideV w:val="single" w:sz="4" w:space="0" w:color="D9E2E1"/>
        </w:tblBorders>
        <w:tblCellMar>
          <w:left w:w="10" w:type="dxa"/>
          <w:right w:w="10" w:type="dxa"/>
        </w:tblCellMar>
        <w:tblLook w:val="04A0" w:firstRow="1" w:lastRow="0" w:firstColumn="1" w:lastColumn="0" w:noHBand="0" w:noVBand="1"/>
      </w:tblPr>
      <w:tblGrid>
        <w:gridCol w:w="2558"/>
        <w:gridCol w:w="3736"/>
        <w:gridCol w:w="3536"/>
      </w:tblGrid>
      <w:tr w:rsidR="001A5A8C" w14:paraId="439C0832" w14:textId="77777777">
        <w:tblPrEx>
          <w:tblCellMar>
            <w:top w:w="0" w:type="dxa"/>
            <w:bottom w:w="0" w:type="dxa"/>
          </w:tblCellMar>
        </w:tblPrEx>
        <w:trPr>
          <w:tblHeader/>
        </w:trPr>
        <w:tc>
          <w:tcPr>
            <w:tcW w:w="2600" w:type="dxa"/>
            <w:shd w:val="clear" w:color="auto" w:fill="046B54"/>
            <w:tcMar>
              <w:top w:w="110" w:type="dxa"/>
              <w:left w:w="140" w:type="dxa"/>
              <w:bottom w:w="110" w:type="dxa"/>
              <w:right w:w="140" w:type="dxa"/>
            </w:tcMar>
            <w:vAlign w:val="center"/>
          </w:tcPr>
          <w:p w14:paraId="01DCB978" w14:textId="77777777" w:rsidR="001A5A8C" w:rsidRDefault="00000000">
            <w:r>
              <w:rPr>
                <w:b/>
                <w:bCs/>
                <w:color w:val="FFFFFF"/>
                <w:sz w:val="19"/>
                <w:szCs w:val="19"/>
              </w:rPr>
              <w:t>Category</w:t>
            </w:r>
          </w:p>
        </w:tc>
        <w:tc>
          <w:tcPr>
            <w:tcW w:w="3800" w:type="dxa"/>
            <w:shd w:val="clear" w:color="auto" w:fill="046B54"/>
            <w:tcMar>
              <w:top w:w="110" w:type="dxa"/>
              <w:left w:w="140" w:type="dxa"/>
              <w:bottom w:w="110" w:type="dxa"/>
              <w:right w:w="140" w:type="dxa"/>
            </w:tcMar>
            <w:vAlign w:val="center"/>
          </w:tcPr>
          <w:p w14:paraId="0BC3D4DD" w14:textId="77777777" w:rsidR="001A5A8C" w:rsidRDefault="00000000">
            <w:r>
              <w:rPr>
                <w:b/>
                <w:bCs/>
                <w:color w:val="FFFFFF"/>
                <w:sz w:val="19"/>
                <w:szCs w:val="19"/>
              </w:rPr>
              <w:t>Example question</w:t>
            </w:r>
          </w:p>
        </w:tc>
        <w:tc>
          <w:tcPr>
            <w:tcW w:w="3600" w:type="dxa"/>
            <w:shd w:val="clear" w:color="auto" w:fill="046B54"/>
            <w:tcMar>
              <w:top w:w="110" w:type="dxa"/>
              <w:left w:w="140" w:type="dxa"/>
              <w:bottom w:w="110" w:type="dxa"/>
              <w:right w:w="140" w:type="dxa"/>
            </w:tcMar>
            <w:vAlign w:val="center"/>
          </w:tcPr>
          <w:p w14:paraId="72C9D277" w14:textId="77777777" w:rsidR="001A5A8C" w:rsidRDefault="00000000">
            <w:r>
              <w:rPr>
                <w:b/>
                <w:bCs/>
                <w:color w:val="FFFFFF"/>
                <w:sz w:val="19"/>
                <w:szCs w:val="19"/>
              </w:rPr>
              <w:t>Expected behaviour</w:t>
            </w:r>
          </w:p>
        </w:tc>
      </w:tr>
      <w:tr w:rsidR="001A5A8C" w14:paraId="5B466C22" w14:textId="77777777">
        <w:tblPrEx>
          <w:tblCellMar>
            <w:top w:w="0" w:type="dxa"/>
            <w:bottom w:w="0" w:type="dxa"/>
          </w:tblCellMar>
        </w:tblPrEx>
        <w:tc>
          <w:tcPr>
            <w:tcW w:w="2600" w:type="dxa"/>
            <w:shd w:val="clear" w:color="auto" w:fill="FFFFFF"/>
            <w:tcMar>
              <w:top w:w="110" w:type="dxa"/>
              <w:left w:w="140" w:type="dxa"/>
              <w:bottom w:w="110" w:type="dxa"/>
              <w:right w:w="140" w:type="dxa"/>
            </w:tcMar>
            <w:vAlign w:val="center"/>
          </w:tcPr>
          <w:p w14:paraId="53F34326" w14:textId="77777777" w:rsidR="001A5A8C" w:rsidRDefault="00000000">
            <w:r>
              <w:rPr>
                <w:sz w:val="19"/>
                <w:szCs w:val="19"/>
              </w:rPr>
              <w:t>In-scope, single topic</w:t>
            </w:r>
          </w:p>
        </w:tc>
        <w:tc>
          <w:tcPr>
            <w:tcW w:w="3800" w:type="dxa"/>
            <w:shd w:val="clear" w:color="auto" w:fill="FFFFFF"/>
            <w:tcMar>
              <w:top w:w="110" w:type="dxa"/>
              <w:left w:w="140" w:type="dxa"/>
              <w:bottom w:w="110" w:type="dxa"/>
              <w:right w:w="140" w:type="dxa"/>
            </w:tcMar>
            <w:vAlign w:val="center"/>
          </w:tcPr>
          <w:p w14:paraId="3663F29B" w14:textId="77777777" w:rsidR="001A5A8C" w:rsidRDefault="00000000">
            <w:r>
              <w:rPr>
                <w:sz w:val="19"/>
                <w:szCs w:val="19"/>
              </w:rPr>
              <w:t>“How do I declare a path parameter?”</w:t>
            </w:r>
          </w:p>
        </w:tc>
        <w:tc>
          <w:tcPr>
            <w:tcW w:w="3600" w:type="dxa"/>
            <w:shd w:val="clear" w:color="auto" w:fill="FFFFFF"/>
            <w:tcMar>
              <w:top w:w="110" w:type="dxa"/>
              <w:left w:w="140" w:type="dxa"/>
              <w:bottom w:w="110" w:type="dxa"/>
              <w:right w:w="140" w:type="dxa"/>
            </w:tcMar>
            <w:vAlign w:val="center"/>
          </w:tcPr>
          <w:p w14:paraId="335EEA11" w14:textId="77777777" w:rsidR="001A5A8C" w:rsidRDefault="00000000">
            <w:r>
              <w:rPr>
                <w:sz w:val="19"/>
                <w:szCs w:val="19"/>
              </w:rPr>
              <w:t>Concise, accurate answer with one clearly relevant source citation</w:t>
            </w:r>
          </w:p>
        </w:tc>
      </w:tr>
      <w:tr w:rsidR="001A5A8C" w14:paraId="47B71B42" w14:textId="77777777">
        <w:tblPrEx>
          <w:tblCellMar>
            <w:top w:w="0" w:type="dxa"/>
            <w:bottom w:w="0" w:type="dxa"/>
          </w:tblCellMar>
        </w:tblPrEx>
        <w:tc>
          <w:tcPr>
            <w:tcW w:w="2600" w:type="dxa"/>
            <w:shd w:val="clear" w:color="auto" w:fill="F2F6F5"/>
            <w:tcMar>
              <w:top w:w="110" w:type="dxa"/>
              <w:left w:w="140" w:type="dxa"/>
              <w:bottom w:w="110" w:type="dxa"/>
              <w:right w:w="140" w:type="dxa"/>
            </w:tcMar>
            <w:vAlign w:val="center"/>
          </w:tcPr>
          <w:p w14:paraId="37AF4C03" w14:textId="77777777" w:rsidR="001A5A8C" w:rsidRDefault="00000000">
            <w:r>
              <w:rPr>
                <w:sz w:val="19"/>
                <w:szCs w:val="19"/>
              </w:rPr>
              <w:t>In-scope, cross-topic</w:t>
            </w:r>
          </w:p>
        </w:tc>
        <w:tc>
          <w:tcPr>
            <w:tcW w:w="3800" w:type="dxa"/>
            <w:shd w:val="clear" w:color="auto" w:fill="F2F6F5"/>
            <w:tcMar>
              <w:top w:w="110" w:type="dxa"/>
              <w:left w:w="140" w:type="dxa"/>
              <w:bottom w:w="110" w:type="dxa"/>
              <w:right w:w="140" w:type="dxa"/>
            </w:tcMar>
            <w:vAlign w:val="center"/>
          </w:tcPr>
          <w:p w14:paraId="5B03EC00" w14:textId="77777777" w:rsidR="001A5A8C" w:rsidRDefault="00000000">
            <w:r>
              <w:rPr>
                <w:sz w:val="19"/>
                <w:szCs w:val="19"/>
              </w:rPr>
              <w:t>“How do dependencies interact with background tasks?”</w:t>
            </w:r>
          </w:p>
        </w:tc>
        <w:tc>
          <w:tcPr>
            <w:tcW w:w="3600" w:type="dxa"/>
            <w:shd w:val="clear" w:color="auto" w:fill="F2F6F5"/>
            <w:tcMar>
              <w:top w:w="110" w:type="dxa"/>
              <w:left w:w="140" w:type="dxa"/>
              <w:bottom w:w="110" w:type="dxa"/>
              <w:right w:w="140" w:type="dxa"/>
            </w:tcMar>
            <w:vAlign w:val="center"/>
          </w:tcPr>
          <w:p w14:paraId="40819ED5" w14:textId="77777777" w:rsidR="001A5A8C" w:rsidRDefault="00000000">
            <w:r>
              <w:rPr>
                <w:sz w:val="19"/>
                <w:szCs w:val="19"/>
              </w:rPr>
              <w:t>Answer that synthesises two or three retrieved chunks correctly</w:t>
            </w:r>
          </w:p>
        </w:tc>
      </w:tr>
      <w:tr w:rsidR="001A5A8C" w14:paraId="1E6EEDE6" w14:textId="77777777">
        <w:tblPrEx>
          <w:tblCellMar>
            <w:top w:w="0" w:type="dxa"/>
            <w:bottom w:w="0" w:type="dxa"/>
          </w:tblCellMar>
        </w:tblPrEx>
        <w:tc>
          <w:tcPr>
            <w:tcW w:w="2600" w:type="dxa"/>
            <w:shd w:val="clear" w:color="auto" w:fill="FFFFFF"/>
            <w:tcMar>
              <w:top w:w="110" w:type="dxa"/>
              <w:left w:w="140" w:type="dxa"/>
              <w:bottom w:w="110" w:type="dxa"/>
              <w:right w:w="140" w:type="dxa"/>
            </w:tcMar>
            <w:vAlign w:val="center"/>
          </w:tcPr>
          <w:p w14:paraId="569D9090" w14:textId="77777777" w:rsidR="001A5A8C" w:rsidRDefault="00000000">
            <w:r>
              <w:rPr>
                <w:sz w:val="19"/>
                <w:szCs w:val="19"/>
              </w:rPr>
              <w:t>Out of scope</w:t>
            </w:r>
          </w:p>
        </w:tc>
        <w:tc>
          <w:tcPr>
            <w:tcW w:w="3800" w:type="dxa"/>
            <w:shd w:val="clear" w:color="auto" w:fill="FFFFFF"/>
            <w:tcMar>
              <w:top w:w="110" w:type="dxa"/>
              <w:left w:w="140" w:type="dxa"/>
              <w:bottom w:w="110" w:type="dxa"/>
              <w:right w:w="140" w:type="dxa"/>
            </w:tcMar>
            <w:vAlign w:val="center"/>
          </w:tcPr>
          <w:p w14:paraId="75BFB921" w14:textId="77777777" w:rsidR="001A5A8C" w:rsidRDefault="00000000">
            <w:r>
              <w:rPr>
                <w:sz w:val="19"/>
                <w:szCs w:val="19"/>
              </w:rPr>
              <w:t>“What is the capital of France?”</w:t>
            </w:r>
          </w:p>
        </w:tc>
        <w:tc>
          <w:tcPr>
            <w:tcW w:w="3600" w:type="dxa"/>
            <w:shd w:val="clear" w:color="auto" w:fill="FFFFFF"/>
            <w:tcMar>
              <w:top w:w="110" w:type="dxa"/>
              <w:left w:w="140" w:type="dxa"/>
              <w:bottom w:w="110" w:type="dxa"/>
              <w:right w:w="140" w:type="dxa"/>
            </w:tcMar>
            <w:vAlign w:val="center"/>
          </w:tcPr>
          <w:p w14:paraId="572E1881" w14:textId="77777777" w:rsidR="001A5A8C" w:rsidRDefault="00000000">
            <w:r>
              <w:rPr>
                <w:sz w:val="19"/>
                <w:szCs w:val="19"/>
              </w:rPr>
              <w:t>The exact refusal sentence, with no sources listed</w:t>
            </w:r>
          </w:p>
        </w:tc>
      </w:tr>
    </w:tbl>
    <w:p w14:paraId="20A94CA6" w14:textId="77777777" w:rsidR="001A5A8C" w:rsidRDefault="001A5A8C">
      <w:pPr>
        <w:spacing w:after="140"/>
      </w:pPr>
    </w:p>
    <w:p w14:paraId="19EE49B5" w14:textId="77777777" w:rsidR="001A5A8C" w:rsidRDefault="00000000">
      <w:pPr>
        <w:spacing w:after="180" w:line="300" w:lineRule="auto"/>
        <w:jc w:val="both"/>
      </w:pPr>
      <w:r>
        <w:t>The /health endpoint was also used as a basic smoke test: on a fresh checkout it correctly reports vector_db_ready: false until ingest.py has been run, and llm_ready: false until GROQ_API_KEY is set in the environment. Surfacing that state explicitly turned out to matter more than expected — without it, a missing API key or an un-run ingestion step shows up as a confusing 500 error on the very first question instead of a clear, checkable status.</w:t>
      </w:r>
    </w:p>
    <w:p w14:paraId="658E7094" w14:textId="77777777" w:rsidR="001A5A8C" w:rsidRDefault="00000000">
      <w:pPr>
        <w:pStyle w:val="Heading2"/>
        <w:spacing w:before="320" w:after="140"/>
      </w:pPr>
      <w:r>
        <w:rPr>
          <w:b/>
          <w:bCs/>
          <w:color w:val="1A1A2E"/>
          <w:sz w:val="24"/>
          <w:szCs w:val="24"/>
        </w:rPr>
        <w:t>5.2 Findings</w:t>
      </w:r>
    </w:p>
    <w:p w14:paraId="2481D714" w14:textId="77777777" w:rsidR="001A5A8C" w:rsidRDefault="00000000">
      <w:pPr>
        <w:pStyle w:val="ListParagraph"/>
        <w:numPr>
          <w:ilvl w:val="0"/>
          <w:numId w:val="1"/>
        </w:numPr>
        <w:spacing w:after="90" w:line="290" w:lineRule="auto"/>
      </w:pPr>
      <w:r>
        <w:t>The 500/100 chunking configuration consistently retrieved the exact paragraph needed for the common categories of FastAPI questions tested — path parameters, dependency injection, request bodies, security, and testing all returned the correct passage on the first try.</w:t>
      </w:r>
    </w:p>
    <w:p w14:paraId="2424D0AA" w14:textId="77777777" w:rsidR="001A5A8C" w:rsidRDefault="00000000">
      <w:pPr>
        <w:pStyle w:val="ListParagraph"/>
        <w:numPr>
          <w:ilvl w:val="0"/>
          <w:numId w:val="1"/>
        </w:numPr>
        <w:spacing w:after="90" w:line="290" w:lineRule="auto"/>
      </w:pPr>
      <w:r>
        <w:t>The strict system prompt reliably made the model refuse out-of-scope questions with the fixed sentence instead of improvising a plausible-sounding but false answer, which was the single most important behaviour to get right for a documentation assistant.</w:t>
      </w:r>
    </w:p>
    <w:p w14:paraId="3365DEA7" w14:textId="77777777" w:rsidR="001A5A8C" w:rsidRDefault="00000000">
      <w:pPr>
        <w:pStyle w:val="ListParagraph"/>
        <w:numPr>
          <w:ilvl w:val="0"/>
          <w:numId w:val="1"/>
        </w:numPr>
        <w:spacing w:after="90" w:line="290" w:lineRule="auto"/>
      </w:pPr>
      <w:r>
        <w:t>Groq's inference speed made the assistant feel close to instantaneous compared to the latency typically associated with hosted LLM APIs, and that responsiveness noticeably improved how the chat interface felt to use in practice, not just on paper.</w:t>
      </w:r>
    </w:p>
    <w:p w14:paraId="661B7ECA" w14:textId="77777777" w:rsidR="001A5A8C" w:rsidRDefault="00000000">
      <w:pPr>
        <w:pStyle w:val="ListParagraph"/>
        <w:numPr>
          <w:ilvl w:val="0"/>
          <w:numId w:val="1"/>
        </w:numPr>
        <w:spacing w:after="90" w:line="290" w:lineRule="auto"/>
      </w:pPr>
      <w:r>
        <w:t>Rebuilding the ChromaDB collection from scratch on every ingest.py run, rather than trying to diff and merge, turned out to be the simplest and most predictable way to avoid duplicate chunks — an acceptable trade-off given the corpus re-embeds in well under a minute.</w:t>
      </w:r>
    </w:p>
    <w:p w14:paraId="47DBE838" w14:textId="77777777" w:rsidR="001A5A8C" w:rsidRDefault="00000000">
      <w:pPr>
        <w:pStyle w:val="ListParagraph"/>
        <w:numPr>
          <w:ilvl w:val="0"/>
          <w:numId w:val="1"/>
        </w:numPr>
        <w:spacing w:after="90" w:line="290" w:lineRule="auto"/>
      </w:pPr>
      <w:r>
        <w:t>Expanding the indexed corpus beyond just the narrative documentation to include FastAPI's own source code gave the retriever noticeably better answers for implementation-level questions (e.g. exact parameter names or decorator behaviour) that the prose documentation alone did not spell out as precisely.</w:t>
      </w:r>
    </w:p>
    <w:p w14:paraId="5A688834" w14:textId="77777777" w:rsidR="001A5A8C" w:rsidRDefault="00000000">
      <w:pPr>
        <w:pStyle w:val="Heading2"/>
        <w:spacing w:before="320" w:after="140"/>
      </w:pPr>
      <w:r>
        <w:rPr>
          <w:b/>
          <w:bCs/>
          <w:color w:val="1A1A2E"/>
          <w:sz w:val="24"/>
          <w:szCs w:val="24"/>
        </w:rPr>
        <w:t>5.3 Results</w:t>
      </w:r>
    </w:p>
    <w:p w14:paraId="773E2740" w14:textId="77777777" w:rsidR="001A5A8C" w:rsidRDefault="00000000">
      <w:pPr>
        <w:spacing w:after="180" w:line="300" w:lineRule="auto"/>
        <w:jc w:val="both"/>
      </w:pPr>
      <w:r>
        <w:t>Across the manual test matrix, the assistant answered common FastAPI questions — path and query parameters, request bodies, dependency injection, security and authentication, testing, and deployment — accurately and concisely, with every answer grounded in and traceable back to the indexed documentation. Questions outside the scope of the indexed material were correctly declined rather than guessed at. Retrieval consistently surfaced the correct source chunk for direct, single-topic questions, and correctly combined multiple chunks for questions spanning two related topics. The one class of question where retrieval occasionally struggled was highly specific technical terminology (an exact parameter or class name) competing against a broader semantic match — expected, given that retrieval here is purely vector-based with no keyword or hybrid search layered on top (see Limitations).</w:t>
      </w:r>
    </w:p>
    <w:p w14:paraId="2674C5D3" w14:textId="77777777" w:rsidR="001A5A8C" w:rsidRDefault="00000000">
      <w:pPr>
        <w:pStyle w:val="Heading2"/>
        <w:spacing w:before="320" w:after="140"/>
      </w:pPr>
      <w:r>
        <w:rPr>
          <w:b/>
          <w:bCs/>
          <w:color w:val="1A1A2E"/>
          <w:sz w:val="24"/>
          <w:szCs w:val="24"/>
        </w:rPr>
        <w:t>5.4 Performance and cost</w:t>
      </w:r>
    </w:p>
    <w:p w14:paraId="68D607FE" w14:textId="77777777" w:rsidR="001A5A8C" w:rsidRDefault="00000000">
      <w:pPr>
        <w:spacing w:after="180" w:line="300" w:lineRule="auto"/>
        <w:jc w:val="both"/>
      </w:pPr>
      <w:r>
        <w:t>Actual response latency depends on network conditions and Groq's live load at any given moment, so no fixed benchmark numbers are claimed here — but the design keeps every controllable factor on the fast side. Embedding happens locally for both ingestion and every query, so there is no network round trip for that step. Vector search is an in-process ChromaDB call over a collection of a few thousand chunks, which is effectively instant. The only network call in the entire request path is the generation step itself, and it goes to Groq's low-latency inference hardware with an automatic fallback if the primary model is unavailable.</w:t>
      </w:r>
    </w:p>
    <w:p w14:paraId="75FD7B07" w14:textId="77777777" w:rsidR="001A5A8C" w:rsidRDefault="00000000">
      <w:pPr>
        <w:spacing w:after="180" w:line="300" w:lineRule="auto"/>
        <w:jc w:val="both"/>
      </w:pPr>
      <w:r>
        <w:t>On the cost side, the only component with a genuine recurring external cost is the LLM call, and even that currently runs on Groq's free developer tier. Embeddings are computed locally at no cost, and the vector store is a local file directory with no hosting fee. That combination means the entire project is reproducible by anyone with the repository and a free Groq API key — no paid account is required anywhere in the pipeline.</w:t>
      </w:r>
    </w:p>
    <w:p w14:paraId="1865C0FE" w14:textId="77777777" w:rsidR="001A5A8C" w:rsidRDefault="00000000">
      <w:pPr>
        <w:pStyle w:val="Heading1"/>
        <w:pBdr>
          <w:bottom w:val="single" w:sz="6" w:space="4" w:color="05A67E"/>
        </w:pBdr>
        <w:spacing w:before="420" w:after="200"/>
      </w:pPr>
      <w:r>
        <w:rPr>
          <w:b/>
          <w:bCs/>
          <w:color w:val="046B54"/>
          <w:sz w:val="30"/>
          <w:szCs w:val="30"/>
        </w:rPr>
        <w:t>6. Limitations and Future Improvements</w:t>
      </w:r>
    </w:p>
    <w:p w14:paraId="12A99715" w14:textId="77777777" w:rsidR="001A5A8C" w:rsidRDefault="00000000">
      <w:pPr>
        <w:spacing w:after="180" w:line="300" w:lineRule="auto"/>
        <w:jc w:val="both"/>
      </w:pPr>
      <w:r>
        <w:t>A system built this way is only as good as three things: the documents it was given, the way it searches them, and how conservative it is about admitting it does not know. Being upfront about where those limits sit is part of being able to defend the design, so this section lists them plainly rather than glossing over them.</w:t>
      </w:r>
    </w:p>
    <w:p w14:paraId="0F15CD0F" w14:textId="77777777" w:rsidR="001A5A8C" w:rsidRDefault="00000000">
      <w:pPr>
        <w:pStyle w:val="Heading2"/>
        <w:spacing w:before="320" w:after="140"/>
      </w:pPr>
      <w:r>
        <w:rPr>
          <w:b/>
          <w:bCs/>
          <w:color w:val="1A1A2E"/>
          <w:sz w:val="24"/>
          <w:szCs w:val="24"/>
        </w:rPr>
        <w:t>6.1 Current limitations</w:t>
      </w:r>
    </w:p>
    <w:p w14:paraId="5268766A" w14:textId="77777777" w:rsidR="001A5A8C" w:rsidRDefault="00000000">
      <w:pPr>
        <w:pStyle w:val="ListParagraph"/>
        <w:numPr>
          <w:ilvl w:val="0"/>
          <w:numId w:val="1"/>
        </w:numPr>
        <w:spacing w:after="90" w:line="290" w:lineRule="auto"/>
      </w:pPr>
      <w:r>
        <w:t>Answer quality is bounded by what is actually indexed in data/ — if a topic was never added to the corpus, the assistant correctly says it cannot find the answer, but it obviously cannot answer a question about content it has never seen.</w:t>
      </w:r>
    </w:p>
    <w:p w14:paraId="0C93A2AB" w14:textId="77777777" w:rsidR="001A5A8C" w:rsidRDefault="00000000">
      <w:pPr>
        <w:pStyle w:val="ListParagraph"/>
        <w:numPr>
          <w:ilvl w:val="0"/>
          <w:numId w:val="1"/>
        </w:numPr>
        <w:spacing w:after="90" w:line="290" w:lineRule="auto"/>
      </w:pPr>
      <w:r>
        <w:t>Retrieval is purely semantic (vector) similarity, with no re-ranking step and no hybrid keyword search layered on top — so a highly specific technical term occasionally has to compete against a broader but less precise semantic match.</w:t>
      </w:r>
    </w:p>
    <w:p w14:paraId="16D42BA7" w14:textId="77777777" w:rsidR="001A5A8C" w:rsidRDefault="00000000">
      <w:pPr>
        <w:pStyle w:val="ListParagraph"/>
        <w:numPr>
          <w:ilvl w:val="0"/>
          <w:numId w:val="1"/>
        </w:numPr>
        <w:spacing w:after="90" w:line="290" w:lineRule="auto"/>
      </w:pPr>
      <w:r>
        <w:t>The system is single-turn: there is no conversation memory in the backend across questions. The chat UI keeps a visual history in the browser for readability, but each question is still answered independently by the API.</w:t>
      </w:r>
    </w:p>
    <w:p w14:paraId="649B5B9D" w14:textId="77777777" w:rsidR="001A5A8C" w:rsidRDefault="00000000">
      <w:pPr>
        <w:pStyle w:val="ListParagraph"/>
        <w:numPr>
          <w:ilvl w:val="0"/>
          <w:numId w:val="1"/>
        </w:numPr>
        <w:spacing w:after="90" w:line="290" w:lineRule="auto"/>
      </w:pPr>
      <w:r>
        <w:t>Ingestion always performs a full rebuild of the vector store rather than an incremental update — simple and safe at this corpus size, but not the most efficient approach for a much larger documentation set.</w:t>
      </w:r>
    </w:p>
    <w:p w14:paraId="37168DD9" w14:textId="77777777" w:rsidR="001A5A8C" w:rsidRDefault="00000000">
      <w:pPr>
        <w:pStyle w:val="Heading2"/>
        <w:spacing w:before="320" w:after="140"/>
      </w:pPr>
      <w:r>
        <w:rPr>
          <w:b/>
          <w:bCs/>
          <w:color w:val="1A1A2E"/>
          <w:sz w:val="24"/>
          <w:szCs w:val="24"/>
        </w:rPr>
        <w:t>6.2 Where this could reasonably go next</w:t>
      </w:r>
    </w:p>
    <w:p w14:paraId="774C8250" w14:textId="77777777" w:rsidR="001A5A8C" w:rsidRDefault="00000000">
      <w:pPr>
        <w:pStyle w:val="ListParagraph"/>
        <w:numPr>
          <w:ilvl w:val="0"/>
          <w:numId w:val="1"/>
        </w:numPr>
        <w:spacing w:after="90" w:line="290" w:lineRule="auto"/>
      </w:pPr>
      <w:r>
        <w:t>Add a re-ranking step (a cross-encoder run over the initial candidates) to sharpen retrieval further, particularly for questions that hinge on an exact technical term.</w:t>
      </w:r>
    </w:p>
    <w:p w14:paraId="4D303803" w14:textId="77777777" w:rsidR="001A5A8C" w:rsidRDefault="00000000">
      <w:pPr>
        <w:pStyle w:val="ListParagraph"/>
        <w:numPr>
          <w:ilvl w:val="0"/>
          <w:numId w:val="1"/>
        </w:numPr>
        <w:spacing w:after="90" w:line="290" w:lineRule="auto"/>
      </w:pPr>
      <w:r>
        <w:t>Support genuine multi-turn conversations by passing recent question/answer history into the prompt, with deliberate management of the token budget.</w:t>
      </w:r>
    </w:p>
    <w:p w14:paraId="4DE1BC28" w14:textId="77777777" w:rsidR="001A5A8C" w:rsidRDefault="00000000">
      <w:pPr>
        <w:pStyle w:val="ListParagraph"/>
        <w:numPr>
          <w:ilvl w:val="0"/>
          <w:numId w:val="1"/>
        </w:numPr>
        <w:spacing w:after="90" w:line="290" w:lineRule="auto"/>
      </w:pPr>
      <w:r>
        <w:t>Build a small automated evaluation harness — a fixed set of questions with expected sources — so retrieval and answer quality can be tracked over time instead of checked by hand.</w:t>
      </w:r>
    </w:p>
    <w:p w14:paraId="67FC280A" w14:textId="77777777" w:rsidR="001A5A8C" w:rsidRDefault="00000000">
      <w:pPr>
        <w:pStyle w:val="ListParagraph"/>
        <w:numPr>
          <w:ilvl w:val="0"/>
          <w:numId w:val="1"/>
        </w:numPr>
        <w:spacing w:after="90" w:line="290" w:lineRule="auto"/>
      </w:pPr>
      <w:r>
        <w:t>Allow ingesting documentation directly from a URL or a GitHub repository, so the index can be refreshed without manually copying files into data/.</w:t>
      </w:r>
    </w:p>
    <w:p w14:paraId="4F98FBD9" w14:textId="77777777" w:rsidR="001A5A8C" w:rsidRDefault="00000000">
      <w:pPr>
        <w:pStyle w:val="ListParagraph"/>
        <w:numPr>
          <w:ilvl w:val="0"/>
          <w:numId w:val="1"/>
        </w:numPr>
        <w:spacing w:after="90" w:line="290" w:lineRule="auto"/>
      </w:pPr>
      <w:r>
        <w:t>Stream the model's response token by token for a more interactive feel, and cache answers to repeated questions.</w:t>
      </w:r>
    </w:p>
    <w:p w14:paraId="3B02831B" w14:textId="77777777" w:rsidR="001A5A8C" w:rsidRDefault="00000000">
      <w:pPr>
        <w:pStyle w:val="Heading1"/>
        <w:pBdr>
          <w:bottom w:val="single" w:sz="6" w:space="4" w:color="05A67E"/>
        </w:pBdr>
        <w:spacing w:before="420" w:after="200"/>
      </w:pPr>
      <w:r>
        <w:rPr>
          <w:b/>
          <w:bCs/>
          <w:color w:val="046B54"/>
          <w:sz w:val="30"/>
          <w:szCs w:val="30"/>
        </w:rPr>
        <w:t>7. Conclusion</w:t>
      </w:r>
    </w:p>
    <w:p w14:paraId="6A6C8364" w14:textId="77777777" w:rsidR="001A5A8C" w:rsidRDefault="00000000">
      <w:pPr>
        <w:spacing w:after="180" w:line="300" w:lineRule="auto"/>
        <w:jc w:val="both"/>
      </w:pPr>
      <w:r>
        <w:t>This project set out to build a complete, working Retrieval-Augmented Generation pipeline, and it does what it was designed to do: it takes a real documentation corpus, turns it into a searchable vector index, and answers questions through an LLM that is only ever allowed to work from what was actually retrieved. Every major decision along the way — the LLM provider and model, the embedding model, the vector database, the chunk size and overlap, and the retrieval depth — was made by weighing concrete alternatives against the project's actual requirements: cost, latency, and how easy the resulting system is to explain and defend, rather than by defaulting to whatever the most familiar or most powerful-sounding option happened to be.</w:t>
      </w:r>
    </w:p>
    <w:p w14:paraId="5FF97256" w14:textId="77777777" w:rsidR="001A5A8C" w:rsidRDefault="00000000">
      <w:pPr>
        <w:spacing w:after="180" w:line="300" w:lineRule="auto"/>
        <w:jc w:val="both"/>
      </w:pPr>
      <w:r>
        <w:t>The result is a system that answers FastAPI questions using only trusted source material, is honest about the limits of what it has indexed, and stays simple enough that its behaviour can be reasoned about end to end — which, for a project meant to be explained and questioned in a demo, mattered just as much as raw answer quality.</w:t>
      </w:r>
    </w:p>
    <w:p w14:paraId="7FA4335E" w14:textId="77777777" w:rsidR="001A5A8C" w:rsidRDefault="001A5A8C">
      <w:pPr>
        <w:spacing w:after="200"/>
      </w:pPr>
    </w:p>
    <w:sectPr w:rsidR="001A5A8C">
      <w:headerReference w:type="default" r:id="rId8"/>
      <w:footerReference w:type="default" r:id="rId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D94F" w14:textId="77777777" w:rsidR="00FB48C4" w:rsidRDefault="00FB48C4">
      <w:r>
        <w:separator/>
      </w:r>
    </w:p>
  </w:endnote>
  <w:endnote w:type="continuationSeparator" w:id="0">
    <w:p w14:paraId="6D164A44" w14:textId="77777777" w:rsidR="00FB48C4" w:rsidRDefault="00FB4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E85B" w14:textId="77777777" w:rsidR="001A5A8C" w:rsidRDefault="00000000">
    <w:pP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371857">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371857">
      <w:rPr>
        <w:noProof/>
        <w:color w:val="44546A"/>
        <w:sz w:val="16"/>
        <w:szCs w:val="16"/>
      </w:rPr>
      <w:t>2</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42047" w14:textId="77777777" w:rsidR="00FB48C4" w:rsidRDefault="00FB48C4">
      <w:r>
        <w:separator/>
      </w:r>
    </w:p>
  </w:footnote>
  <w:footnote w:type="continuationSeparator" w:id="0">
    <w:p w14:paraId="5162D13A" w14:textId="77777777" w:rsidR="00FB48C4" w:rsidRDefault="00FB4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C2E7" w14:textId="77777777" w:rsidR="001A5A8C" w:rsidRDefault="00000000">
    <w:pPr>
      <w:pBdr>
        <w:bottom w:val="single" w:sz="4" w:space="4" w:color="D9E2E1"/>
      </w:pBdr>
      <w:jc w:val="right"/>
    </w:pPr>
    <w:r>
      <w:rPr>
        <w:i/>
        <w:iCs/>
        <w:color w:val="44546A"/>
        <w:sz w:val="15"/>
        <w:szCs w:val="15"/>
      </w:rPr>
      <w:t>FastAPI Documentation Assistant — RAG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240F6"/>
    <w:multiLevelType w:val="hybridMultilevel"/>
    <w:tmpl w:val="0E5E8CEC"/>
    <w:lvl w:ilvl="0" w:tplc="CEC4BEFE">
      <w:start w:val="1"/>
      <w:numFmt w:val="bullet"/>
      <w:lvlText w:val="●"/>
      <w:lvlJc w:val="left"/>
      <w:pPr>
        <w:ind w:left="720" w:hanging="360"/>
      </w:pPr>
    </w:lvl>
    <w:lvl w:ilvl="1" w:tplc="88AE091C">
      <w:start w:val="1"/>
      <w:numFmt w:val="bullet"/>
      <w:lvlText w:val="○"/>
      <w:lvlJc w:val="left"/>
      <w:pPr>
        <w:ind w:left="1440" w:hanging="360"/>
      </w:pPr>
    </w:lvl>
    <w:lvl w:ilvl="2" w:tplc="B17C7A8C">
      <w:start w:val="1"/>
      <w:numFmt w:val="bullet"/>
      <w:lvlText w:val="■"/>
      <w:lvlJc w:val="left"/>
      <w:pPr>
        <w:ind w:left="2160" w:hanging="360"/>
      </w:pPr>
    </w:lvl>
    <w:lvl w:ilvl="3" w:tplc="DFFED7FC">
      <w:start w:val="1"/>
      <w:numFmt w:val="bullet"/>
      <w:lvlText w:val="●"/>
      <w:lvlJc w:val="left"/>
      <w:pPr>
        <w:ind w:left="2880" w:hanging="360"/>
      </w:pPr>
    </w:lvl>
    <w:lvl w:ilvl="4" w:tplc="6B24E1A8">
      <w:start w:val="1"/>
      <w:numFmt w:val="bullet"/>
      <w:lvlText w:val="○"/>
      <w:lvlJc w:val="left"/>
      <w:pPr>
        <w:ind w:left="3600" w:hanging="360"/>
      </w:pPr>
    </w:lvl>
    <w:lvl w:ilvl="5" w:tplc="83302AC6">
      <w:start w:val="1"/>
      <w:numFmt w:val="bullet"/>
      <w:lvlText w:val="■"/>
      <w:lvlJc w:val="left"/>
      <w:pPr>
        <w:ind w:left="4320" w:hanging="360"/>
      </w:pPr>
    </w:lvl>
    <w:lvl w:ilvl="6" w:tplc="3EC8FBC2">
      <w:start w:val="1"/>
      <w:numFmt w:val="bullet"/>
      <w:lvlText w:val="●"/>
      <w:lvlJc w:val="left"/>
      <w:pPr>
        <w:ind w:left="5040" w:hanging="360"/>
      </w:pPr>
    </w:lvl>
    <w:lvl w:ilvl="7" w:tplc="DDCEE1B4">
      <w:start w:val="1"/>
      <w:numFmt w:val="bullet"/>
      <w:lvlText w:val="●"/>
      <w:lvlJc w:val="left"/>
      <w:pPr>
        <w:ind w:left="5760" w:hanging="360"/>
      </w:pPr>
    </w:lvl>
    <w:lvl w:ilvl="8" w:tplc="7C54116C">
      <w:start w:val="1"/>
      <w:numFmt w:val="bullet"/>
      <w:lvlText w:val="●"/>
      <w:lvlJc w:val="left"/>
      <w:pPr>
        <w:ind w:left="6480" w:hanging="360"/>
      </w:pPr>
    </w:lvl>
  </w:abstractNum>
  <w:num w:numId="1" w16cid:durableId="130707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A8C"/>
    <w:rsid w:val="001A5A8C"/>
    <w:rsid w:val="00371857"/>
    <w:rsid w:val="00AA5014"/>
    <w:rsid w:val="00FB4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2A3A6"/>
  <w15:docId w15:val="{9FE78E05-BFDA-4D93-9ED8-DD8846627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4119</Words>
  <Characters>23480</Characters>
  <Application>Microsoft Office Word</Application>
  <DocSecurity>0</DocSecurity>
  <Lines>195</Lines>
  <Paragraphs>55</Paragraphs>
  <ScaleCrop>false</ScaleCrop>
  <Company/>
  <LinksUpToDate>false</LinksUpToDate>
  <CharactersWithSpaces>27544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FastAPI Documentation Assistant — Project Report</dc:title>
  <dc:creator>RAG Project Report</dc:creator>
  <cp:lastModifiedBy>SP24-BST-005(ALI RAHMAN )</cp:lastModifiedBy>
  <cp:revision>2</cp:revision>
  <dcterms:created xsi:type="dcterms:W3CDTF">2026-08-12T10:27:00Z</dcterms:created>
  <dcterms:modified xsi:type="dcterms:W3CDTF">2026-08-12T12:54:00Z</dcterms:modified>
</cp:coreProperties>
</file>