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2E75B6"/>
          <w:sz w:val="56"/>
          <w:szCs w:val="56"/>
        </w:rPr>
        <w:t xml:space="preserve">SUPERMARKET SALES</w:t>
      </w:r>
    </w:p>
    <w:p>
      <w:pPr>
        <w:spacing w:before="0" w:after="120"/>
        <w:jc w:val="center"/>
      </w:pPr>
      <w:r>
        <w:rPr>
          <w:rFonts w:ascii="Arial" w:cs="Arial" w:eastAsia="Arial" w:hAnsi="Arial"/>
          <w:b/>
          <w:bCs/>
          <w:color w:val="2E75B6"/>
          <w:sz w:val="56"/>
          <w:szCs w:val="56"/>
        </w:rPr>
        <w:t xml:space="preserve">ANALYSIS REPORT</w:t>
      </w:r>
    </w:p>
    <w:p>
      <w:pPr>
        <w:pBdr>
          <w:bottom w:val="single" w:color="2E75B6" w:sz="8" w:space="4"/>
        </w:pBdr>
        <w:spacing w:before="0" w:after="240"/>
        <w:jc w:val="center"/>
      </w:pPr>
      <w:r>
        <w:rPr>
          <w:rFonts w:ascii="Arial" w:cs="Arial" w:eastAsia="Arial" w:hAnsi="Arial"/>
          <w:color w:val="444444"/>
          <w:sz w:val="24"/>
          <w:szCs w:val="24"/>
        </w:rPr>
        <w:t xml:space="preserve">Myanmar Supermarket Chain  |  2019  |  3 Branches</w:t>
      </w:r>
    </w:p>
    <w:p>
      <w:pPr>
        <w:spacing w:before="80" w:after="80"/>
      </w:pPr>
      <w:r>
        <w:t xml:space="preserve"/>
      </w:r>
    </w:p>
    <w:p>
      <w:pPr>
        <w:spacing w:before="80" w:after="80"/>
        <w:jc w:val="center"/>
      </w:pPr>
      <w:r>
        <w:rPr>
          <w:rFonts w:ascii="Arial" w:cs="Arial" w:eastAsia="Arial" w:hAnsi="Arial"/>
          <w:color w:val="555555"/>
          <w:sz w:val="22"/>
          <w:szCs w:val="22"/>
        </w:rPr>
        <w:t xml:space="preserve">Prepared by: Data Analytics Team</w:t>
      </w:r>
    </w:p>
    <w:p>
      <w:pPr>
        <w:spacing w:before="80" w:after="80"/>
        <w:jc w:val="center"/>
      </w:pPr>
      <w:r>
        <w:rPr>
          <w:rFonts w:ascii="Arial" w:cs="Arial" w:eastAsia="Arial" w:hAnsi="Arial"/>
          <w:color w:val="555555"/>
          <w:sz w:val="22"/>
          <w:szCs w:val="22"/>
        </w:rPr>
        <w:t xml:space="preserve">Date: March 2026</w:t>
      </w:r>
    </w:p>
    <w:p>
      <w:pPr>
        <w:spacing w:before="80" w:after="80"/>
        <w:jc w:val="center"/>
      </w:pPr>
      <w:r>
        <w:rPr>
          <w:rFonts w:ascii="Arial" w:cs="Arial" w:eastAsia="Arial" w:hAnsi="Arial"/>
          <w:color w:val="555555"/>
          <w:sz w:val="22"/>
          <w:szCs w:val="22"/>
        </w:rPr>
        <w:t xml:space="preserve">Dataset: Fares Ashraf Supermarket Sales Dataset (Kaggle)</w:t>
      </w:r>
    </w:p>
    <w:p>
      <w:pPr>
        <w:spacing w:before="80" w:after="80"/>
      </w:pPr>
      <w:r>
        <w:t xml:space="preserve"/>
      </w:r>
    </w:p>
    <w:p>
      <w:pPr>
        <w:spacing w:before="80" w:after="80"/>
      </w:pPr>
      <w:r>
        <w:t xml:space="preserve"/>
      </w:r>
    </w:p>
    <w:p>
      <w:pPr>
        <w:pStyle w:val="Heading1"/>
        <w:pBdr>
          <w:bottom w:val="single" w:color="2E75B6" w:sz="4" w:space="4"/>
        </w:pBdr>
        <w:spacing w:before="320" w:after="160"/>
      </w:pPr>
      <w:r>
        <w:rPr>
          <w:rFonts w:ascii="Arial" w:cs="Arial" w:eastAsia="Arial" w:hAnsi="Arial"/>
          <w:b/>
          <w:bCs/>
          <w:color w:val="2E75B6"/>
          <w:sz w:val="32"/>
          <w:szCs w:val="32"/>
        </w:rPr>
        <w:t xml:space="preserve">1. Executive Summary</w:t>
      </w:r>
    </w:p>
    <w:p>
      <w:pPr>
        <w:spacing w:before="80" w:after="80"/>
      </w:pPr>
      <w:r>
        <w:rPr>
          <w:rFonts w:ascii="Arial" w:cs="Arial" w:eastAsia="Arial" w:hAnsi="Arial"/>
          <w:sz w:val="22"/>
          <w:szCs w:val="22"/>
        </w:rPr>
        <w:t xml:space="preserve">This report presents a comprehensive analysis of sales transactions from a supermarket chain operating across three branches in Myanmar. The dataset contains 1,000 transactions recorded in 2019, covering product performance, customer demographics, payment preferences, and customer satisfaction.</w:t>
      </w:r>
    </w:p>
    <w:p>
      <w:pPr>
        <w:spacing w:before="80" w:after="80"/>
      </w:pPr>
      <w:r>
        <w:t xml:space="preserve"/>
      </w:r>
    </w:p>
    <w:p>
      <w:pPr>
        <w:spacing w:before="80" w:after="80"/>
      </w:pPr>
      <w:r>
        <w:rPr>
          <w:rFonts w:ascii="Arial" w:cs="Arial" w:eastAsia="Arial" w:hAnsi="Arial"/>
          <w:b/>
          <w:bCs/>
          <w:sz w:val="22"/>
          <w:szCs w:val="22"/>
        </w:rPr>
        <w:t xml:space="preserve">Key highlights:</w:t>
      </w:r>
    </w:p>
    <w:p>
      <w:pPr>
        <w:pStyle w:val="ListParagraph"/>
        <w:numPr>
          <w:ilvl w:val="0"/>
          <w:numId w:val="2"/>
        </w:numPr>
        <w:spacing w:before="60" w:after="60"/>
      </w:pPr>
      <w:r>
        <w:rPr>
          <w:rFonts w:ascii="Arial" w:cs="Arial" w:eastAsia="Arial" w:hAnsi="Arial"/>
          <w:sz w:val="22"/>
          <w:szCs w:val="22"/>
        </w:rPr>
        <w:t xml:space="preserve">Total revenue generated: $322,967 across 1,000 transactions</w:t>
      </w:r>
    </w:p>
    <w:p>
      <w:pPr>
        <w:pStyle w:val="ListParagraph"/>
        <w:numPr>
          <w:ilvl w:val="0"/>
          <w:numId w:val="2"/>
        </w:numPr>
        <w:spacing w:before="60" w:after="60"/>
      </w:pPr>
      <w:r>
        <w:rPr>
          <w:rFonts w:ascii="Arial" w:cs="Arial" w:eastAsia="Arial" w:hAnsi="Arial"/>
          <w:sz w:val="22"/>
          <w:szCs w:val="22"/>
        </w:rPr>
        <w:t xml:space="preserve">Total quantity of items sold: 5,510 units</w:t>
      </w:r>
    </w:p>
    <w:p>
      <w:pPr>
        <w:pStyle w:val="ListParagraph"/>
        <w:numPr>
          <w:ilvl w:val="0"/>
          <w:numId w:val="2"/>
        </w:numPr>
        <w:spacing w:before="60" w:after="60"/>
      </w:pPr>
      <w:r>
        <w:rPr>
          <w:rFonts w:ascii="Arial" w:cs="Arial" w:eastAsia="Arial" w:hAnsi="Arial"/>
          <w:sz w:val="22"/>
          <w:szCs w:val="22"/>
        </w:rPr>
        <w:t xml:space="preserve">Total gross income earned: $15,379</w:t>
      </w:r>
    </w:p>
    <w:p>
      <w:pPr>
        <w:pStyle w:val="ListParagraph"/>
        <w:numPr>
          <w:ilvl w:val="0"/>
          <w:numId w:val="2"/>
        </w:numPr>
        <w:spacing w:before="60" w:after="60"/>
      </w:pPr>
      <w:r>
        <w:rPr>
          <w:rFonts w:ascii="Arial" w:cs="Arial" w:eastAsia="Arial" w:hAnsi="Arial"/>
          <w:sz w:val="22"/>
          <w:szCs w:val="22"/>
        </w:rPr>
        <w:t xml:space="preserve">Average customer satisfaction rating: 6.97 out of 10</w:t>
      </w:r>
    </w:p>
    <w:p>
      <w:pPr>
        <w:pStyle w:val="ListParagraph"/>
        <w:numPr>
          <w:ilvl w:val="0"/>
          <w:numId w:val="2"/>
        </w:numPr>
        <w:spacing w:before="60" w:after="60"/>
      </w:pPr>
      <w:r>
        <w:rPr>
          <w:rFonts w:ascii="Arial" w:cs="Arial" w:eastAsia="Arial" w:hAnsi="Arial"/>
          <w:sz w:val="22"/>
          <w:szCs w:val="22"/>
        </w:rPr>
        <w:t xml:space="preserve">Giza branch leads in both sales (34.24%) and customer ratings (7.07)</w:t>
      </w:r>
    </w:p>
    <w:p>
      <w:pPr>
        <w:pStyle w:val="ListParagraph"/>
        <w:numPr>
          <w:ilvl w:val="0"/>
          <w:numId w:val="2"/>
        </w:numPr>
        <w:spacing w:before="60" w:after="60"/>
      </w:pPr>
      <w:r>
        <w:rPr>
          <w:rFonts w:ascii="Arial" w:cs="Arial" w:eastAsia="Arial" w:hAnsi="Arial"/>
          <w:sz w:val="22"/>
          <w:szCs w:val="22"/>
        </w:rPr>
        <w:t xml:space="preserve">Female customers account for 60.28% of total sales</w:t>
      </w:r>
    </w:p>
    <w:p>
      <w:pPr>
        <w:pStyle w:val="ListParagraph"/>
        <w:numPr>
          <w:ilvl w:val="0"/>
          <w:numId w:val="2"/>
        </w:numPr>
        <w:spacing w:before="60" w:after="60"/>
      </w:pPr>
      <w:r>
        <w:rPr>
          <w:rFonts w:ascii="Arial" w:cs="Arial" w:eastAsia="Arial" w:hAnsi="Arial"/>
          <w:sz w:val="22"/>
          <w:szCs w:val="22"/>
        </w:rPr>
        <w:t xml:space="preserve">Food &amp; Beverages is the top-performing product line at 17.38% of total sales</w:t>
      </w:r>
    </w:p>
    <w:p>
      <w:pPr>
        <w:spacing w:before="80" w:after="80"/>
      </w:pPr>
      <w:r>
        <w:t xml:space="preserve"/>
      </w:r>
    </w:p>
    <w:p>
      <w:pPr>
        <w:pStyle w:val="Heading1"/>
        <w:pBdr>
          <w:bottom w:val="single" w:color="2E75B6" w:sz="4" w:space="4"/>
        </w:pBdr>
        <w:spacing w:before="320" w:after="160"/>
      </w:pPr>
      <w:r>
        <w:rPr>
          <w:rFonts w:ascii="Arial" w:cs="Arial" w:eastAsia="Arial" w:hAnsi="Arial"/>
          <w:b/>
          <w:bCs/>
          <w:color w:val="2E75B6"/>
          <w:sz w:val="32"/>
          <w:szCs w:val="32"/>
        </w:rPr>
        <w:t xml:space="preserve">2. Business Overview</w:t>
      </w:r>
    </w:p>
    <w:p>
      <w:pPr>
        <w:spacing w:before="80" w:after="80"/>
      </w:pPr>
      <w:r>
        <w:rPr>
          <w:rFonts w:ascii="Arial" w:cs="Arial" w:eastAsia="Arial" w:hAnsi="Arial"/>
          <w:sz w:val="22"/>
          <w:szCs w:val="22"/>
        </w:rPr>
        <w:t xml:space="preserve">The supermarket chain operates three branches located in Yangon (Alex), Naypyitaw (Giza), and Mandalay (Cairo). Each branch serves a mix of member and non-member customers across six product lines. The analysis covers all recorded transactions from January to October 2019.</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43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Total Transactions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Total Sales Revenue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$322,967</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Total Gross Income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$15,379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Total Units Sold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5,510</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Number of Branches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Number of Product Lines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Average Transaction Rating</w:t>
            </w:r>
          </w:p>
        </w:tc>
        <w:tc>
          <w:tcPr>
            <w:tcW w:type="dxa" w:w="4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6.97 / 10</w:t>
            </w:r>
          </w:p>
        </w:tc>
      </w:tr>
    </w:tbl>
    <w:p>
      <w:pPr>
        <w:spacing w:before="80" w:after="80"/>
      </w:pPr>
      <w:r>
        <w:t xml:space="preserve"/>
      </w:r>
    </w:p>
    <w:p>
      <w:pPr>
        <w:pStyle w:val="Heading1"/>
        <w:pBdr>
          <w:bottom w:val="single" w:color="2E75B6" w:sz="4" w:space="4"/>
        </w:pBdr>
        <w:spacing w:before="320" w:after="160"/>
      </w:pPr>
      <w:r>
        <w:rPr>
          <w:rFonts w:ascii="Arial" w:cs="Arial" w:eastAsia="Arial" w:hAnsi="Arial"/>
          <w:b/>
          <w:bCs/>
          <w:color w:val="2E75B6"/>
          <w:sz w:val="32"/>
          <w:szCs w:val="32"/>
        </w:rPr>
        <w:t xml:space="preserve">3. Branch Performance Analysis</w:t>
      </w:r>
    </w:p>
    <w:p>
      <w:pPr>
        <w:spacing w:before="80" w:after="80"/>
      </w:pPr>
      <w:r>
        <w:rPr>
          <w:rFonts w:ascii="Arial" w:cs="Arial" w:eastAsia="Arial" w:hAnsi="Arial"/>
          <w:sz w:val="22"/>
          <w:szCs w:val="22"/>
        </w:rPr>
        <w:t xml:space="preserve">All three branches demonstrate relatively balanced performance, suggesting consistent operational standards across the chain. However, Giza branch holds a slight advantage in both revenue generation and customer satisfaction.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560"/>
        <w:gridCol w:w="1800"/>
        <w:gridCol w:w="1400"/>
        <w:gridCol w:w="1200"/>
      </w:tblGrid>
      <w:tr>
        <w:trPr>
          <w:tblHeader/>
        </w:trPr>
        <w:tc>
          <w:tcPr>
            <w:tcW w:type="dxa" w:w="1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Branch</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City</w:t>
            </w:r>
          </w:p>
        </w:tc>
        <w:tc>
          <w:tcPr>
            <w:tcW w:type="dxa" w:w="15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Transactions</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 Sales</w:t>
            </w:r>
          </w:p>
        </w:tc>
        <w:tc>
          <w:tcPr>
            <w:tcW w:type="dxa" w:w="1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Total</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Avg Rating</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Alex</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Yangon</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340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$106,200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32.88%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7.03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Giza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Naypyitaw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$110,569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34.24%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7.07 ★</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Cairo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Mandalay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332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$106,198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32.88%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6.82</w:t>
            </w:r>
          </w:p>
        </w:tc>
      </w:tr>
    </w:tbl>
    <w:p>
      <w:pPr>
        <w:spacing w:before="80" w:after="80"/>
      </w:pPr>
      <w:r>
        <w:t xml:space="preserve"/>
      </w:r>
    </w:p>
    <w:p>
      <w:pPr>
        <w:spacing w:before="80" w:after="80"/>
      </w:pPr>
      <w:r>
        <w:rPr>
          <w:rFonts w:ascii="Arial" w:cs="Arial" w:eastAsia="Arial" w:hAnsi="Arial"/>
          <w:b/>
          <w:bCs/>
          <w:sz w:val="22"/>
          <w:szCs w:val="22"/>
        </w:rPr>
        <w:t xml:space="preserve">Key Insight:</w:t>
      </w:r>
    </w:p>
    <w:p>
      <w:pPr>
        <w:spacing w:before="80" w:after="80"/>
      </w:pPr>
      <w:r>
        <w:rPr>
          <w:rFonts w:ascii="Arial" w:cs="Arial" w:eastAsia="Arial" w:hAnsi="Arial"/>
          <w:sz w:val="22"/>
          <w:szCs w:val="22"/>
        </w:rPr>
        <w:t xml:space="preserve">Giza branch generates the highest revenue despite having the fewest transactions (328), indicating a higher average transaction value per customer. Cairo branch has the lowest customer rating (6.82) and may benefit from a service quality review.</w:t>
      </w:r>
    </w:p>
    <w:p>
      <w:pPr>
        <w:spacing w:before="80" w:after="80"/>
      </w:pPr>
      <w:r>
        <w:t xml:space="preserve"/>
      </w:r>
    </w:p>
    <w:p>
      <w:pPr>
        <w:pStyle w:val="Heading1"/>
        <w:pBdr>
          <w:bottom w:val="single" w:color="2E75B6" w:sz="4" w:space="4"/>
        </w:pBdr>
        <w:spacing w:before="320" w:after="160"/>
      </w:pPr>
      <w:r>
        <w:rPr>
          <w:rFonts w:ascii="Arial" w:cs="Arial" w:eastAsia="Arial" w:hAnsi="Arial"/>
          <w:b/>
          <w:bCs/>
          <w:color w:val="2E75B6"/>
          <w:sz w:val="32"/>
          <w:szCs w:val="32"/>
        </w:rPr>
        <w:t xml:space="preserve">4. Customer Demographics Analysis</w:t>
      </w:r>
    </w:p>
    <w:p>
      <w:pPr>
        <w:pStyle w:val="Heading2"/>
        <w:spacing w:before="240" w:after="120"/>
      </w:pPr>
      <w:r>
        <w:rPr>
          <w:rFonts w:ascii="Arial" w:cs="Arial" w:eastAsia="Arial" w:hAnsi="Arial"/>
          <w:b/>
          <w:bCs/>
          <w:color w:val="1F4E79"/>
          <w:sz w:val="26"/>
          <w:szCs w:val="26"/>
        </w:rPr>
        <w:t xml:space="preserve">4.1 Gender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Gender</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 Sales</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Sales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Female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$194,672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60.28%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$128,295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39.72%</w:t>
            </w:r>
          </w:p>
        </w:tc>
      </w:tr>
    </w:tbl>
    <w:p>
      <w:pPr>
        <w:spacing w:before="80" w:after="80"/>
      </w:pPr>
      <w:r>
        <w:t xml:space="preserve"/>
      </w:r>
    </w:p>
    <w:p>
      <w:pPr>
        <w:spacing w:before="80" w:after="80"/>
      </w:pPr>
      <w:r>
        <w:rPr>
          <w:rFonts w:ascii="Arial" w:cs="Arial" w:eastAsia="Arial" w:hAnsi="Arial"/>
          <w:sz w:val="22"/>
          <w:szCs w:val="22"/>
        </w:rPr>
        <w:t xml:space="preserve">Female customers are the dominant revenue segment, contributing over 60% of total sales. Marketing campaigns and product promotions should be tailored primarily toward female customers while developing strategies to grow the male customer base.</w:t>
      </w:r>
    </w:p>
    <w:p>
      <w:pPr>
        <w:spacing w:before="80" w:after="80"/>
      </w:pPr>
      <w:r>
        <w:t xml:space="preserve"/>
      </w:r>
    </w:p>
    <w:p>
      <w:pPr>
        <w:pStyle w:val="Heading2"/>
        <w:spacing w:before="240" w:after="120"/>
      </w:pPr>
      <w:r>
        <w:rPr>
          <w:rFonts w:ascii="Arial" w:cs="Arial" w:eastAsia="Arial" w:hAnsi="Arial"/>
          <w:b/>
          <w:bCs/>
          <w:color w:val="1F4E79"/>
          <w:sz w:val="26"/>
          <w:szCs w:val="26"/>
        </w:rPr>
        <w:t xml:space="preserve">4.2 Membership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Customer Type</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 Sales</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Sales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Member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$189,695</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58.74%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Non-Member (Normal)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$133,272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41.26%</w:t>
            </w:r>
          </w:p>
        </w:tc>
      </w:tr>
    </w:tbl>
    <w:p>
      <w:pPr>
        <w:spacing w:before="80" w:after="80"/>
      </w:pPr>
      <w:r>
        <w:t xml:space="preserve"/>
      </w:r>
    </w:p>
    <w:p>
      <w:pPr>
        <w:spacing w:before="80" w:after="80"/>
      </w:pPr>
      <w:r>
        <w:rPr>
          <w:rFonts w:ascii="Arial" w:cs="Arial" w:eastAsia="Arial" w:hAnsi="Arial"/>
          <w:sz w:val="22"/>
          <w:szCs w:val="22"/>
        </w:rPr>
        <w:t xml:space="preserve">Members account for the majority of sales at 58.74%, demonstrating the value of the loyalty program. Among members, female members are significantly more active, contributing 66% of all member sales compared to 34% from male members.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Member Segment</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Sales</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Member Sales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Female Members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$125,206</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66.00%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Male Members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$64,489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34.00%</w:t>
            </w:r>
          </w:p>
        </w:tc>
      </w:tr>
    </w:tbl>
    <w:p>
      <w:pPr>
        <w:spacing w:before="80" w:after="80"/>
      </w:pPr>
      <w:r>
        <w:t xml:space="preserve"/>
      </w:r>
    </w:p>
    <w:p>
      <w:pPr>
        <w:pStyle w:val="Heading1"/>
        <w:pBdr>
          <w:bottom w:val="single" w:color="2E75B6" w:sz="4" w:space="4"/>
        </w:pBdr>
        <w:spacing w:before="320" w:after="160"/>
      </w:pPr>
      <w:r>
        <w:rPr>
          <w:rFonts w:ascii="Arial" w:cs="Arial" w:eastAsia="Arial" w:hAnsi="Arial"/>
          <w:b/>
          <w:bCs/>
          <w:color w:val="2E75B6"/>
          <w:sz w:val="32"/>
          <w:szCs w:val="32"/>
        </w:rPr>
        <w:t xml:space="preserve">5. Payment Method Analysis</w:t>
      </w:r>
    </w:p>
    <w:p>
      <w:pPr>
        <w:spacing w:before="80" w:after="80"/>
      </w:pPr>
      <w:r>
        <w:rPr>
          <w:rFonts w:ascii="Arial" w:cs="Arial" w:eastAsia="Arial" w:hAnsi="Arial"/>
          <w:sz w:val="22"/>
          <w:szCs w:val="22"/>
        </w:rPr>
        <w:t xml:space="preserve">The distribution of payment methods is remarkably even across all three options, suggesting that customers have no strong preference and that the supermarket's multi-payment infrastructure is well-utilised.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Payment Method</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 Sales</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Total Sales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Cash</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$112,207</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34.74%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Ewallet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$109,993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34.06%</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Credit Card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$100,767</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31.20%</w:t>
            </w:r>
          </w:p>
        </w:tc>
      </w:tr>
    </w:tbl>
    <w:p>
      <w:pPr>
        <w:spacing w:before="80" w:after="80"/>
      </w:pPr>
      <w:r>
        <w:t xml:space="preserve"/>
      </w:r>
    </w:p>
    <w:p>
      <w:pPr>
        <w:spacing w:before="80" w:after="80"/>
      </w:pPr>
      <w:r>
        <w:rPr>
          <w:rFonts w:ascii="Arial" w:cs="Arial" w:eastAsia="Arial" w:hAnsi="Arial"/>
          <w:b/>
          <w:bCs/>
          <w:sz w:val="22"/>
          <w:szCs w:val="22"/>
        </w:rPr>
        <w:t xml:space="preserve">Key Insight:</w:t>
      </w:r>
    </w:p>
    <w:p>
      <w:pPr>
        <w:spacing w:before="80" w:after="80"/>
      </w:pPr>
      <w:r>
        <w:rPr>
          <w:rFonts w:ascii="Arial" w:cs="Arial" w:eastAsia="Arial" w:hAnsi="Arial"/>
          <w:sz w:val="22"/>
          <w:szCs w:val="22"/>
        </w:rPr>
        <w:t xml:space="preserve">Cash remains the most used payment method, closely followed by Ewallet. The rise of digital payment (Ewallet at 34.06%) suggests growing adoption of cashless transactions. The supermarket should continue supporting all three payment channels to cater to all customer preferences.</w:t>
      </w:r>
    </w:p>
    <w:p>
      <w:pPr>
        <w:spacing w:before="80" w:after="80"/>
      </w:pPr>
      <w:r>
        <w:t xml:space="preserve"/>
      </w:r>
    </w:p>
    <w:p>
      <w:pPr>
        <w:pStyle w:val="Heading1"/>
        <w:pBdr>
          <w:bottom w:val="single" w:color="2E75B6" w:sz="4" w:space="4"/>
        </w:pBdr>
        <w:spacing w:before="320" w:after="160"/>
      </w:pPr>
      <w:r>
        <w:rPr>
          <w:rFonts w:ascii="Arial" w:cs="Arial" w:eastAsia="Arial" w:hAnsi="Arial"/>
          <w:b/>
          <w:bCs/>
          <w:color w:val="2E75B6"/>
          <w:sz w:val="32"/>
          <w:szCs w:val="32"/>
        </w:rPr>
        <w:t xml:space="preserve">6. Product Line Performance</w:t>
      </w:r>
    </w:p>
    <w:p>
      <w:pPr>
        <w:spacing w:before="80" w:after="80"/>
      </w:pPr>
      <w:r>
        <w:rPr>
          <w:rFonts w:ascii="Arial" w:cs="Arial" w:eastAsia="Arial" w:hAnsi="Arial"/>
          <w:sz w:val="22"/>
          <w:szCs w:val="22"/>
        </w:rPr>
        <w:t xml:space="preserve">All six product lines show remarkably balanced performance, each contributing between 15% and 17% of total sales. This indicates a healthy and diversified product portfolio with no single category dominating.</w:t>
      </w:r>
    </w:p>
    <w:p>
      <w:pPr>
        <w:spacing w:before="80"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17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Product Line</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 Sales</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Total Sales</w:t>
            </w:r>
          </w:p>
        </w:tc>
        <w:tc>
          <w:tcPr>
            <w:tcW w:type="dxa" w:w="176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Avg Gross Income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Food and Beverages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$56,145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17.38% ★</w:t>
            </w:r>
          </w:p>
        </w:tc>
        <w:tc>
          <w:tcPr>
            <w:tcW w:type="dxa" w:w="1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$15.37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Sports and Travel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$55,123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17.07%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$15.81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Electronic Accessories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$54,338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16.82%</w:t>
            </w:r>
          </w:p>
        </w:tc>
        <w:tc>
          <w:tcPr>
            <w:tcW w:type="dxa" w:w="1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$15.22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Fashion Accessories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$54,306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16.81%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$14.53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Home and Lifestyle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$53,862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16.68%</w:t>
            </w:r>
          </w:p>
        </w:tc>
        <w:tc>
          <w:tcPr>
            <w:tcW w:type="dxa" w:w="1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$16.03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Health and Beauty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$49,194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15.23%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$15.41</w:t>
            </w:r>
          </w:p>
        </w:tc>
      </w:tr>
    </w:tbl>
    <w:p>
      <w:pPr>
        <w:spacing w:before="80" w:after="80"/>
      </w:pPr>
      <w:r>
        <w:t xml:space="preserve"/>
      </w:r>
    </w:p>
    <w:p>
      <w:pPr>
        <w:spacing w:before="80" w:after="80"/>
      </w:pPr>
      <w:r>
        <w:rPr>
          <w:rFonts w:ascii="Arial" w:cs="Arial" w:eastAsia="Arial" w:hAnsi="Arial"/>
          <w:b/>
          <w:bCs/>
          <w:sz w:val="22"/>
          <w:szCs w:val="22"/>
        </w:rPr>
        <w:t xml:space="preserve">Key Insight:</w:t>
      </w:r>
    </w:p>
    <w:p>
      <w:pPr>
        <w:spacing w:before="80" w:after="80"/>
      </w:pPr>
      <w:r>
        <w:rPr>
          <w:rFonts w:ascii="Arial" w:cs="Arial" w:eastAsia="Arial" w:hAnsi="Arial"/>
          <w:sz w:val="22"/>
          <w:szCs w:val="22"/>
        </w:rPr>
        <w:t xml:space="preserve">Food and Beverages leads in total revenue at 17.38%, while Home and Lifestyle generates the highest average gross income per transaction ($16.03). Health and Beauty is the lowest performer at 15.23% and may benefit from targeted promotions or expanded product ranges.</w:t>
      </w:r>
    </w:p>
    <w:p>
      <w:pPr>
        <w:spacing w:before="80" w:after="80"/>
      </w:pPr>
      <w:r>
        <w:t xml:space="preserve"/>
      </w:r>
    </w:p>
    <w:p>
      <w:pPr>
        <w:pStyle w:val="Heading1"/>
        <w:pBdr>
          <w:bottom w:val="single" w:color="2E75B6" w:sz="4" w:space="4"/>
        </w:pBdr>
        <w:spacing w:before="320" w:after="160"/>
      </w:pPr>
      <w:r>
        <w:rPr>
          <w:rFonts w:ascii="Arial" w:cs="Arial" w:eastAsia="Arial" w:hAnsi="Arial"/>
          <w:b/>
          <w:bCs/>
          <w:color w:val="2E75B6"/>
          <w:sz w:val="32"/>
          <w:szCs w:val="32"/>
        </w:rPr>
        <w:t xml:space="preserve">7. Customer Satisfaction Analysis</w:t>
      </w:r>
    </w:p>
    <w:p>
      <w:pPr>
        <w:spacing w:before="80" w:after="80"/>
      </w:pPr>
      <w:r>
        <w:rPr>
          <w:rFonts w:ascii="Arial" w:cs="Arial" w:eastAsia="Arial" w:hAnsi="Arial"/>
          <w:sz w:val="22"/>
          <w:szCs w:val="22"/>
        </w:rPr>
        <w:t xml:space="preserve">The overall average customer satisfaction rating is 6.97 out of 10, indicating moderate satisfaction. Ratings are relatively consistent across branches with Giza leading slightly.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Branch</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Average Rating</w:t>
            </w:r>
          </w:p>
        </w:tc>
        <w:tc>
          <w:tcPr>
            <w:tcW w:type="dxa" w:w="312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Giza</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7.07</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Highest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Alex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Above Average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left"/>
            </w:pPr>
            <w:r>
              <w:rPr>
                <w:rFonts w:ascii="Arial" w:cs="Arial" w:eastAsia="Arial" w:hAnsi="Arial"/>
                <w:sz w:val="20"/>
                <w:szCs w:val="20"/>
              </w:rPr>
              <w:t xml:space="preserve">Cairo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6.82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pPr>
              <w:jc w:val="center"/>
            </w:pPr>
            <w:r>
              <w:rPr>
                <w:rFonts w:ascii="Arial" w:cs="Arial" w:eastAsia="Arial" w:hAnsi="Arial"/>
                <w:sz w:val="20"/>
                <w:szCs w:val="20"/>
              </w:rPr>
              <w:t xml:space="preserve">Needs Improvement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Overall Average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6.97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Moderate</w:t>
            </w:r>
          </w:p>
        </w:tc>
      </w:tr>
    </w:tbl>
    <w:p>
      <w:pPr>
        <w:spacing w:before="80" w:after="80"/>
      </w:pPr>
      <w:r>
        <w:t xml:space="preserve"/>
      </w:r>
    </w:p>
    <w:p>
      <w:pPr>
        <w:spacing w:before="80" w:after="80"/>
      </w:pPr>
      <w:r>
        <w:rPr>
          <w:rFonts w:ascii="Arial" w:cs="Arial" w:eastAsia="Arial" w:hAnsi="Arial"/>
          <w:b/>
          <w:bCs/>
          <w:sz w:val="22"/>
          <w:szCs w:val="22"/>
        </w:rPr>
        <w:t xml:space="preserve">Key Insight:</w:t>
      </w:r>
    </w:p>
    <w:p>
      <w:pPr>
        <w:spacing w:before="80" w:after="80"/>
      </w:pPr>
      <w:r>
        <w:rPr>
          <w:rFonts w:ascii="Arial" w:cs="Arial" w:eastAsia="Arial" w:hAnsi="Arial"/>
          <w:sz w:val="22"/>
          <w:szCs w:val="22"/>
        </w:rPr>
        <w:t xml:space="preserve">While all branches score above 6.5, none exceed 7.5 which would indicate strong satisfaction. There is room for improvement across the chain, particularly in Cairo branch. Investigating service quality, product availability, and customer experience at Cairo could help lift overall scores.</w:t>
      </w:r>
    </w:p>
    <w:p>
      <w:pPr>
        <w:spacing w:before="80" w:after="80"/>
      </w:pPr>
      <w:r>
        <w:t xml:space="preserve"/>
      </w:r>
    </w:p>
    <w:p>
      <w:pPr>
        <w:pStyle w:val="Heading1"/>
        <w:pBdr>
          <w:bottom w:val="single" w:color="2E75B6" w:sz="4" w:space="4"/>
        </w:pBdr>
        <w:spacing w:before="320" w:after="160"/>
      </w:pPr>
      <w:r>
        <w:rPr>
          <w:rFonts w:ascii="Arial" w:cs="Arial" w:eastAsia="Arial" w:hAnsi="Arial"/>
          <w:b/>
          <w:bCs/>
          <w:color w:val="2E75B6"/>
          <w:sz w:val="32"/>
          <w:szCs w:val="32"/>
        </w:rPr>
        <w:t xml:space="preserve">8. Recommendations</w:t>
      </w:r>
    </w:p>
    <w:p>
      <w:pPr>
        <w:spacing w:before="80" w:after="80"/>
      </w:pPr>
      <w:r>
        <w:t xml:space="preserve"/>
      </w:r>
    </w:p>
    <w:p>
      <w:pPr>
        <w:spacing w:before="80" w:after="80"/>
      </w:pPr>
      <w:r>
        <w:rPr>
          <w:rFonts w:ascii="Arial" w:cs="Arial" w:eastAsia="Arial" w:hAnsi="Arial"/>
          <w:b/>
          <w:bCs/>
          <w:sz w:val="22"/>
          <w:szCs w:val="22"/>
        </w:rPr>
        <w:t xml:space="preserve">Based on the analysis, the following strategic actions are recommended:</w:t>
      </w:r>
    </w:p>
    <w:p>
      <w:pPr>
        <w:spacing w:before="80" w:after="80"/>
      </w:pPr>
      <w:r>
        <w:t xml:space="preserve"/>
      </w:r>
    </w:p>
    <w:p>
      <w:pPr>
        <w:spacing w:before="80" w:after="80"/>
      </w:pPr>
      <w:r>
        <w:rPr>
          <w:rFonts w:ascii="Arial" w:cs="Arial" w:eastAsia="Arial" w:hAnsi="Arial"/>
          <w:b/>
          <w:bCs/>
          <w:sz w:val="22"/>
          <w:szCs w:val="22"/>
        </w:rPr>
        <w:t xml:space="preserve">Branch Strategy:</w:t>
      </w:r>
    </w:p>
    <w:p>
      <w:pPr>
        <w:pStyle w:val="ListParagraph"/>
        <w:numPr>
          <w:ilvl w:val="0"/>
          <w:numId w:val="2"/>
        </w:numPr>
        <w:spacing w:before="60" w:after="60"/>
      </w:pPr>
      <w:r>
        <w:rPr>
          <w:rFonts w:ascii="Arial" w:cs="Arial" w:eastAsia="Arial" w:hAnsi="Arial"/>
          <w:sz w:val="22"/>
          <w:szCs w:val="22"/>
        </w:rPr>
        <w:t xml:space="preserve">Investigate the service model at Giza branch and replicate its approach at Alex and Cairo</w:t>
      </w:r>
    </w:p>
    <w:p>
      <w:pPr>
        <w:pStyle w:val="ListParagraph"/>
        <w:numPr>
          <w:ilvl w:val="0"/>
          <w:numId w:val="2"/>
        </w:numPr>
        <w:spacing w:before="60" w:after="60"/>
      </w:pPr>
      <w:r>
        <w:rPr>
          <w:rFonts w:ascii="Arial" w:cs="Arial" w:eastAsia="Arial" w:hAnsi="Arial"/>
          <w:sz w:val="22"/>
          <w:szCs w:val="22"/>
        </w:rPr>
        <w:t xml:space="preserve">Prioritise customer service improvement at Cairo branch to address its lower satisfaction rating of 6.82</w:t>
      </w:r>
    </w:p>
    <w:p>
      <w:pPr>
        <w:spacing w:before="80" w:after="80"/>
      </w:pPr>
      <w:r>
        <w:t xml:space="preserve"/>
      </w:r>
    </w:p>
    <w:p>
      <w:pPr>
        <w:spacing w:before="80" w:after="80"/>
      </w:pPr>
      <w:r>
        <w:rPr>
          <w:rFonts w:ascii="Arial" w:cs="Arial" w:eastAsia="Arial" w:hAnsi="Arial"/>
          <w:b/>
          <w:bCs/>
          <w:sz w:val="22"/>
          <w:szCs w:val="22"/>
        </w:rPr>
        <w:t xml:space="preserve">Customer Strategy:</w:t>
      </w:r>
    </w:p>
    <w:p>
      <w:pPr>
        <w:pStyle w:val="ListParagraph"/>
        <w:numPr>
          <w:ilvl w:val="0"/>
          <w:numId w:val="2"/>
        </w:numPr>
        <w:spacing w:before="60" w:after="60"/>
      </w:pPr>
      <w:r>
        <w:rPr>
          <w:rFonts w:ascii="Arial" w:cs="Arial" w:eastAsia="Arial" w:hAnsi="Arial"/>
          <w:sz w:val="22"/>
          <w:szCs w:val="22"/>
        </w:rPr>
        <w:t xml:space="preserve">Design targeted promotions for female customers who drive 60.28% of total revenue</w:t>
      </w:r>
    </w:p>
    <w:p>
      <w:pPr>
        <w:pStyle w:val="ListParagraph"/>
        <w:numPr>
          <w:ilvl w:val="0"/>
          <w:numId w:val="2"/>
        </w:numPr>
        <w:spacing w:before="60" w:after="60"/>
      </w:pPr>
      <w:r>
        <w:rPr>
          <w:rFonts w:ascii="Arial" w:cs="Arial" w:eastAsia="Arial" w:hAnsi="Arial"/>
          <w:sz w:val="22"/>
          <w:szCs w:val="22"/>
        </w:rPr>
        <w:t xml:space="preserve">Develop strategies to increase male customer engagement and spending</w:t>
      </w:r>
    </w:p>
    <w:p>
      <w:pPr>
        <w:pStyle w:val="ListParagraph"/>
        <w:numPr>
          <w:ilvl w:val="0"/>
          <w:numId w:val="2"/>
        </w:numPr>
        <w:spacing w:before="60" w:after="60"/>
      </w:pPr>
      <w:r>
        <w:rPr>
          <w:rFonts w:ascii="Arial" w:cs="Arial" w:eastAsia="Arial" w:hAnsi="Arial"/>
          <w:sz w:val="22"/>
          <w:szCs w:val="22"/>
        </w:rPr>
        <w:t xml:space="preserve">Introduce incentives to convert non-members into loyalty program members</w:t>
      </w:r>
    </w:p>
    <w:p>
      <w:pPr>
        <w:spacing w:before="80" w:after="80"/>
      </w:pPr>
      <w:r>
        <w:t xml:space="preserve"/>
      </w:r>
    </w:p>
    <w:p>
      <w:pPr>
        <w:spacing w:before="80" w:after="80"/>
      </w:pPr>
      <w:r>
        <w:rPr>
          <w:rFonts w:ascii="Arial" w:cs="Arial" w:eastAsia="Arial" w:hAnsi="Arial"/>
          <w:b/>
          <w:bCs/>
          <w:sz w:val="22"/>
          <w:szCs w:val="22"/>
        </w:rPr>
        <w:t xml:space="preserve">Product Strategy:</w:t>
      </w:r>
    </w:p>
    <w:p>
      <w:pPr>
        <w:pStyle w:val="ListParagraph"/>
        <w:numPr>
          <w:ilvl w:val="0"/>
          <w:numId w:val="2"/>
        </w:numPr>
        <w:spacing w:before="60" w:after="60"/>
      </w:pPr>
      <w:r>
        <w:rPr>
          <w:rFonts w:ascii="Arial" w:cs="Arial" w:eastAsia="Arial" w:hAnsi="Arial"/>
          <w:sz w:val="22"/>
          <w:szCs w:val="22"/>
        </w:rPr>
        <w:t xml:space="preserve">Invest in expanding the Health and Beauty product range to boost its performance from 15.23%</w:t>
      </w:r>
    </w:p>
    <w:p>
      <w:pPr>
        <w:pStyle w:val="ListParagraph"/>
        <w:numPr>
          <w:ilvl w:val="0"/>
          <w:numId w:val="2"/>
        </w:numPr>
        <w:spacing w:before="60" w:after="60"/>
      </w:pPr>
      <w:r>
        <w:rPr>
          <w:rFonts w:ascii="Arial" w:cs="Arial" w:eastAsia="Arial" w:hAnsi="Arial"/>
          <w:sz w:val="22"/>
          <w:szCs w:val="22"/>
        </w:rPr>
        <w:t xml:space="preserve">Leverage the strong performance of Food and Beverages with seasonal promotions</w:t>
      </w:r>
    </w:p>
    <w:p>
      <w:pPr>
        <w:spacing w:before="80" w:after="80"/>
      </w:pPr>
      <w:r>
        <w:t xml:space="preserve"/>
      </w:r>
    </w:p>
    <w:p>
      <w:pPr>
        <w:spacing w:before="80" w:after="80"/>
      </w:pPr>
      <w:r>
        <w:rPr>
          <w:rFonts w:ascii="Arial" w:cs="Arial" w:eastAsia="Arial" w:hAnsi="Arial"/>
          <w:b/>
          <w:bCs/>
          <w:sz w:val="22"/>
          <w:szCs w:val="22"/>
        </w:rPr>
        <w:t xml:space="preserve">Payment Strategy:</w:t>
      </w:r>
    </w:p>
    <w:p>
      <w:pPr>
        <w:pStyle w:val="ListParagraph"/>
        <w:numPr>
          <w:ilvl w:val="0"/>
          <w:numId w:val="2"/>
        </w:numPr>
        <w:spacing w:before="60" w:after="60"/>
      </w:pPr>
      <w:r>
        <w:rPr>
          <w:rFonts w:ascii="Arial" w:cs="Arial" w:eastAsia="Arial" w:hAnsi="Arial"/>
          <w:sz w:val="22"/>
          <w:szCs w:val="22"/>
        </w:rPr>
        <w:t xml:space="preserve">Continue supporting all three payment channels as customer preferences are evenly distributed</w:t>
      </w:r>
    </w:p>
    <w:p>
      <w:pPr>
        <w:pStyle w:val="ListParagraph"/>
        <w:numPr>
          <w:ilvl w:val="0"/>
          <w:numId w:val="2"/>
        </w:numPr>
        <w:spacing w:before="60" w:after="60"/>
      </w:pPr>
      <w:r>
        <w:rPr>
          <w:rFonts w:ascii="Arial" w:cs="Arial" w:eastAsia="Arial" w:hAnsi="Arial"/>
          <w:sz w:val="22"/>
          <w:szCs w:val="22"/>
        </w:rPr>
        <w:t xml:space="preserve">Consider introducing Ewallet-exclusive discounts to accelerate digital payment adoption</w:t>
      </w:r>
    </w:p>
    <w:p>
      <w:pPr>
        <w:spacing w:before="80" w:after="80"/>
      </w:pPr>
      <w:r>
        <w:t xml:space="preserve"/>
      </w:r>
    </w:p>
    <w:p>
      <w:pPr>
        <w:pStyle w:val="Heading1"/>
        <w:pBdr>
          <w:bottom w:val="single" w:color="2E75B6" w:sz="4" w:space="4"/>
        </w:pBdr>
        <w:spacing w:before="320" w:after="160"/>
      </w:pPr>
      <w:r>
        <w:rPr>
          <w:rFonts w:ascii="Arial" w:cs="Arial" w:eastAsia="Arial" w:hAnsi="Arial"/>
          <w:b/>
          <w:bCs/>
          <w:color w:val="2E75B6"/>
          <w:sz w:val="32"/>
          <w:szCs w:val="32"/>
        </w:rPr>
        <w:t xml:space="preserve">9. Conclusion</w:t>
      </w:r>
    </w:p>
    <w:p>
      <w:pPr>
        <w:spacing w:before="80" w:after="80"/>
      </w:pPr>
      <w:r>
        <w:rPr>
          <w:rFonts w:ascii="Arial" w:cs="Arial" w:eastAsia="Arial" w:hAnsi="Arial"/>
          <w:sz w:val="22"/>
          <w:szCs w:val="22"/>
        </w:rPr>
        <w:t xml:space="preserve">The Myanmar supermarket chain demonstrates strong and balanced performance across its three branches, six product lines, and diverse customer base. With total revenue of $322,967 from 1,000 transactions, the business is healthy and well-distributed.</w:t>
      </w:r>
    </w:p>
    <w:p>
      <w:pPr>
        <w:spacing w:before="80" w:after="80"/>
      </w:pPr>
      <w:r>
        <w:t xml:space="preserve"/>
      </w:r>
    </w:p>
    <w:p>
      <w:pPr>
        <w:spacing w:before="80" w:after="80"/>
      </w:pPr>
      <w:r>
        <w:rPr>
          <w:rFonts w:ascii="Arial" w:cs="Arial" w:eastAsia="Arial" w:hAnsi="Arial"/>
          <w:sz w:val="22"/>
          <w:szCs w:val="22"/>
        </w:rPr>
        <w:t xml:space="preserve">The most significant opportunities for growth lie in improving customer satisfaction scores (currently averaging 6.97/10), growing the male and non-member customer segments, and boosting the underperforming Health and Beauty product line.</w:t>
      </w:r>
    </w:p>
    <w:p>
      <w:pPr>
        <w:spacing w:before="80" w:after="80"/>
      </w:pPr>
      <w:r>
        <w:t xml:space="preserve"/>
      </w:r>
    </w:p>
    <w:p>
      <w:pPr>
        <w:spacing w:before="80" w:after="80"/>
      </w:pPr>
      <w:r>
        <w:rPr>
          <w:rFonts w:ascii="Arial" w:cs="Arial" w:eastAsia="Arial" w:hAnsi="Arial"/>
          <w:sz w:val="22"/>
          <w:szCs w:val="22"/>
        </w:rPr>
        <w:t xml:space="preserve">Overall, the data reflects a stable retail operation with clear pathways for targeted growth and service improvement.</w:t>
      </w:r>
    </w:p>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666666"/>
        <w:sz w:val="18"/>
        <w:szCs w:val="18"/>
      </w:rPr>
      <w:t xml:space="preserve">Prepared by: Data Analytics Team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666666"/>
        <w:sz w:val="18"/>
        <w:szCs w:val="18"/>
      </w:rPr>
      <w:t xml:space="preserve">Supermarket Sales Analysis Report  |  Myanmar  |  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2026-03-13T15:47:22.665Z</dcterms:created>
  <dcterms:modified xsi:type="dcterms:W3CDTF">2026-03-13T15:47:22.667Z</dcterms:modified>
</cp:coreProperties>
</file>

<file path=docProps/custom.xml><?xml version="1.0" encoding="utf-8"?>
<Properties xmlns="http://schemas.openxmlformats.org/officeDocument/2006/custom-properties" xmlns:vt="http://schemas.openxmlformats.org/officeDocument/2006/docPropsVTypes"/>
</file>