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B2A4A"/>
          <w:sz w:val="52"/>
          <w:szCs w:val="52"/>
        </w:rPr>
        <w:t xml:space="preserve">CAHIER DES CHARGES</w:t>
      </w:r>
    </w:p>
    <w:p>
      <w:pPr>
        <w:spacing w:after="600"/>
        <w:jc w:val="center"/>
      </w:pPr>
      <w:r>
        <w:rPr>
          <w:i/>
          <w:iCs/>
          <w:color w:val="C1502E"/>
          <w:sz w:val="32"/>
          <w:szCs w:val="32"/>
        </w:rPr>
        <w:t xml:space="preserve">&amp; étude de marché</w:t>
      </w:r>
    </w:p>
    <w:p>
      <w:pPr>
        <w:spacing w:after="100"/>
        <w:jc w:val="center"/>
      </w:pPr>
      <w:r>
        <w:rPr>
          <w:b/>
          <w:bCs/>
          <w:sz w:val="26"/>
          <w:szCs w:val="26"/>
        </w:rPr>
        <w:t xml:space="preserve">Marketplace mobile multi-services pour le Tchad</w:t>
      </w:r>
    </w:p>
    <w:p>
      <w:pPr>
        <w:spacing w:after="800"/>
        <w:jc w:val="center"/>
      </w:pPr>
      <w:r>
        <w:rPr>
          <w:color w:val="8B8172"/>
          <w:sz w:val="20"/>
          <w:szCs w:val="20"/>
        </w:rPr>
        <w:t xml:space="preserve">Annonces classifiées · Livraison de repas · Immobilier · Véhicules · Emploi</w:t>
      </w:r>
    </w:p>
    <w:p>
      <w:pPr>
        <w:spacing w:after="100"/>
        <w:jc w:val="center"/>
      </w:pPr>
      <w:r>
        <w:rPr>
          <w:b/>
          <w:bCs/>
          <w:sz w:val="20"/>
          <w:szCs w:val="20"/>
        </w:rPr>
        <w:t xml:space="preserve">Noms de marque proposés (à valider) :</w:t>
      </w:r>
    </w:p>
    <w:p>
      <w:pPr>
        <w:spacing w:after="1200"/>
        <w:jc w:val="center"/>
      </w:pPr>
      <w:r>
        <w:rPr>
          <w:b/>
          <w:bCs/>
          <w:color w:val="E8A33D"/>
          <w:sz w:val="22"/>
          <w:szCs w:val="22"/>
        </w:rPr>
        <w:t xml:space="preserve">235 Marché  ·  SoukTchad  ·  Yalla Tchad</w:t>
      </w:r>
    </w:p>
    <w:p>
      <w:pPr>
        <w:jc w:val="center"/>
      </w:pPr>
      <w:r>
        <w:rPr>
          <w:color w:val="8B8172"/>
          <w:sz w:val="18"/>
          <w:szCs w:val="18"/>
        </w:rPr>
        <w:t xml:space="preserve">Version 0.1 — document de travail</w:t>
      </w:r>
    </w:p>
    <w:p>
      <w:pPr>
        <w:jc w:val="center"/>
      </w:pPr>
      <w:r>
        <w:rPr>
          <w:color w:val="8B8172"/>
          <w:sz w:val="18"/>
          <w:szCs w:val="18"/>
        </w:rPr>
        <w:t xml:space="preserve">12 septembre 2026</w:t>
      </w:r>
    </w:p>
    <w:p>
      <w:r>
        <w:br w:type="page"/>
      </w:r>
    </w:p>
    <w:p>
      <w:pPr>
        <w:pStyle w:val="Heading1"/>
        <w:spacing w:after="200" w:before="400"/>
      </w:pPr>
      <w:r>
        <w:t xml:space="preserve">1. Contexte et vision</w:t>
      </w:r>
    </w:p>
    <w:p>
      <w:pPr>
        <w:spacing w:after="160"/>
      </w:pPr>
      <w:r>
        <w:t xml:space="preserve">Le Tchad ne dispose aujourd'hui d'aucune plateforme mobile unique, professionnelle et pensée pour le marché local, qui réunisse à la fois les petites annonces généralistes, la livraison de repas, l'immobilier, les véhicules et la recherche d'emploi. L'ambition de ce projet est de construire cette plateforme : une application mobile nationale, sécurisée, rapide, et conçue dès le départ pour les réalités du terrain tchadien (connectivité limitée, paiement par mobile money, usage massif du téléphone plutôt que de l'ordinateur).</w:t>
      </w:r>
    </w:p>
    <w:p>
      <w:pPr>
        <w:spacing w:after="160"/>
      </w:pPr>
      <w:r>
        <w:t xml:space="preserve">La vision à long terme est de devenir le point de passage obligé pour acheter, vendre, manger et trouver un emploi partout au Tchad — de N'Djamena aux villes secondaires — à l'image de ce qu'Avito est devenu au Maroc ou OLX dans d'autres marchés émergents.</w:t>
      </w:r>
    </w:p>
    <w:p>
      <w:pPr>
        <w:pStyle w:val="Heading1"/>
        <w:spacing w:after="200" w:before="400"/>
      </w:pPr>
      <w:r>
        <w:t xml:space="preserve">2. Étude de marché</w:t>
      </w:r>
    </w:p>
    <w:p>
      <w:pPr>
        <w:pStyle w:val="Heading2"/>
        <w:spacing w:after="150" w:before="300"/>
      </w:pPr>
      <w:r>
        <w:t xml:space="preserve">2.1 Ce qui existe déjà au Tchad</w:t>
      </w:r>
    </w:p>
    <w:p>
      <w:pPr>
        <w:spacing w:after="160"/>
      </w:pPr>
      <w:r>
        <w:t xml:space="preserve">Avant de construire, il est essentiel de savoir ce qui existe déjà sur le marché tchadien :</w:t>
      </w:r>
    </w:p>
    <w:p>
      <w:pPr>
        <w:pStyle w:val="ListParagraph"/>
        <w:numPr>
          <w:ilvl w:val="0"/>
          <w:numId w:val="1"/>
        </w:numPr>
        <w:spacing w:after="80"/>
      </w:pPr>
      <w:r>
        <w:t xml:space="preserve">CoinAfrique — leader panafricain des petites annonces (17 pays, dont le Tchad depuis 2015). Généraliste, gratuit, mais pensé pour 17 marchés à la fois : peu de profondeur locale, pas de livraison de repas, pas d'emploi structuré, pas de paiement intégré.</w:t>
      </w:r>
    </w:p>
    <w:p>
      <w:pPr>
        <w:pStyle w:val="ListParagraph"/>
        <w:numPr>
          <w:ilvl w:val="0"/>
          <w:numId w:val="1"/>
        </w:numPr>
        <w:spacing w:after="80"/>
      </w:pPr>
      <w:r>
        <w:t xml:space="preserve">Teelam — application tchadienne récente (2026), spécialisée uniquement dans l'immobilier à N'Djamena. Démontre qu'une demande locale existe, mais reste mono-catégorie et limitée à la capitale.</w:t>
      </w:r>
    </w:p>
    <w:p>
      <w:pPr>
        <w:pStyle w:val="ListParagraph"/>
        <w:numPr>
          <w:ilvl w:val="0"/>
          <w:numId w:val="1"/>
        </w:numPr>
        <w:spacing w:after="80"/>
      </w:pPr>
      <w:r>
        <w:t xml:space="preserve">Aucune plateforme identifiée ne combine aujourd'hui annonces généralistes + livraison de repas + emploi à l'échelle nationale tchadienne — c'est l'espace que ce projet peut occuper.</w:t>
      </w:r>
    </w:p>
    <w:p>
      <w:pPr>
        <w:pStyle w:val="Heading2"/>
        <w:spacing w:after="150" w:before="300"/>
      </w:pPr>
      <w:r>
        <w:t xml:space="preserve">2.2 Ce qu'on retient des grandes plateformes internationales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B2A4A" w:val="clear"/>
            <w:tcMar>
              <w:top w:type="dxa" w:w="100"/>
              <w:left w:type="dxa" w:w="120"/>
              <w:bottom w:type="dxa" w:w="100"/>
              <w:right w:type="dxa" w:w="120"/>
            </w:tcMar>
          </w:tcPr>
          <w:p>
            <w:r>
              <w:rPr>
                <w:b/>
                <w:bCs/>
                <w:color w:val="FFFFFF"/>
                <w:sz w:val="20"/>
                <w:szCs w:val="20"/>
              </w:rPr>
              <w:t xml:space="preserve">Plateforme</w:t>
            </w:r>
          </w:p>
        </w:tc>
        <w:tc>
          <w:tcPr>
            <w:tcW w:type="dxa" w:w="2800"/>
            <w:shd w:fill="1B2A4A" w:val="clear"/>
            <w:tcMar>
              <w:top w:type="dxa" w:w="100"/>
              <w:left w:type="dxa" w:w="120"/>
              <w:bottom w:type="dxa" w:w="100"/>
              <w:right w:type="dxa" w:w="120"/>
            </w:tcMar>
          </w:tcPr>
          <w:p>
            <w:r>
              <w:rPr>
                <w:b/>
                <w:bCs/>
                <w:color w:val="FFFFFF"/>
                <w:sz w:val="20"/>
                <w:szCs w:val="20"/>
              </w:rPr>
              <w:t xml:space="preserve">Modèle</w:t>
            </w:r>
          </w:p>
        </w:tc>
        <w:tc>
          <w:tcPr>
            <w:tcW w:type="dxa" w:w="5000"/>
            <w:shd w:fill="1B2A4A" w:val="clear"/>
            <w:tcMar>
              <w:top w:type="dxa" w:w="100"/>
              <w:left w:type="dxa" w:w="120"/>
              <w:bottom w:type="dxa" w:w="100"/>
              <w:right w:type="dxa" w:w="120"/>
            </w:tcMar>
          </w:tcPr>
          <w:p>
            <w:r>
              <w:rPr>
                <w:b/>
                <w:bCs/>
                <w:color w:val="FFFFFF"/>
                <w:sz w:val="20"/>
                <w:szCs w:val="20"/>
              </w:rPr>
              <w:t xml:space="preserve">Idée à reprendre pour le Tchad</w:t>
            </w:r>
          </w:p>
        </w:tc>
      </w:tr>
      <w:tr>
        <w:tc>
          <w:tcPr>
            <w:tcW w:type="dxa" w:w="1800"/>
            <w:tcMar>
              <w:top w:type="dxa" w:w="100"/>
              <w:left w:type="dxa" w:w="120"/>
              <w:bottom w:type="dxa" w:w="100"/>
              <w:right w:type="dxa" w:w="120"/>
            </w:tcMar>
          </w:tcPr>
          <w:p>
            <w:r>
              <w:rPr>
                <w:b w:val="false"/>
                <w:bCs w:val="false"/>
                <w:color w:val="000000"/>
                <w:sz w:val="20"/>
                <w:szCs w:val="20"/>
              </w:rPr>
              <w:t xml:space="preserve">Avito (Maroc)</w:t>
            </w:r>
          </w:p>
        </w:tc>
        <w:tc>
          <w:tcPr>
            <w:tcW w:type="dxa" w:w="2800"/>
            <w:tcMar>
              <w:top w:type="dxa" w:w="100"/>
              <w:left w:type="dxa" w:w="120"/>
              <w:bottom w:type="dxa" w:w="100"/>
              <w:right w:type="dxa" w:w="120"/>
            </w:tcMar>
          </w:tcPr>
          <w:p>
            <w:r>
              <w:rPr>
                <w:b w:val="false"/>
                <w:bCs w:val="false"/>
                <w:color w:val="000000"/>
                <w:sz w:val="20"/>
                <w:szCs w:val="20"/>
              </w:rPr>
              <w:t xml:space="preserve">Annonces C2C/B2B gratuites, boutiques pro payantes</w:t>
            </w:r>
          </w:p>
        </w:tc>
        <w:tc>
          <w:tcPr>
            <w:tcW w:type="dxa" w:w="5000"/>
            <w:tcMar>
              <w:top w:type="dxa" w:w="100"/>
              <w:left w:type="dxa" w:w="120"/>
              <w:bottom w:type="dxa" w:w="100"/>
              <w:right w:type="dxa" w:w="120"/>
            </w:tcMar>
          </w:tcPr>
          <w:p>
            <w:r>
              <w:rPr>
                <w:b w:val="false"/>
                <w:bCs w:val="false"/>
                <w:color w:val="000000"/>
                <w:sz w:val="20"/>
                <w:szCs w:val="20"/>
              </w:rPr>
              <w:t xml:space="preserve">Contact direct par téléphone/WhatsApp, modération des annonces avant publication, dépôt d'annonce en moins de 2 minutes</w:t>
            </w:r>
          </w:p>
        </w:tc>
      </w:tr>
      <w:tr>
        <w:tc>
          <w:tcPr>
            <w:tcW w:type="dxa" w:w="1800"/>
            <w:tcMar>
              <w:top w:type="dxa" w:w="100"/>
              <w:left w:type="dxa" w:w="120"/>
              <w:bottom w:type="dxa" w:w="100"/>
              <w:right w:type="dxa" w:w="120"/>
            </w:tcMar>
          </w:tcPr>
          <w:p>
            <w:r>
              <w:rPr>
                <w:b w:val="false"/>
                <w:bCs w:val="false"/>
                <w:color w:val="000000"/>
                <w:sz w:val="20"/>
                <w:szCs w:val="20"/>
              </w:rPr>
              <w:t xml:space="preserve">Wildberries (Russie)</w:t>
            </w:r>
          </w:p>
        </w:tc>
        <w:tc>
          <w:tcPr>
            <w:tcW w:type="dxa" w:w="2800"/>
            <w:tcMar>
              <w:top w:type="dxa" w:w="100"/>
              <w:left w:type="dxa" w:w="120"/>
              <w:bottom w:type="dxa" w:w="100"/>
              <w:right w:type="dxa" w:w="120"/>
            </w:tcMar>
          </w:tcPr>
          <w:p>
            <w:r>
              <w:rPr>
                <w:b w:val="false"/>
                <w:bCs w:val="false"/>
                <w:color w:val="000000"/>
                <w:sz w:val="20"/>
                <w:szCs w:val="20"/>
              </w:rPr>
              <w:t xml:space="preserve">Marketplace à commission, énorme réseau de points de retrait plutôt que la livraison à domicile systématique</w:t>
            </w:r>
          </w:p>
        </w:tc>
        <w:tc>
          <w:tcPr>
            <w:tcW w:type="dxa" w:w="5000"/>
            <w:tcMar>
              <w:top w:type="dxa" w:w="100"/>
              <w:left w:type="dxa" w:w="120"/>
              <w:bottom w:type="dxa" w:w="100"/>
              <w:right w:type="dxa" w:w="120"/>
            </w:tcMar>
          </w:tcPr>
          <w:p>
            <w:r>
              <w:rPr>
                <w:b w:val="false"/>
                <w:bCs w:val="false"/>
                <w:color w:val="000000"/>
                <w:sz w:val="20"/>
                <w:szCs w:val="20"/>
              </w:rPr>
              <w:t xml:space="preserve">Créer un réseau de points de retrait chez des boutiques partenaires : très adapté au Tchad où les adresses postales sont peu structurées</w:t>
            </w:r>
          </w:p>
        </w:tc>
      </w:tr>
      <w:tr>
        <w:tc>
          <w:tcPr>
            <w:tcW w:type="dxa" w:w="1800"/>
            <w:tcMar>
              <w:top w:type="dxa" w:w="100"/>
              <w:left w:type="dxa" w:w="120"/>
              <w:bottom w:type="dxa" w:w="100"/>
              <w:right w:type="dxa" w:w="120"/>
            </w:tcMar>
          </w:tcPr>
          <w:p>
            <w:r>
              <w:rPr>
                <w:b w:val="false"/>
                <w:bCs w:val="false"/>
                <w:color w:val="000000"/>
                <w:sz w:val="20"/>
                <w:szCs w:val="20"/>
              </w:rPr>
              <w:t xml:space="preserve">Yandex Market (Russie)</w:t>
            </w:r>
          </w:p>
        </w:tc>
        <w:tc>
          <w:tcPr>
            <w:tcW w:type="dxa" w:w="2800"/>
            <w:tcMar>
              <w:top w:type="dxa" w:w="100"/>
              <w:left w:type="dxa" w:w="120"/>
              <w:bottom w:type="dxa" w:w="100"/>
              <w:right w:type="dxa" w:w="120"/>
            </w:tcMar>
          </w:tcPr>
          <w:p>
            <w:r>
              <w:rPr>
                <w:b w:val="false"/>
                <w:bCs w:val="false"/>
                <w:color w:val="000000"/>
                <w:sz w:val="20"/>
                <w:szCs w:val="20"/>
              </w:rPr>
              <w:t xml:space="preserve">Agrégateur qui connecte des boutiques déjà existantes à une audience commune</w:t>
            </w:r>
          </w:p>
        </w:tc>
        <w:tc>
          <w:tcPr>
            <w:tcW w:type="dxa" w:w="5000"/>
            <w:tcMar>
              <w:top w:type="dxa" w:w="100"/>
              <w:left w:type="dxa" w:w="120"/>
              <w:bottom w:type="dxa" w:w="100"/>
              <w:right w:type="dxa" w:w="120"/>
            </w:tcMar>
          </w:tcPr>
          <w:p>
            <w:r>
              <w:rPr>
                <w:b w:val="false"/>
                <w:bCs w:val="false"/>
                <w:color w:val="000000"/>
                <w:sz w:val="20"/>
                <w:szCs w:val="20"/>
              </w:rPr>
              <w:t xml:space="preserve">Permettre à un petit commerce d'ouvrir une vitrine sans avoir à gérer sa propre logistique de livraison</w:t>
            </w:r>
          </w:p>
        </w:tc>
      </w:tr>
      <w:tr>
        <w:tc>
          <w:tcPr>
            <w:tcW w:type="dxa" w:w="1800"/>
            <w:tcMar>
              <w:top w:type="dxa" w:w="100"/>
              <w:left w:type="dxa" w:w="120"/>
              <w:bottom w:type="dxa" w:w="100"/>
              <w:right w:type="dxa" w:w="120"/>
            </w:tcMar>
          </w:tcPr>
          <w:p>
            <w:r>
              <w:rPr>
                <w:b w:val="false"/>
                <w:bCs w:val="false"/>
                <w:color w:val="000000"/>
                <w:sz w:val="20"/>
                <w:szCs w:val="20"/>
              </w:rPr>
              <w:t xml:space="preserve">Amazon</w:t>
            </w:r>
          </w:p>
        </w:tc>
        <w:tc>
          <w:tcPr>
            <w:tcW w:type="dxa" w:w="2800"/>
            <w:tcMar>
              <w:top w:type="dxa" w:w="100"/>
              <w:left w:type="dxa" w:w="120"/>
              <w:bottom w:type="dxa" w:w="100"/>
              <w:right w:type="dxa" w:w="120"/>
            </w:tcMar>
          </w:tcPr>
          <w:p>
            <w:r>
              <w:rPr>
                <w:b w:val="false"/>
                <w:bCs w:val="false"/>
                <w:color w:val="000000"/>
                <w:sz w:val="20"/>
                <w:szCs w:val="20"/>
              </w:rPr>
              <w:t xml:space="preserve">Vendeurs tiers, avis clients, un compte unique pour tout acheter</w:t>
            </w:r>
          </w:p>
        </w:tc>
        <w:tc>
          <w:tcPr>
            <w:tcW w:type="dxa" w:w="5000"/>
            <w:tcMar>
              <w:top w:type="dxa" w:w="100"/>
              <w:left w:type="dxa" w:w="120"/>
              <w:bottom w:type="dxa" w:w="100"/>
              <w:right w:type="dxa" w:w="120"/>
            </w:tcMar>
          </w:tcPr>
          <w:p>
            <w:r>
              <w:rPr>
                <w:b w:val="false"/>
                <w:bCs w:val="false"/>
                <w:color w:val="000000"/>
                <w:sz w:val="20"/>
                <w:szCs w:val="20"/>
              </w:rPr>
              <w:t xml:space="preserve">Un seul profil utilisateur pour publier une annonce, commander un repas, ou postuler à un emploi ; avis et notation des vendeurs/restaurants</w:t>
            </w:r>
          </w:p>
        </w:tc>
      </w:tr>
    </w:tbl>
    <w:p>
      <w:pPr>
        <w:spacing w:after="160"/>
      </w:pPr>
      <w:r>
        <w:t xml:space="preserve"/>
      </w:r>
    </w:p>
    <w:p>
      <w:pPr>
        <w:pStyle w:val="Heading2"/>
        <w:spacing w:after="150" w:before="300"/>
      </w:pPr>
      <w:r>
        <w:t xml:space="preserve">2.3 Positionnement proposé</w:t>
      </w:r>
    </w:p>
    <w:p>
      <w:pPr>
        <w:spacing w:after="160"/>
      </w:pPr>
      <w:r>
        <w:t xml:space="preserve">Là où CoinAfrique est panafricain et générique, ce projet doit être pensé Tchad d'abord : toutes les villes du pays couvertes dès le lancement, paiement en mobile money local natif, contact en français et en arabe, et un périmètre plus large (repas, emploi) que les concurrents actuels sur le marché.</w:t>
      </w:r>
    </w:p>
    <w:p>
      <w:pPr>
        <w:pStyle w:val="Heading1"/>
        <w:spacing w:after="200" w:before="400"/>
      </w:pPr>
      <w:r>
        <w:t xml:space="preserve">3. Public cible et couverture géographique</w:t>
      </w:r>
    </w:p>
    <w:p>
      <w:pPr>
        <w:pStyle w:val="Heading2"/>
        <w:spacing w:after="150" w:before="300"/>
      </w:pPr>
      <w:r>
        <w:t xml:space="preserve">3.1 Utilisateurs cibles</w:t>
      </w:r>
    </w:p>
    <w:p>
      <w:pPr>
        <w:pStyle w:val="ListParagraph"/>
        <w:numPr>
          <w:ilvl w:val="0"/>
          <w:numId w:val="1"/>
        </w:numPr>
        <w:spacing w:after="80"/>
      </w:pPr>
      <w:r>
        <w:t xml:space="preserve">Particuliers en zone urbaine souhaitant acheter/vendre rapidement (véhicules, électronique, mode, mobilier)</w:t>
      </w:r>
    </w:p>
    <w:p>
      <w:pPr>
        <w:pStyle w:val="ListParagraph"/>
        <w:numPr>
          <w:ilvl w:val="0"/>
          <w:numId w:val="1"/>
        </w:numPr>
        <w:spacing w:after="80"/>
      </w:pPr>
      <w:r>
        <w:t xml:space="preserve">Commerces, restaurants et boutiques souhaitant une vitrine numérique et de nouvelles commandes</w:t>
      </w:r>
    </w:p>
    <w:p>
      <w:pPr>
        <w:pStyle w:val="ListParagraph"/>
        <w:numPr>
          <w:ilvl w:val="0"/>
          <w:numId w:val="1"/>
        </w:numPr>
        <w:spacing w:after="80"/>
      </w:pPr>
      <w:r>
        <w:t xml:space="preserve">Agences et particuliers proposant des biens immobiliers à la vente ou à la location</w:t>
      </w:r>
    </w:p>
    <w:p>
      <w:pPr>
        <w:pStyle w:val="ListParagraph"/>
        <w:numPr>
          <w:ilvl w:val="0"/>
          <w:numId w:val="1"/>
        </w:numPr>
        <w:spacing w:after="80"/>
      </w:pPr>
      <w:r>
        <w:t xml:space="preserve">Employeurs et chercheurs d'emploi (CDI, CDD, stages, petits boulots)</w:t>
      </w:r>
    </w:p>
    <w:p>
      <w:pPr>
        <w:pStyle w:val="Heading2"/>
        <w:spacing w:after="150" w:before="300"/>
      </w:pPr>
      <w:r>
        <w:t xml:space="preserve">3.2 Villes couvertes dès le lancement</w:t>
      </w:r>
    </w:p>
    <w:p>
      <w:pPr>
        <w:spacing w:after="160"/>
      </w:pPr>
      <w:r>
        <w:t xml:space="preserve">L'application doit couvrir l'ensemble du territoire tchadien dès le départ, avec un filtre systématique par ville sur chaque annonce, restaurant et offre d'emploi :</w:t>
      </w:r>
    </w:p>
    <w:p>
      <w:pPr>
        <w:pStyle w:val="ListParagraph"/>
        <w:numPr>
          <w:ilvl w:val="0"/>
          <w:numId w:val="1"/>
        </w:numPr>
        <w:spacing w:after="80"/>
      </w:pPr>
      <w:r>
        <w:t xml:space="preserve">N'Djamena (capitale — priorité absolue au lancement)</w:t>
      </w:r>
    </w:p>
    <w:p>
      <w:pPr>
        <w:pStyle w:val="ListParagraph"/>
        <w:numPr>
          <w:ilvl w:val="0"/>
          <w:numId w:val="1"/>
        </w:numPr>
        <w:spacing w:after="80"/>
      </w:pPr>
      <w:r>
        <w:t xml:space="preserve">Moundou, Sarh, Abéché, Kélo, Koumra, Pala, Am Timan, Bongor, Mongo, Doba, Ati, Oum Hadjer, Bol, Faya-Largeau, Biltine, Mao, Fianga, Laï, Massakory, Goundi</w:t>
      </w:r>
    </w:p>
    <w:p>
      <w:pPr>
        <w:spacing w:after="160"/>
      </w:pPr>
      <w:r>
        <w:t xml:space="preserve">Recommandation : lancer en priorité sur N'Djamena, Moundou, Sarh et Abéché (les 4 plus grandes villes) pour concentrer les premiers efforts commerciaux, puis étendre progressivement — la structure technique, elle, doit gérer toutes les villes dès le premier jour.</w:t>
      </w:r>
    </w:p>
    <w:p>
      <w:pPr>
        <w:pStyle w:val="Heading1"/>
        <w:spacing w:after="200" w:before="400"/>
      </w:pPr>
      <w:r>
        <w:t xml:space="preserve">4. Périmètre fonctionnel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B2A4A" w:val="clear"/>
            <w:tcMar>
              <w:top w:type="dxa" w:w="100"/>
              <w:left w:type="dxa" w:w="120"/>
              <w:bottom w:type="dxa" w:w="100"/>
              <w:right w:type="dxa" w:w="120"/>
            </w:tcMar>
          </w:tcPr>
          <w:p>
            <w:r>
              <w:rPr>
                <w:b/>
                <w:bCs/>
                <w:color w:val="FFFFFF"/>
                <w:sz w:val="20"/>
                <w:szCs w:val="20"/>
              </w:rPr>
              <w:t xml:space="preserve">Module</w:t>
            </w:r>
          </w:p>
        </w:tc>
        <w:tc>
          <w:tcPr>
            <w:tcW w:type="dxa" w:w="7200"/>
            <w:shd w:fill="1B2A4A" w:val="clear"/>
            <w:tcMar>
              <w:top w:type="dxa" w:w="100"/>
              <w:left w:type="dxa" w:w="120"/>
              <w:bottom w:type="dxa" w:w="100"/>
              <w:right w:type="dxa" w:w="120"/>
            </w:tcMar>
          </w:tcPr>
          <w:p>
            <w:r>
              <w:rPr>
                <w:b/>
                <w:bCs/>
                <w:color w:val="FFFFFF"/>
                <w:sz w:val="20"/>
                <w:szCs w:val="20"/>
              </w:rPr>
              <w:t xml:space="preserve">Fonctionnalités clés</w:t>
            </w:r>
          </w:p>
        </w:tc>
      </w:tr>
      <w:tr>
        <w:tc>
          <w:tcPr>
            <w:tcW w:type="dxa" w:w="2400"/>
            <w:tcMar>
              <w:top w:type="dxa" w:w="100"/>
              <w:left w:type="dxa" w:w="120"/>
              <w:bottom w:type="dxa" w:w="100"/>
              <w:right w:type="dxa" w:w="120"/>
            </w:tcMar>
          </w:tcPr>
          <w:p>
            <w:r>
              <w:rPr>
                <w:b w:val="false"/>
                <w:bCs w:val="false"/>
                <w:color w:val="000000"/>
                <w:sz w:val="20"/>
                <w:szCs w:val="20"/>
              </w:rPr>
              <w:t xml:space="preserve">Annonces classifiées</w:t>
            </w:r>
          </w:p>
        </w:tc>
        <w:tc>
          <w:tcPr>
            <w:tcW w:type="dxa" w:w="7200"/>
            <w:tcMar>
              <w:top w:type="dxa" w:w="100"/>
              <w:left w:type="dxa" w:w="120"/>
              <w:bottom w:type="dxa" w:w="100"/>
              <w:right w:type="dxa" w:w="120"/>
            </w:tcMar>
          </w:tcPr>
          <w:p>
            <w:r>
              <w:rPr>
                <w:b w:val="false"/>
                <w:bCs w:val="false"/>
                <w:color w:val="000000"/>
                <w:sz w:val="20"/>
                <w:szCs w:val="20"/>
              </w:rPr>
              <w:t xml:space="preserve">Immobilier, véhicules &amp; accessoires, matériel, électronique, mode, services. Dépôt d'annonce avec photos, modération avant publication, messagerie et contact direct par appel/WhatsApp, favoris, recherche par ville/prix/catégorie.</w:t>
            </w:r>
          </w:p>
        </w:tc>
      </w:tr>
      <w:tr>
        <w:tc>
          <w:tcPr>
            <w:tcW w:type="dxa" w:w="2400"/>
            <w:tcMar>
              <w:top w:type="dxa" w:w="100"/>
              <w:left w:type="dxa" w:w="120"/>
              <w:bottom w:type="dxa" w:w="100"/>
              <w:right w:type="dxa" w:w="120"/>
            </w:tcMar>
          </w:tcPr>
          <w:p>
            <w:r>
              <w:rPr>
                <w:b w:val="false"/>
                <w:bCs w:val="false"/>
                <w:color w:val="000000"/>
                <w:sz w:val="20"/>
                <w:szCs w:val="20"/>
              </w:rPr>
              <w:t xml:space="preserve">Boutiques &amp; commerces</w:t>
            </w:r>
          </w:p>
        </w:tc>
        <w:tc>
          <w:tcPr>
            <w:tcW w:type="dxa" w:w="7200"/>
            <w:tcMar>
              <w:top w:type="dxa" w:w="100"/>
              <w:left w:type="dxa" w:w="120"/>
              <w:bottom w:type="dxa" w:w="100"/>
              <w:right w:type="dxa" w:w="120"/>
            </w:tcMar>
          </w:tcPr>
          <w:p>
            <w:r>
              <w:rPr>
                <w:b w:val="false"/>
                <w:bCs w:val="false"/>
                <w:color w:val="000000"/>
                <w:sz w:val="20"/>
                <w:szCs w:val="20"/>
              </w:rPr>
              <w:t xml:space="preserve">Vitrine pro pour chaque boutique/magasin (catalogue, horaires, localisation sur carte), badge "vendeur vérifié", statistiques de vues pour le commerçant.</w:t>
            </w:r>
          </w:p>
        </w:tc>
      </w:tr>
      <w:tr>
        <w:tc>
          <w:tcPr>
            <w:tcW w:type="dxa" w:w="2400"/>
            <w:tcMar>
              <w:top w:type="dxa" w:w="100"/>
              <w:left w:type="dxa" w:w="120"/>
              <w:bottom w:type="dxa" w:w="100"/>
              <w:right w:type="dxa" w:w="120"/>
            </w:tcMar>
          </w:tcPr>
          <w:p>
            <w:r>
              <w:rPr>
                <w:b w:val="false"/>
                <w:bCs w:val="false"/>
                <w:color w:val="000000"/>
                <w:sz w:val="20"/>
                <w:szCs w:val="20"/>
              </w:rPr>
              <w:t xml:space="preserve">Restaurants &amp; livraison</w:t>
            </w:r>
          </w:p>
        </w:tc>
        <w:tc>
          <w:tcPr>
            <w:tcW w:type="dxa" w:w="7200"/>
            <w:tcMar>
              <w:top w:type="dxa" w:w="100"/>
              <w:left w:type="dxa" w:w="120"/>
              <w:bottom w:type="dxa" w:w="100"/>
              <w:right w:type="dxa" w:w="120"/>
            </w:tcMar>
          </w:tcPr>
          <w:p>
            <w:r>
              <w:rPr>
                <w:b w:val="false"/>
                <w:bCs w:val="false"/>
                <w:color w:val="000000"/>
                <w:sz w:val="20"/>
                <w:szCs w:val="20"/>
              </w:rPr>
              <w:t xml:space="preserve">Menus par restaurant, panier, suivi de commande en temps réel, évaluation, paiement à la livraison ou mobile money, points de retrait pour les zones mal desservies.</w:t>
            </w:r>
          </w:p>
        </w:tc>
      </w:tr>
      <w:tr>
        <w:tc>
          <w:tcPr>
            <w:tcW w:type="dxa" w:w="2400"/>
            <w:tcMar>
              <w:top w:type="dxa" w:w="100"/>
              <w:left w:type="dxa" w:w="120"/>
              <w:bottom w:type="dxa" w:w="100"/>
              <w:right w:type="dxa" w:w="120"/>
            </w:tcMar>
          </w:tcPr>
          <w:p>
            <w:r>
              <w:rPr>
                <w:b w:val="false"/>
                <w:bCs w:val="false"/>
                <w:color w:val="000000"/>
                <w:sz w:val="20"/>
                <w:szCs w:val="20"/>
              </w:rPr>
              <w:t xml:space="preserve">Emploi</w:t>
            </w:r>
          </w:p>
        </w:tc>
        <w:tc>
          <w:tcPr>
            <w:tcW w:type="dxa" w:w="7200"/>
            <w:tcMar>
              <w:top w:type="dxa" w:w="100"/>
              <w:left w:type="dxa" w:w="120"/>
              <w:bottom w:type="dxa" w:w="100"/>
              <w:right w:type="dxa" w:w="120"/>
            </w:tcMar>
          </w:tcPr>
          <w:p>
            <w:r>
              <w:rPr>
                <w:b w:val="false"/>
                <w:bCs w:val="false"/>
                <w:color w:val="000000"/>
                <w:sz w:val="20"/>
                <w:szCs w:val="20"/>
              </w:rPr>
              <w:t xml:space="preserve">Offres d'emploi par ville et secteur, dépôt de CV simplifié, candidature en un clic, espace recruteur pour publier une offre et gérer les candidatures.</w:t>
            </w:r>
          </w:p>
        </w:tc>
      </w:tr>
      <w:tr>
        <w:tc>
          <w:tcPr>
            <w:tcW w:type="dxa" w:w="2400"/>
            <w:tcMar>
              <w:top w:type="dxa" w:w="100"/>
              <w:left w:type="dxa" w:w="120"/>
              <w:bottom w:type="dxa" w:w="100"/>
              <w:right w:type="dxa" w:w="120"/>
            </w:tcMar>
          </w:tcPr>
          <w:p>
            <w:r>
              <w:rPr>
                <w:b w:val="false"/>
                <w:bCs w:val="false"/>
                <w:color w:val="000000"/>
                <w:sz w:val="20"/>
                <w:szCs w:val="20"/>
              </w:rPr>
              <w:t xml:space="preserve">Compte &amp; confiance</w:t>
            </w:r>
          </w:p>
        </w:tc>
        <w:tc>
          <w:tcPr>
            <w:tcW w:type="dxa" w:w="7200"/>
            <w:tcMar>
              <w:top w:type="dxa" w:w="100"/>
              <w:left w:type="dxa" w:w="120"/>
              <w:bottom w:type="dxa" w:w="100"/>
              <w:right w:type="dxa" w:w="120"/>
            </w:tcMar>
          </w:tcPr>
          <w:p>
            <w:r>
              <w:rPr>
                <w:b w:val="false"/>
                <w:bCs w:val="false"/>
                <w:color w:val="000000"/>
                <w:sz w:val="20"/>
                <w:szCs w:val="20"/>
              </w:rPr>
              <w:t xml:space="preserve">Un compte unique par numéro de téléphone (OTP SMS), badge de vérification, avis et notation, signalement d'annonce frauduleuse, modération humaine.</w:t>
            </w:r>
          </w:p>
        </w:tc>
      </w:tr>
      <w:tr>
        <w:tc>
          <w:tcPr>
            <w:tcW w:type="dxa" w:w="2400"/>
            <w:tcMar>
              <w:top w:type="dxa" w:w="100"/>
              <w:left w:type="dxa" w:w="120"/>
              <w:bottom w:type="dxa" w:w="100"/>
              <w:right w:type="dxa" w:w="120"/>
            </w:tcMar>
          </w:tcPr>
          <w:p>
            <w:r>
              <w:rPr>
                <w:b w:val="false"/>
                <w:bCs w:val="false"/>
                <w:color w:val="000000"/>
                <w:sz w:val="20"/>
                <w:szCs w:val="20"/>
              </w:rPr>
              <w:t xml:space="preserve">Localisation</w:t>
            </w:r>
          </w:p>
        </w:tc>
        <w:tc>
          <w:tcPr>
            <w:tcW w:type="dxa" w:w="7200"/>
            <w:tcMar>
              <w:top w:type="dxa" w:w="100"/>
              <w:left w:type="dxa" w:w="120"/>
              <w:bottom w:type="dxa" w:w="100"/>
              <w:right w:type="dxa" w:w="120"/>
            </w:tcMar>
          </w:tcPr>
          <w:p>
            <w:r>
              <w:rPr>
                <w:b w:val="false"/>
                <w:bCs w:val="false"/>
                <w:color w:val="000000"/>
                <w:sz w:val="20"/>
                <w:szCs w:val="20"/>
              </w:rPr>
              <w:t xml:space="preserve">Carte intégrée sur chaque annonce/restaurant/offre, recherche "près de moi", sélection de ville obligatoire à l'inscription.</w:t>
            </w:r>
          </w:p>
        </w:tc>
      </w:tr>
      <w:tr>
        <w:tc>
          <w:tcPr>
            <w:tcW w:type="dxa" w:w="2400"/>
            <w:tcMar>
              <w:top w:type="dxa" w:w="100"/>
              <w:left w:type="dxa" w:w="120"/>
              <w:bottom w:type="dxa" w:w="100"/>
              <w:right w:type="dxa" w:w="120"/>
            </w:tcMar>
          </w:tcPr>
          <w:p>
            <w:r>
              <w:rPr>
                <w:b w:val="false"/>
                <w:bCs w:val="false"/>
                <w:color w:val="000000"/>
                <w:sz w:val="20"/>
                <w:szCs w:val="20"/>
              </w:rPr>
              <w:t xml:space="preserve">Paiement</w:t>
            </w:r>
          </w:p>
        </w:tc>
        <w:tc>
          <w:tcPr>
            <w:tcW w:type="dxa" w:w="7200"/>
            <w:tcMar>
              <w:top w:type="dxa" w:w="100"/>
              <w:left w:type="dxa" w:w="120"/>
              <w:bottom w:type="dxa" w:w="100"/>
              <w:right w:type="dxa" w:w="120"/>
            </w:tcMar>
          </w:tcPr>
          <w:p>
            <w:r>
              <w:rPr>
                <w:b w:val="false"/>
                <w:bCs w:val="false"/>
                <w:color w:val="000000"/>
                <w:sz w:val="20"/>
                <w:szCs w:val="20"/>
              </w:rPr>
              <w:t xml:space="preserve">Airtel Money, Moov Money (ex-Tigo Cash), carte bancaire (rails Visa/Mastercard via une banque comme UBA), paiement à la livraison pour les repas.</w:t>
            </w:r>
          </w:p>
        </w:tc>
      </w:tr>
    </w:tbl>
    <w:p>
      <w:pPr>
        <w:spacing w:after="160"/>
      </w:pPr>
      <w:r>
        <w:t xml:space="preserve"/>
      </w:r>
    </w:p>
    <w:p>
      <w:pPr>
        <w:pStyle w:val="Heading1"/>
        <w:spacing w:after="200" w:before="400"/>
      </w:pPr>
      <w:r>
        <w:t xml:space="preserve">5. Exigences non fonctionnelles</w:t>
      </w:r>
    </w:p>
    <w:p>
      <w:pPr>
        <w:pStyle w:val="Heading2"/>
        <w:spacing w:after="150" w:before="300"/>
      </w:pPr>
      <w:r>
        <w:t xml:space="preserve">5.1 Sécurité</w:t>
      </w:r>
    </w:p>
    <w:p>
      <w:pPr>
        <w:pStyle w:val="ListParagraph"/>
        <w:numPr>
          <w:ilvl w:val="0"/>
          <w:numId w:val="1"/>
        </w:numPr>
        <w:spacing w:after="80"/>
      </w:pPr>
      <w:r>
        <w:t xml:space="preserve">Authentification par numéro de téléphone + code OTP (pas de mot de passe faible)</w:t>
      </w:r>
    </w:p>
    <w:p>
      <w:pPr>
        <w:pStyle w:val="ListParagraph"/>
        <w:numPr>
          <w:ilvl w:val="0"/>
          <w:numId w:val="1"/>
        </w:numPr>
        <w:spacing w:after="80"/>
      </w:pPr>
      <w:r>
        <w:t xml:space="preserve">Chiffrement des données en transit (HTTPS/TLS) et au repos</w:t>
      </w:r>
    </w:p>
    <w:p>
      <w:pPr>
        <w:pStyle w:val="ListParagraph"/>
        <w:numPr>
          <w:ilvl w:val="0"/>
          <w:numId w:val="1"/>
        </w:numPr>
        <w:spacing w:after="80"/>
      </w:pPr>
      <w:r>
        <w:t xml:space="preserve">Modération des annonces et des restaurants avant mise en ligne</w:t>
      </w:r>
    </w:p>
    <w:p>
      <w:pPr>
        <w:pStyle w:val="ListParagraph"/>
        <w:numPr>
          <w:ilvl w:val="0"/>
          <w:numId w:val="1"/>
        </w:numPr>
        <w:spacing w:after="80"/>
      </w:pPr>
      <w:r>
        <w:t xml:space="preserve">Système de signalement et de blocage entre utilisateurs</w:t>
      </w:r>
    </w:p>
    <w:p>
      <w:pPr>
        <w:pStyle w:val="ListParagraph"/>
        <w:numPr>
          <w:ilvl w:val="0"/>
          <w:numId w:val="1"/>
        </w:numPr>
        <w:spacing w:after="80"/>
      </w:pPr>
      <w:r>
        <w:t xml:space="preserve">Aucune donnée de paiement stockée directement — délégation aux prestataires (mobile money, passerelle carte)</w:t>
      </w:r>
    </w:p>
    <w:p>
      <w:pPr>
        <w:pStyle w:val="Heading2"/>
        <w:spacing w:after="150" w:before="300"/>
      </w:pPr>
      <w:r>
        <w:t xml:space="preserve">5.2 Performance et disponibilité</w:t>
      </w:r>
    </w:p>
    <w:p>
      <w:pPr>
        <w:pStyle w:val="ListParagraph"/>
        <w:numPr>
          <w:ilvl w:val="0"/>
          <w:numId w:val="1"/>
        </w:numPr>
        <w:spacing w:after="80"/>
      </w:pPr>
      <w:r>
        <w:t xml:space="preserve">Temps de chargement optimisé pour une connexion 3G/4G instable : images compressées, pagination systématique</w:t>
      </w:r>
    </w:p>
    <w:p>
      <w:pPr>
        <w:pStyle w:val="ListParagraph"/>
        <w:numPr>
          <w:ilvl w:val="0"/>
          <w:numId w:val="1"/>
        </w:numPr>
        <w:spacing w:after="80"/>
      </w:pPr>
      <w:r>
        <w:t xml:space="preserve">Mode dégradé hors-ligne : consultation des dernières annonces vues sans connexion</w:t>
      </w:r>
    </w:p>
    <w:p>
      <w:pPr>
        <w:pStyle w:val="ListParagraph"/>
        <w:numPr>
          <w:ilvl w:val="0"/>
          <w:numId w:val="1"/>
        </w:numPr>
        <w:spacing w:after="80"/>
      </w:pPr>
      <w:r>
        <w:t xml:space="preserve">Objectif de disponibilité : 99,5% (hébergement avec sauvegardes automatiques quotidiennes)</w:t>
      </w:r>
    </w:p>
    <w:p>
      <w:pPr>
        <w:pStyle w:val="Heading2"/>
        <w:spacing w:after="150" w:before="300"/>
      </w:pPr>
      <w:r>
        <w:t xml:space="preserve">5.3 Qualité et image de marque</w:t>
      </w:r>
    </w:p>
    <w:p>
      <w:pPr>
        <w:pStyle w:val="ListParagraph"/>
        <w:numPr>
          <w:ilvl w:val="0"/>
          <w:numId w:val="1"/>
        </w:numPr>
        <w:spacing w:after="80"/>
      </w:pPr>
      <w:r>
        <w:t xml:space="preserve">Design professionnel et cohérent sur toutes les fonctionnalités (une seule identité visuelle, pas un assemblage de modules disparates)</w:t>
      </w:r>
    </w:p>
    <w:p>
      <w:pPr>
        <w:pStyle w:val="ListParagraph"/>
        <w:numPr>
          <w:ilvl w:val="0"/>
          <w:numId w:val="1"/>
        </w:numPr>
        <w:spacing w:after="80"/>
      </w:pPr>
      <w:r>
        <w:t xml:space="preserve">Interface disponible en français, avec une version arabe à prévoir pour une adoption plus large</w:t>
      </w:r>
    </w:p>
    <w:p>
      <w:pPr>
        <w:pStyle w:val="ListParagraph"/>
        <w:numPr>
          <w:ilvl w:val="0"/>
          <w:numId w:val="1"/>
        </w:numPr>
        <w:spacing w:after="80"/>
      </w:pPr>
      <w:r>
        <w:t xml:space="preserve">Accessibilité pensée pour des téléphones d'entrée de gamme (pas seulement les derniers smartphones)</w:t>
      </w:r>
    </w:p>
    <w:p>
      <w:pPr>
        <w:pStyle w:val="Heading1"/>
        <w:spacing w:after="200" w:before="400"/>
      </w:pPr>
      <w:r>
        <w:t xml:space="preserve">6. Architecture technique (rappel)</w:t>
      </w:r>
    </w:p>
    <w:p>
      <w:pPr>
        <w:spacing w:after="160"/>
      </w:pPr>
      <w:r>
        <w:t xml:space="preserve">Le détail complet a été validé dans la phase précédente ; en synthèse :</w:t>
      </w:r>
    </w:p>
    <w:p>
      <w:pPr>
        <w:pStyle w:val="ListParagraph"/>
        <w:numPr>
          <w:ilvl w:val="0"/>
          <w:numId w:val="1"/>
        </w:numPr>
        <w:spacing w:after="80"/>
      </w:pPr>
      <w:r>
        <w:t xml:space="preserve">Application mobile : Flutter (Android/iOS, un seul code source)</w:t>
      </w:r>
    </w:p>
    <w:p>
      <w:pPr>
        <w:pStyle w:val="ListParagraph"/>
        <w:numPr>
          <w:ilvl w:val="0"/>
          <w:numId w:val="1"/>
        </w:numPr>
        <w:spacing w:after="80"/>
      </w:pPr>
      <w:r>
        <w:t xml:space="preserve">Backend : monolithe modulaire (NestJS/TypeScript), modules Auth, Annonces, Repas, Emploi, Messagerie</w:t>
      </w:r>
    </w:p>
    <w:p>
      <w:pPr>
        <w:pStyle w:val="ListParagraph"/>
        <w:numPr>
          <w:ilvl w:val="0"/>
          <w:numId w:val="1"/>
        </w:numPr>
        <w:spacing w:after="80"/>
      </w:pPr>
      <w:r>
        <w:t xml:space="preserve">Base de données : PostgreSQL + PostGIS (géolocalisation), Redis (cache et files d'attente)</w:t>
      </w:r>
    </w:p>
    <w:p>
      <w:pPr>
        <w:pStyle w:val="ListParagraph"/>
        <w:numPr>
          <w:ilvl w:val="0"/>
          <w:numId w:val="1"/>
        </w:numPr>
        <w:spacing w:after="80"/>
      </w:pPr>
      <w:r>
        <w:t xml:space="preserve">Stockage médias : object storage compatible S3, images compressées en WebP</w:t>
      </w:r>
    </w:p>
    <w:p>
      <w:pPr>
        <w:pStyle w:val="ListParagraph"/>
        <w:numPr>
          <w:ilvl w:val="0"/>
          <w:numId w:val="1"/>
        </w:numPr>
        <w:spacing w:after="80"/>
      </w:pPr>
      <w:r>
        <w:t xml:space="preserve">Services externes : SMS OTP, Airtel Money / Moov Money, notifications push (FCM)</w:t>
      </w:r>
    </w:p>
    <w:p>
      <w:pPr>
        <w:pStyle w:val="Heading1"/>
        <w:spacing w:after="200" w:before="400"/>
      </w:pPr>
      <w:r>
        <w:t xml:space="preserve">7. Feuille de route par phases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B2A4A" w:val="clear"/>
            <w:tcMar>
              <w:top w:type="dxa" w:w="100"/>
              <w:left w:type="dxa" w:w="120"/>
              <w:bottom w:type="dxa" w:w="100"/>
              <w:right w:type="dxa" w:w="120"/>
            </w:tcMar>
          </w:tcPr>
          <w:p>
            <w:r>
              <w:rPr>
                <w:b/>
                <w:bCs/>
                <w:color w:val="FFFFFF"/>
                <w:sz w:val="20"/>
                <w:szCs w:val="20"/>
              </w:rPr>
              <w:t xml:space="preserve">Phase</w:t>
            </w:r>
          </w:p>
        </w:tc>
        <w:tc>
          <w:tcPr>
            <w:tcW w:type="dxa" w:w="5300"/>
            <w:shd w:fill="1B2A4A" w:val="clear"/>
            <w:tcMar>
              <w:top w:type="dxa" w:w="100"/>
              <w:left w:type="dxa" w:w="120"/>
              <w:bottom w:type="dxa" w:w="100"/>
              <w:right w:type="dxa" w:w="120"/>
            </w:tcMar>
          </w:tcPr>
          <w:p>
            <w:r>
              <w:rPr>
                <w:b/>
                <w:bCs/>
                <w:color w:val="FFFFFF"/>
                <w:sz w:val="20"/>
                <w:szCs w:val="20"/>
              </w:rPr>
              <w:t xml:space="preserve">Contenu</w:t>
            </w:r>
          </w:p>
        </w:tc>
        <w:tc>
          <w:tcPr>
            <w:tcW w:type="dxa" w:w="2500"/>
            <w:shd w:fill="1B2A4A" w:val="clear"/>
            <w:tcMar>
              <w:top w:type="dxa" w:w="100"/>
              <w:left w:type="dxa" w:w="120"/>
              <w:bottom w:type="dxa" w:w="100"/>
              <w:right w:type="dxa" w:w="120"/>
            </w:tcMar>
          </w:tcPr>
          <w:p>
            <w:r>
              <w:rPr>
                <w:b/>
                <w:bCs/>
                <w:color w:val="FFFFFF"/>
                <w:sz w:val="20"/>
                <w:szCs w:val="20"/>
              </w:rPr>
              <w:t xml:space="preserve">Objectif</w:t>
            </w:r>
          </w:p>
        </w:tc>
      </w:tr>
      <w:tr>
        <w:tc>
          <w:tcPr>
            <w:tcW w:type="dxa" w:w="1800"/>
            <w:tcMar>
              <w:top w:type="dxa" w:w="100"/>
              <w:left w:type="dxa" w:w="120"/>
              <w:bottom w:type="dxa" w:w="100"/>
              <w:right w:type="dxa" w:w="120"/>
            </w:tcMar>
          </w:tcPr>
          <w:p>
            <w:r>
              <w:rPr>
                <w:b w:val="false"/>
                <w:bCs w:val="false"/>
                <w:color w:val="000000"/>
                <w:sz w:val="20"/>
                <w:szCs w:val="20"/>
              </w:rPr>
              <w:t xml:space="preserve">Phase 0 — Fondations</w:t>
            </w:r>
          </w:p>
        </w:tc>
        <w:tc>
          <w:tcPr>
            <w:tcW w:type="dxa" w:w="5300"/>
            <w:tcMar>
              <w:top w:type="dxa" w:w="100"/>
              <w:left w:type="dxa" w:w="120"/>
              <w:bottom w:type="dxa" w:w="100"/>
              <w:right w:type="dxa" w:w="120"/>
            </w:tcMar>
          </w:tcPr>
          <w:p>
            <w:r>
              <w:rPr>
                <w:b w:val="false"/>
                <w:bCs w:val="false"/>
                <w:color w:val="000000"/>
                <w:sz w:val="20"/>
                <w:szCs w:val="20"/>
              </w:rPr>
              <w:t xml:space="preserve">Cahier des charges (ce document), maquette validée, environnement de code partagé, choix définitif des prestataires de paiement</w:t>
            </w:r>
          </w:p>
        </w:tc>
        <w:tc>
          <w:tcPr>
            <w:tcW w:type="dxa" w:w="2500"/>
            <w:tcMar>
              <w:top w:type="dxa" w:w="100"/>
              <w:left w:type="dxa" w:w="120"/>
              <w:bottom w:type="dxa" w:w="100"/>
              <w:right w:type="dxa" w:w="120"/>
            </w:tcMar>
          </w:tcPr>
          <w:p>
            <w:r>
              <w:rPr>
                <w:b w:val="false"/>
                <w:bCs w:val="false"/>
                <w:color w:val="000000"/>
                <w:sz w:val="20"/>
                <w:szCs w:val="20"/>
              </w:rPr>
              <w:t xml:space="preserve">Tout est prêt pour coder</w:t>
            </w:r>
          </w:p>
        </w:tc>
      </w:tr>
      <w:tr>
        <w:tc>
          <w:tcPr>
            <w:tcW w:type="dxa" w:w="1800"/>
            <w:tcMar>
              <w:top w:type="dxa" w:w="100"/>
              <w:left w:type="dxa" w:w="120"/>
              <w:bottom w:type="dxa" w:w="100"/>
              <w:right w:type="dxa" w:w="120"/>
            </w:tcMar>
          </w:tcPr>
          <w:p>
            <w:r>
              <w:rPr>
                <w:b w:val="false"/>
                <w:bCs w:val="false"/>
                <w:color w:val="000000"/>
                <w:sz w:val="20"/>
                <w:szCs w:val="20"/>
              </w:rPr>
              <w:t xml:space="preserve">Phase 1 — MVP</w:t>
            </w:r>
          </w:p>
        </w:tc>
        <w:tc>
          <w:tcPr>
            <w:tcW w:type="dxa" w:w="5300"/>
            <w:tcMar>
              <w:top w:type="dxa" w:w="100"/>
              <w:left w:type="dxa" w:w="120"/>
              <w:bottom w:type="dxa" w:w="100"/>
              <w:right w:type="dxa" w:w="120"/>
            </w:tcMar>
          </w:tcPr>
          <w:p>
            <w:r>
              <w:rPr>
                <w:b w:val="false"/>
                <w:bCs w:val="false"/>
                <w:color w:val="000000"/>
                <w:sz w:val="20"/>
                <w:szCs w:val="20"/>
              </w:rPr>
              <w:t xml:space="preserve">Annonces classifiées + livraison de repas, sur N'Djamena uniquement, paiement mobile money</w:t>
            </w:r>
          </w:p>
        </w:tc>
        <w:tc>
          <w:tcPr>
            <w:tcW w:type="dxa" w:w="2500"/>
            <w:tcMar>
              <w:top w:type="dxa" w:w="100"/>
              <w:left w:type="dxa" w:w="120"/>
              <w:bottom w:type="dxa" w:w="100"/>
              <w:right w:type="dxa" w:w="120"/>
            </w:tcMar>
          </w:tcPr>
          <w:p>
            <w:r>
              <w:rPr>
                <w:b w:val="false"/>
                <w:bCs w:val="false"/>
                <w:color w:val="000000"/>
                <w:sz w:val="20"/>
                <w:szCs w:val="20"/>
              </w:rPr>
              <w:t xml:space="preserve">Premiers utilisateurs réels</w:t>
            </w:r>
          </w:p>
        </w:tc>
      </w:tr>
      <w:tr>
        <w:tc>
          <w:tcPr>
            <w:tcW w:type="dxa" w:w="1800"/>
            <w:tcMar>
              <w:top w:type="dxa" w:w="100"/>
              <w:left w:type="dxa" w:w="120"/>
              <w:bottom w:type="dxa" w:w="100"/>
              <w:right w:type="dxa" w:w="120"/>
            </w:tcMar>
          </w:tcPr>
          <w:p>
            <w:r>
              <w:rPr>
                <w:b w:val="false"/>
                <w:bCs w:val="false"/>
                <w:color w:val="000000"/>
                <w:sz w:val="20"/>
                <w:szCs w:val="20"/>
              </w:rPr>
              <w:t xml:space="preserve">Phase 2 — Extension</w:t>
            </w:r>
          </w:p>
        </w:tc>
        <w:tc>
          <w:tcPr>
            <w:tcW w:type="dxa" w:w="5300"/>
            <w:tcMar>
              <w:top w:type="dxa" w:w="100"/>
              <w:left w:type="dxa" w:w="120"/>
              <w:bottom w:type="dxa" w:w="100"/>
              <w:right w:type="dxa" w:w="120"/>
            </w:tcMar>
          </w:tcPr>
          <w:p>
            <w:r>
              <w:rPr>
                <w:b w:val="false"/>
                <w:bCs w:val="false"/>
                <w:color w:val="000000"/>
                <w:sz w:val="20"/>
                <w:szCs w:val="20"/>
              </w:rPr>
              <w:t xml:space="preserve">Ouverture aux 4 grandes villes, module Emploi, boutiques pro, paiement carte bancaire</w:t>
            </w:r>
          </w:p>
        </w:tc>
        <w:tc>
          <w:tcPr>
            <w:tcW w:type="dxa" w:w="2500"/>
            <w:tcMar>
              <w:top w:type="dxa" w:w="100"/>
              <w:left w:type="dxa" w:w="120"/>
              <w:bottom w:type="dxa" w:w="100"/>
              <w:right w:type="dxa" w:w="120"/>
            </w:tcMar>
          </w:tcPr>
          <w:p>
            <w:r>
              <w:rPr>
                <w:b w:val="false"/>
                <w:bCs w:val="false"/>
                <w:color w:val="000000"/>
                <w:sz w:val="20"/>
                <w:szCs w:val="20"/>
              </w:rPr>
              <w:t xml:space="preserve">Croissance multi-villes</w:t>
            </w:r>
          </w:p>
        </w:tc>
      </w:tr>
      <w:tr>
        <w:tc>
          <w:tcPr>
            <w:tcW w:type="dxa" w:w="1800"/>
            <w:tcMar>
              <w:top w:type="dxa" w:w="100"/>
              <w:left w:type="dxa" w:w="120"/>
              <w:bottom w:type="dxa" w:w="100"/>
              <w:right w:type="dxa" w:w="120"/>
            </w:tcMar>
          </w:tcPr>
          <w:p>
            <w:r>
              <w:rPr>
                <w:b w:val="false"/>
                <w:bCs w:val="false"/>
                <w:color w:val="000000"/>
                <w:sz w:val="20"/>
                <w:szCs w:val="20"/>
              </w:rPr>
              <w:t xml:space="preserve">Phase 3 — Couverture nationale</w:t>
            </w:r>
          </w:p>
        </w:tc>
        <w:tc>
          <w:tcPr>
            <w:tcW w:type="dxa" w:w="5300"/>
            <w:tcMar>
              <w:top w:type="dxa" w:w="100"/>
              <w:left w:type="dxa" w:w="120"/>
              <w:bottom w:type="dxa" w:w="100"/>
              <w:right w:type="dxa" w:w="120"/>
            </w:tcMar>
          </w:tcPr>
          <w:p>
            <w:r>
              <w:rPr>
                <w:b w:val="false"/>
                <w:bCs w:val="false"/>
                <w:color w:val="000000"/>
                <w:sz w:val="20"/>
                <w:szCs w:val="20"/>
              </w:rPr>
              <w:t xml:space="preserve">Toutes les villes du Tchad, points de retrait partenaires, statistiques vendeurs avancées</w:t>
            </w:r>
          </w:p>
        </w:tc>
        <w:tc>
          <w:tcPr>
            <w:tcW w:type="dxa" w:w="2500"/>
            <w:tcMar>
              <w:top w:type="dxa" w:w="100"/>
              <w:left w:type="dxa" w:w="120"/>
              <w:bottom w:type="dxa" w:w="100"/>
              <w:right w:type="dxa" w:w="120"/>
            </w:tcMar>
          </w:tcPr>
          <w:p>
            <w:r>
              <w:rPr>
                <w:b w:val="false"/>
                <w:bCs w:val="false"/>
                <w:color w:val="000000"/>
                <w:sz w:val="20"/>
                <w:szCs w:val="20"/>
              </w:rPr>
              <w:t xml:space="preserve">Couverture nationale complète</w:t>
            </w:r>
          </w:p>
        </w:tc>
      </w:tr>
    </w:tbl>
    <w:p>
      <w:pPr>
        <w:spacing w:after="160"/>
      </w:pPr>
      <w:r>
        <w:t xml:space="preserve"/>
      </w:r>
    </w:p>
    <w:p>
      <w:pPr>
        <w:pStyle w:val="Heading1"/>
        <w:spacing w:after="200" w:before="400"/>
      </w:pPr>
      <w:r>
        <w:t xml:space="preserve">8. Prochaines étapes</w:t>
      </w:r>
    </w:p>
    <w:p>
      <w:pPr>
        <w:pStyle w:val="ListParagraph"/>
        <w:numPr>
          <w:ilvl w:val="0"/>
          <w:numId w:val="1"/>
        </w:numPr>
        <w:spacing w:after="80"/>
      </w:pPr>
      <w:r>
        <w:t xml:space="preserve">Valider le nom définitif de l'application parmi les propositions (ou en explorer d'autres)</w:t>
      </w:r>
    </w:p>
    <w:p>
      <w:pPr>
        <w:pStyle w:val="ListParagraph"/>
        <w:numPr>
          <w:ilvl w:val="0"/>
          <w:numId w:val="1"/>
        </w:numPr>
        <w:spacing w:after="80"/>
      </w:pPr>
      <w:r>
        <w:t xml:space="preserve">Confirmer avec Airtel Tchad / Moov Africa Tchad les modalités techniques d'intégration du paiement mobile money</w:t>
      </w:r>
    </w:p>
    <w:p>
      <w:pPr>
        <w:pStyle w:val="ListParagraph"/>
        <w:numPr>
          <w:ilvl w:val="0"/>
          <w:numId w:val="1"/>
        </w:numPr>
        <w:spacing w:after="80"/>
      </w:pPr>
      <w:r>
        <w:t xml:space="preserve">Préparer l'environnement de développement partagé (dépôt de code, structure du projet Flutter et du backend)</w:t>
      </w:r>
    </w:p>
    <w:p>
      <w:pPr>
        <w:pStyle w:val="ListParagraph"/>
        <w:numPr>
          <w:ilvl w:val="0"/>
          <w:numId w:val="1"/>
        </w:numPr>
        <w:spacing w:after="80"/>
      </w:pPr>
      <w:r>
        <w:t xml:space="preserve">Démarrer le développement du MVP module par module, en commençant par l'authentification et les annonces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2026-09-12T21:00:31.169Z</dcterms:created>
  <dcterms:modified xsi:type="dcterms:W3CDTF">2026-09-12T21:00:31.190Z</dcterms:modified>
</cp:coreProperties>
</file>

<file path=docProps/custom.xml><?xml version="1.0" encoding="utf-8"?>
<Properties xmlns="http://schemas.openxmlformats.org/officeDocument/2006/custom-properties" xmlns:vt="http://schemas.openxmlformats.org/officeDocument/2006/docPropsVTypes"/>
</file>