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ba3464892ca8482cd55cdac88797ca3560311dd.png"/>
            <a:graphic>
              <a:graphicData uri="http://schemas.openxmlformats.org/drawingml/2006/picture">
                <pic:pic>
                  <pic:nvPicPr>
                    <pic:cNvPr id="1" name="image-aba3464892ca8482cd55cdac88797ca3560311d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Цифровой рубль с цитированием источников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Министерство цифрового развития, связи и массовых коммуникаций Российской Федерации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«Московский технический университет связи и информатики»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(МТУСИ)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РЕФЕРАТ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тема "Цифровой рубль: характеристики, плюсы и минусы"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 дисциплине "Математические методы в больших данных"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Выполнила: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студентка группы БВТ2301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Чиняева Алиса Юрьевна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Введение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«Цифровая трансформация финансовой сферы стала одной из ключевых глобальных тенденций XXI века». «Повсеместное внедрение мобильных и онлайн-услуг, развитие технологий распределённых реестров и рост спроса на мгновенные безбумажные расчёты формируют новый ландшафт мировой экономики» . В этом контексте «центральные банки ведущих стран приступили к разработке собственных цифровых валют (CBDC -- Central Bank Digital Currency) как к инструменту модернизации платёжных и расчётных систем» 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 России аналогичным ответом на вызовы цифровой эпохи является проект «цифровой рубль». «Он предполагает создание третьей формы национальной валюты наряду с традиционными наличными и безналичными деньгами». «Новая электронная валюта будет официально выпускаться и гарантироваться Банком России, при этом каждый цифровой рубль будет эквивалентен одной единице наличного или безналичного рубля в соотношении 1:1». «В отличие от криптовалют, цифровой рубль не является децентрализованным активом: все операции фиксируются в централизованном реестре, а его эмитент---единственный и надёжный --- Центральный банк».</w:t>
      </w:r>
      <w:bookmarkStart w:id="1" w:name="fnref1: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Цифровой рубль призван решить несколько стратегически важных задач. «Во-первых, повысить скорость и простоту расчётов между юридическими и физическими лицами, в том числе за счет отказа от корреспондентских сетей и сокращения числа промежуточных звеньев» . «Во-вторых, обеспечить максимально прозрачный учёт финансовых потоков, что позволит эффективно бороться с отмыванием денег, серыми схемами и теневой экономикой» . «В-третьих, создать платформу для быстрых и безопасных государственных выплат, социальных субсидий и грантов с программируемыми условиями использования средств» . «Наконец, цифровой рубль призван служить резервным инструментом в ситуации внешнеэкономической и финансовой нестабильности, укрепляя статус национальной валюты на международной арене».</w:t>
      </w:r>
      <w:bookmarkStart w:id="2" w:name="fnref1:2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 работы</w:t>
      </w:r>
      <w:r>
        <w:rPr>
          <w:rFonts w:eastAsia="inter" w:cs="inter" w:ascii="inter" w:hAnsi="inter"/>
          <w:color w:val="000000"/>
        </w:rPr>
        <w:t xml:space="preserve"> --- анализ цифрового рубля как финансового инструмента, выявление его основных характеристик, преимуществ и недостатков.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Изучить понятие и сущность цифрового рубля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технологические особенности новой валюты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Выявить преимущества цифрового рубля для различных участников экономики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основные риски и недостатки внедрения цифрового рубля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Рассмотреть современное состояние проекта и перспективы развития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Основные характеристики цифрового рубля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Понятие цифрового рубля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«Цифровой рубль --- это цифровая форма российской национальной валюты, которую Банк России планирует выпускать в дополнение к существующим формам денег». «Технически он представляет собой уникальный цифровой код, который хранится в электронном кошельке на специальной платформе Центрального банка» .</w:t>
      </w:r>
      <w:bookmarkStart w:id="3" w:name="fnref1:3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Ключевые характеристики цифрового рубля включают: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«Эмиссия осуществляется только Банком России»</w:t>
      </w:r>
      <w:bookmarkStart w:id="4" w:name="fnref1:4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«Хранение в цифровых кошельках на платформе ЦБ РФ»</w:t>
      </w:r>
      <w:bookmarkStart w:id="5" w:name="fnref1:5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«Каждый цифровой рубль имеет уникальный идентификатор»</w:t>
      </w:r>
      <w:bookmarkStart w:id="6" w:name="fnref1:6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«Возможность конвертации в наличные и безналичные рубли в соотношении 1:1»</w:t>
      </w:r>
      <w:bookmarkStart w:id="7" w:name="fnref1:7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«В отличие от децентрализованных криптовалют, цифровой рубль создается и контролируется Банком России» . «Он будет храниться в онлайн-кошельках или офлайн-решениях и использовать многоуровневую систему защиты»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Технологические особенности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«Цифровой рубль базируется на современных технологиях блокчейн, что обеспечивает высокий уровень безопасности и прозрачности операций» . «Система использует гибридную модель, где Центробанк поддерживает реестр цифровых рублей, а коммерческие банки обеспечивают интерфейс для взаимодействия с пользователями».</w:t>
      </w:r>
      <w:bookmarkStart w:id="8" w:name="fnref1:8"/>
      <w:bookmarkEnd w:id="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«Для защиты от взломов и кибератак платформа соответствует стандартам ГОСТ Р 57 580.1, который устанавливает требования к защите информации в финансовых организациях». «Все участники платформы должны соответствовать 3+ классу криптографической защиты информации».</w:t>
      </w:r>
      <w:bookmarkStart w:id="9" w:name="fnref1:9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«Особенностью технологии является возможность программирования денег через смарт-контракты --- алгоритмы, встроенные в платформу, которые автоматически выполняют переводы при соблюдении заранее заданных условий» . «Это открывает принципиально новые возможности для автоматизации финансовых операций»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Отличия от наличных и безналичных рублей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Цифровой рубль сочетает преимущества обеих существующих форм денег, но имеет ряд принципиальных отличий: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 наличных денег: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«Существует только в электронном виде»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«Обеспечивает полную прозрачность операций»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«Исключает возможность подделки»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 безналичных денег: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«Хранится на платформе ЦБ, а не в коммерческих банках»</w:t>
      </w:r>
      <w:bookmarkStart w:id="10" w:name="fnref1:10"/>
      <w:bookmarkEnd w:id="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«Не приносит процентного дохода»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«Имеет уникальный цифровой код для каждой единицы»</w:t>
      </w:r>
      <w:bookmarkStart w:id="11" w:name="fnref1:11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«Позволяет программировать платежи через смарт-контракты»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«Важным отличием является то, что цифровой рубль представляет прямое обязательство Банка России, в то время как безналичные деньги --- обязательство коммерческого банка».</w:t>
      </w:r>
      <w:bookmarkStart w:id="12" w:name="fnref1:12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«Основными участниками системы являются: Банк России, банки-операторы, платежные агрегаторы, граждане и компании». «Российская концепция предполагает модель «ЦБ --- банки --- клиенты»».</w:t>
      </w:r>
      <w:bookmarkStart w:id="13" w:name="fnref1:13"/>
      <w:bookmarkEnd w:id="1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Преимущества цифрового рубля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Для государства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«Внедрение цифрового рубля открывает для государства широкие возможности по модернизации финансовой системы и повышению эффективности управления» 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Контроль и прозрачность финансовых операций.</w:t>
      </w:r>
      <w:r>
        <w:rPr>
          <w:rFonts w:eastAsia="inter" w:cs="inter" w:ascii="inter" w:hAnsi="inter"/>
          <w:color w:val="000000"/>
          <w:sz w:val="21"/>
        </w:rPr>
        <w:t xml:space="preserve"> «Каждый цифровой рубль имеет уникальный код, что позволяет отслеживать движение денежных средств и выявлять незаконные операции» . «Это способствует борьбе с отмыванием денег, коррупцией и теневой экономикой» 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Целевое расходование бюджетных средств.</w:t>
      </w:r>
      <w:r>
        <w:rPr>
          <w:rFonts w:eastAsia="inter" w:cs="inter" w:ascii="inter" w:hAnsi="inter"/>
          <w:color w:val="000000"/>
          <w:sz w:val="21"/>
        </w:rPr>
        <w:t xml:space="preserve"> «Цифровые рубли можно программировать на определенные виды трат через смарт-контракты» . «Например, социальные выплаты можно ограничить тратами только на продукты питания и товары первой необходимости» 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Снижение административных расходов.</w:t>
      </w:r>
      <w:r>
        <w:rPr>
          <w:rFonts w:eastAsia="inter" w:cs="inter" w:ascii="inter" w:hAnsi="inter"/>
          <w:color w:val="000000"/>
          <w:sz w:val="21"/>
        </w:rPr>
        <w:t xml:space="preserve"> «Использование цифрового рубля в бюджетном процессе позволяет снизить издержки на администрирование платежей и упростить процедуры контроля» 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Развитие цифровой экономики.</w:t>
      </w:r>
      <w:r>
        <w:rPr>
          <w:rFonts w:eastAsia="inter" w:cs="inter" w:ascii="inter" w:hAnsi="inter"/>
          <w:color w:val="000000"/>
          <w:sz w:val="21"/>
        </w:rPr>
        <w:t xml:space="preserve"> «Внедрение цифрового рубля стимулирует развитие финансовых технологий и создание инновационных сервисов»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Для физических лиц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Бесплатные переводы.</w:t>
      </w:r>
      <w:r>
        <w:rPr>
          <w:rFonts w:eastAsia="inter" w:cs="inter" w:ascii="inter" w:hAnsi="inter"/>
          <w:color w:val="000000"/>
          <w:sz w:val="21"/>
        </w:rPr>
        <w:t xml:space="preserve"> «Все операции между физическими лицами в цифровых рублях осуществляются без комиссии».</w:t>
      </w:r>
      <w:bookmarkStart w:id="14" w:name="fnref1:14"/>
      <w:bookmarkEnd w:id="1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Высокая надежность.</w:t>
      </w:r>
      <w:r>
        <w:rPr>
          <w:rFonts w:eastAsia="inter" w:cs="inter" w:ascii="inter" w:hAnsi="inter"/>
          <w:color w:val="000000"/>
          <w:sz w:val="21"/>
        </w:rPr>
        <w:t xml:space="preserve"> «Цифровые рубли являются прямым обязательством Банка России, что обеспечивает максимальную сохранность средств даже при банкротстве коммерческих банков».</w:t>
      </w:r>
      <w:bookmarkStart w:id="15" w:name="fnref1:15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Удобство использования.</w:t>
      </w:r>
      <w:r>
        <w:rPr>
          <w:rFonts w:eastAsia="inter" w:cs="inter" w:ascii="inter" w:hAnsi="inter"/>
          <w:color w:val="000000"/>
          <w:sz w:val="21"/>
        </w:rPr>
        <w:t xml:space="preserve"> «Доступ к цифровому кошельку возможен через приложение любого банка, где обслуживается клиент» 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Защита от мошенничества.</w:t>
      </w:r>
      <w:r>
        <w:rPr>
          <w:rFonts w:eastAsia="inter" w:cs="inter" w:ascii="inter" w:hAnsi="inter"/>
          <w:color w:val="000000"/>
          <w:sz w:val="21"/>
        </w:rPr>
        <w:t xml:space="preserve"> «Уникальный код каждого цифрового рубля позволяет отслеживать движение средств и упрощает их возврат в случае мошенничества» 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Автоматизация повседневных операций.</w:t>
      </w:r>
      <w:r>
        <w:rPr>
          <w:rFonts w:eastAsia="inter" w:cs="inter" w:ascii="inter" w:hAnsi="inter"/>
          <w:color w:val="000000"/>
          <w:sz w:val="21"/>
        </w:rPr>
        <w:t xml:space="preserve"> «Смарт-контракты позволят автоматизировать оплату ЖКХ, аренды жилья, подписок на сервисы»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Недостатки и риски цифрового рубля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Технологические риски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«Внедрение цифрового рубля сопряжено с рядом технологических рисков» 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Кибербезопасность.</w:t>
      </w:r>
      <w:r>
        <w:rPr>
          <w:rFonts w:eastAsia="inter" w:cs="inter" w:ascii="inter" w:hAnsi="inter"/>
          <w:color w:val="000000"/>
        </w:rPr>
        <w:t xml:space="preserve"> «Централизованная платформа может стать привлекательной целью для кибератак» . «Успешная атака на систему может привести к масштабным проблемам для всей финансовой системы»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Технические сбои.</w:t>
      </w:r>
      <w:r>
        <w:rPr>
          <w:rFonts w:eastAsia="inter" w:cs="inter" w:ascii="inter" w:hAnsi="inter"/>
          <w:color w:val="000000"/>
        </w:rPr>
        <w:t xml:space="preserve"> «Любые проблемы с сервером или программным обеспечением могут заблокировать доступ к средствам пользователей» . «При полной цифровизации денег технические сбои могут парализовать экономику»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Зависимость от цифровых устройств.</w:t>
      </w:r>
      <w:r>
        <w:rPr>
          <w:rFonts w:eastAsia="inter" w:cs="inter" w:ascii="inter" w:hAnsi="inter"/>
          <w:color w:val="000000"/>
        </w:rPr>
        <w:t xml:space="preserve"> «Люди без доступа к современным технологиям или без навыков их использования могут оказаться исключенными из финансовой системы»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Экономические риски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«Цифровой рубль может оказать существенное влияние на экономику страны» 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Снижение доходов банковского сектора.</w:t>
      </w:r>
      <w:r>
        <w:rPr>
          <w:rFonts w:eastAsia="inter" w:cs="inter" w:ascii="inter" w:hAnsi="inter"/>
          <w:color w:val="000000"/>
        </w:rPr>
        <w:t xml:space="preserve"> «Банки могут потерять значительную часть комиссионных доходов от платежных операций, что особенно болезненно для небольших кредитных организаций»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Отток депозитов из банков.</w:t>
      </w:r>
      <w:r>
        <w:rPr>
          <w:rFonts w:eastAsia="inter" w:cs="inter" w:ascii="inter" w:hAnsi="inter"/>
          <w:color w:val="000000"/>
        </w:rPr>
        <w:t xml:space="preserve"> «Граждане могут предпочесть хранить средства в цифровых рублях, что приведет к сокращению ресурсной базы банков»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Необходимость технологических инвестиций.</w:t>
      </w:r>
      <w:r>
        <w:rPr>
          <w:rFonts w:eastAsia="inter" w:cs="inter" w:ascii="inter" w:hAnsi="inter"/>
          <w:color w:val="000000"/>
        </w:rPr>
        <w:t xml:space="preserve"> «Банки и торговые организации будут вынуждены нести дополнительные расходы на модернизацию IT-систем для работы с цифровым рублем»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Влияние на денежную политику.</w:t>
      </w:r>
      <w:r>
        <w:rPr>
          <w:rFonts w:eastAsia="inter" w:cs="inter" w:ascii="inter" w:hAnsi="inter"/>
          <w:color w:val="000000"/>
        </w:rPr>
        <w:t xml:space="preserve"> «Массовое использование цифрового рубля может изменить механизмы трансмиссии денежно-кредитной политики»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Социальные риски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«Внедрение цифрового рубля затрагивает социальные аспекты жизни общества» 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Усиление государственного контроля.</w:t>
      </w:r>
      <w:r>
        <w:rPr>
          <w:rFonts w:eastAsia="inter" w:cs="inter" w:ascii="inter" w:hAnsi="inter"/>
          <w:color w:val="000000"/>
        </w:rPr>
        <w:t xml:space="preserve"> «Полная прозрачность операций может привести к тотальному контролю над расходами граждан, что вызывает опасения относительно приватности»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Цифровое неравенство.</w:t>
      </w:r>
      <w:r>
        <w:rPr>
          <w:rFonts w:eastAsia="inter" w:cs="inter" w:ascii="inter" w:hAnsi="inter"/>
          <w:color w:val="000000"/>
        </w:rPr>
        <w:t xml:space="preserve"> «Пожилые люди и граждане с низким уровнем цифровой грамотности могут испытывать трудности с освоением новой технологии»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Риски злоупотреблений.</w:t>
      </w:r>
      <w:r>
        <w:rPr>
          <w:rFonts w:eastAsia="inter" w:cs="inter" w:ascii="inter" w:hAnsi="inter"/>
          <w:color w:val="000000"/>
        </w:rPr>
        <w:t xml:space="preserve"> «Возможность программирования денег открывает потенциал для злоупотреблений со стороны государства, например, ограничения трат на определенные товары или услуги»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Перспективы развития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«Официально пилотное тестирование цифрового рубля с реальными операциями началось 15 августа 2023 года» . «В проекте участвуют 15 банков: Сбербанк, ВТБ, Альфа-банк, Т-Банк, Промсвязьбанк, Совкомбанк, Россельхозбанк, Газпромбанк, МТС Банк и другие» 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«На конец мая 2025 года достигнуты следующие результаты» 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«Открыто около 2,5 тысяч цифровых кошельков»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«Проведено свыше 100 тысяч операций»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«Совершено 63 тысячи переводов между пользователями»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«Выполнено 13 тысяч платежей за товары и услуги»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«Исполнено более 17 тысяч смарт-контрактов»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«Участники проекта представлены в более чем 150 населенных пунктах России» . «Тестирование показало работоспособность и устойчивость платформы, а также удобство пользовательского интерфейса» 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«По прогнозам ЦБ, цифровой рубль станет привычным способом расчетов в течение 5-7 лет» . «Центробанк рассчитывает, что с запуском цифрового рубля Россия станет одной из первых стран с полным комплексом платежной инфраструктуры»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Заключение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Цифровой рубль представляет собой новый этап развития национальной финансовой системы. «Его преимущества --- скорость, прозрачность, безопасность --- сочетаются с серьезными техническими и социальными вызовами» . «Успешность проекта во многом зависит от надежности технологий, качества правового регулирования и доступности для всех категорий пользователей» 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Источники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Банк России. Цифровой рубль: раздел проекта и FAQ.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https://cbr.ru/fintech/dr/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Банк России. Отчет о состоянии пилотного проекта цифрового рубля, 2025.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https://cbr.ru/press/event/?id=24741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РБК. Россияне оценили плюсы и минусы цифрового рубля.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https://www.rbc.ru/finances/03/09/2024/66d609d69a7947e78dd46392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ТАСС. Планы внедрения цифрового рубля.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https://tass.ru/ekonomika/24392379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WCIOM. Цифровой рубль: за и против.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1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https://wciom.ru/analytical-reviews/analiticheskii-obzor/cifrovoi-rubl-za-i-protiv</w:t>
        </w:r>
      </w:hyperlink>
    </w:p>
    <w:p>
      <w:pPr>
        <w:numPr>
          <w:ilvl w:val="0"/>
          <w:numId w:val="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Incrussia.ru</w:t>
        </w:r>
      </w:hyperlink>
      <w:r>
        <w:rPr>
          <w:rFonts w:eastAsia="inter" w:cs="inter" w:ascii="inter" w:hAnsi="inter"/>
          <w:color w:val="000000"/>
          <w:sz w:val="21"/>
        </w:rPr>
        <w:t xml:space="preserve">. Цифровой рубль: плюсы, минусы и опасности.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1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https://incrussia.ru/understand/tsifrovoj-rubl</w:t>
        </w:r>
      </w:hyperlink>
    </w:p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FrankMedia.ru</w:t>
        </w:r>
      </w:hyperlink>
      <w:r>
        <w:rPr>
          <w:rFonts w:eastAsia="inter" w:cs="inter" w:ascii="inter" w:hAnsi="inter"/>
          <w:color w:val="000000"/>
          <w:sz w:val="21"/>
        </w:rPr>
        <w:t xml:space="preserve">. Цифровой рубль простыми словами.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1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https://frankmedia.ru/213944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Cyberleninka. Использование смарт-контрактов для цифрового рубля.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URL: </w:t>
      </w:r>
      <w:hyperlink r:id="rId1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https://cyberleninka.ru/article/n/ispolzovanie-tehnologii-blokcheyn-dlya-razvitiya-tsifrovogo-rublya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&lt;div style="text-align: center"&gt;⁂&lt;/div&gt;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6" w:name="fn1"/>
    <w:bookmarkEnd w:id="16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BVT2301_Chiniaeva_referat.docx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ba3464892ca8482cd55cdac88797ca3560311dd.png" TargetMode="Internal"/><Relationship Id="rId6" Type="http://schemas.openxmlformats.org/officeDocument/2006/relationships/hyperlink" Target="https://cbr.ru/fintech/dr/" TargetMode="External"/><Relationship Id="rId7" Type="http://schemas.openxmlformats.org/officeDocument/2006/relationships/hyperlink" Target="https://cbr.ru/press/event/?id=24741" TargetMode="External"/><Relationship Id="rId8" Type="http://schemas.openxmlformats.org/officeDocument/2006/relationships/hyperlink" Target="https://www.rbc.ru/finances/03/09/2024/66d609d69a7947e78dd46392" TargetMode="External"/><Relationship Id="rId9" Type="http://schemas.openxmlformats.org/officeDocument/2006/relationships/hyperlink" Target="https://tass.ru/ekonomika/24392379" TargetMode="External"/><Relationship Id="rId10" Type="http://schemas.openxmlformats.org/officeDocument/2006/relationships/hyperlink" Target="https://wciom.ru/analytical-reviews/analiticheskii-obzor/cifrovoi-rubl-za-i-protiv" TargetMode="External"/><Relationship Id="rId11" Type="http://schemas.openxmlformats.org/officeDocument/2006/relationships/hyperlink" Target="http://Incrussia.ru" TargetMode="External"/><Relationship Id="rId12" Type="http://schemas.openxmlformats.org/officeDocument/2006/relationships/hyperlink" Target="https://incrussia.ru/understand/tsifrovoj-rubl" TargetMode="External"/><Relationship Id="rId13" Type="http://schemas.openxmlformats.org/officeDocument/2006/relationships/hyperlink" Target="http://FrankMedia.ru" TargetMode="External"/><Relationship Id="rId14" Type="http://schemas.openxmlformats.org/officeDocument/2006/relationships/hyperlink" Target="https://frankmedia.ru/213944" TargetMode="External"/><Relationship Id="rId15" Type="http://schemas.openxmlformats.org/officeDocument/2006/relationships/hyperlink" Target="https://cyberleninka.ru/article/n/ispolzovanie-tehnologii-blokcheyn-dlya-razvitiya-tsifrovogo-rubly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2025-09-24T21:08:27.420Z</dcterms:created>
  <dcterms:modified xsi:type="dcterms:W3CDTF">2025-09-24T21:08:27.420Z</dcterms:modified>
</cp:coreProperties>
</file>