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HBATitle"/>
        <w:widowControl/>
      </w:pPr>
      <w:r>
        <w:rPr>
          <w:lang w:val="en-US"/>
        </w:rPr>
        <w:t>IHBA</w:t>
      </w:r>
    </w:p>
    <w:p>
      <w:pPr>
        <w:pStyle w:val="IHBASubtitle"/>
        <w:widowControl/>
      </w:pPr>
      <w:r>
        <w:rPr>
          <w:lang w:val="en-US"/>
        </w:rPr>
        <w:t>International Humanity Bridge</w:t>
      </w:r>
    </w:p>
    <w:p>
      <w:pPr>
        <w:spacing w:before="500"/>
        <w:jc w:val="center"/>
        <w:widowControl/>
      </w:pPr>
      <w:r>
        <w:rPr>
          <w:b/>
          <w:color w:val="232A30"/>
          <w:sz w:val="40"/>
          <w:lang w:val="en-US"/>
        </w:rPr>
        <w:t>WEBSITE CONTENT DRAFT</w:t>
      </w:r>
    </w:p>
    <w:p>
      <w:pPr>
        <w:jc w:val="center"/>
        <w:widowControl/>
      </w:pPr>
      <w:r>
        <w:rPr>
          <w:color w:val="586570"/>
          <w:sz w:val="22"/>
          <w:lang w:val="en-US"/>
        </w:rPr>
        <w:t>Updated English Version</w:t>
      </w:r>
    </w:p>
    <w:p>
      <w:pPr>
        <w:pStyle w:val="IHBAQuote"/>
        <w:jc w:val="center"/>
        <w:widowControl/>
      </w:pPr>
      <w:r>
        <w:rPr>
          <w:b/>
          <w:sz w:val="32"/>
          <w:lang w:val="en-US"/>
        </w:rPr>
        <w:t>“A Bridge for Humanity”</w:t>
      </w:r>
    </w:p>
    <w:p>
      <w:pPr>
        <w:spacing w:before="680"/>
        <w:jc w:val="center"/>
        <w:widowControl/>
      </w:pPr>
      <w:r>
        <w:rPr>
          <w:color w:val="5A646C"/>
          <w:sz w:val="19"/>
          <w:lang w:val="en-US"/>
        </w:rPr>
        <w:t>This document is the edited content framework for IHBA’s English-language website.</w:t>
      </w:r>
    </w:p>
    <w:p>
      <w:pPr>
        <w:widowControl/>
      </w:pPr>
      <w:r>
        <w:br w:type="page"/>
      </w:r>
    </w:p>
    <w:p>
      <w:pPr>
        <w:pStyle w:val="IHBAHeading1"/>
        <w:keepNext/>
        <w:keepLines/>
        <w:widowControl/>
      </w:pPr>
      <w:r>
        <w:rPr>
          <w:lang w:val="en-US"/>
        </w:rPr>
        <w:t>1. Institutional Identity and Official Information</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en-US"/>
              </w:rPr>
              <w:t>Official Turkish Name</w:t>
            </w:r>
          </w:p>
        </w:tc>
        <w:tc>
          <w:tcPr>
            <w:tcW w:type="dxa" w:w="6653"/>
            <w:vAlign w:val="center"/>
            <w:tcMar>
              <w:top w:w="120" w:type="dxa"/>
              <w:start w:w="140" w:type="dxa"/>
              <w:bottom w:w="120" w:type="dxa"/>
              <w:end w:w="140" w:type="dxa"/>
            </w:tcMar>
          </w:tcPr>
          <w:p>
            <w:pPr>
              <w:spacing w:after="0"/>
            </w:pPr>
            <w:r>
              <w:rPr>
                <w:sz w:val="20"/>
                <w:lang w:val="en-US"/>
              </w:rPr>
              <w:t>Uluslararası İnsanlık Köprüsü Derneği</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English Name</w:t>
            </w:r>
          </w:p>
        </w:tc>
        <w:tc>
          <w:tcPr>
            <w:tcW w:type="dxa" w:w="6653"/>
            <w:vAlign w:val="center"/>
            <w:tcMar>
              <w:top w:w="120" w:type="dxa"/>
              <w:start w:w="140" w:type="dxa"/>
              <w:bottom w:w="120" w:type="dxa"/>
              <w:end w:w="140" w:type="dxa"/>
            </w:tcMar>
          </w:tcPr>
          <w:p>
            <w:pPr>
              <w:spacing w:after="0"/>
            </w:pPr>
            <w:r>
              <w:rPr>
                <w:sz w:val="20"/>
                <w:lang w:val="en-US"/>
              </w:rPr>
              <w:t>International Humanity Bridge</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Short Name / Brand</w:t>
            </w:r>
          </w:p>
        </w:tc>
        <w:tc>
          <w:tcPr>
            <w:tcW w:type="dxa" w:w="6653"/>
            <w:vAlign w:val="center"/>
            <w:tcMar>
              <w:top w:w="120" w:type="dxa"/>
              <w:start w:w="140" w:type="dxa"/>
              <w:bottom w:w="120" w:type="dxa"/>
              <w:end w:w="140" w:type="dxa"/>
            </w:tcMar>
          </w:tcPr>
          <w:p>
            <w:pPr>
              <w:spacing w:after="0"/>
            </w:pPr>
            <w:r>
              <w:rPr>
                <w:sz w:val="20"/>
                <w:lang w:val="en-US"/>
              </w:rPr>
              <w:t>IHBA</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Legal Form</w:t>
            </w:r>
          </w:p>
        </w:tc>
        <w:tc>
          <w:tcPr>
            <w:tcW w:type="dxa" w:w="6653"/>
            <w:vAlign w:val="center"/>
            <w:tcMar>
              <w:top w:w="120" w:type="dxa"/>
              <w:start w:w="140" w:type="dxa"/>
              <w:bottom w:w="120" w:type="dxa"/>
              <w:end w:w="140" w:type="dxa"/>
            </w:tcMar>
          </w:tcPr>
          <w:p>
            <w:pPr>
              <w:spacing w:after="0"/>
            </w:pPr>
            <w:r>
              <w:rPr>
                <w:sz w:val="20"/>
                <w:lang w:val="en-US"/>
              </w:rPr>
              <w:t>Association</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Date of Establishment</w:t>
            </w:r>
          </w:p>
        </w:tc>
        <w:tc>
          <w:tcPr>
            <w:tcW w:type="dxa" w:w="6653"/>
            <w:vAlign w:val="center"/>
            <w:tcMar>
              <w:top w:w="120" w:type="dxa"/>
              <w:start w:w="140" w:type="dxa"/>
              <w:bottom w:w="120" w:type="dxa"/>
              <w:end w:w="140" w:type="dxa"/>
            </w:tcMar>
          </w:tcPr>
          <w:p>
            <w:pPr>
              <w:spacing w:after="0"/>
            </w:pPr>
            <w:r>
              <w:rPr>
                <w:sz w:val="20"/>
                <w:lang w:val="en-US"/>
              </w:rPr>
              <w:t>19 February 2025</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Head Office</w:t>
            </w:r>
          </w:p>
        </w:tc>
        <w:tc>
          <w:tcPr>
            <w:tcW w:type="dxa" w:w="6653"/>
            <w:vAlign w:val="center"/>
            <w:tcMar>
              <w:top w:w="120" w:type="dxa"/>
              <w:start w:w="140" w:type="dxa"/>
              <w:bottom w:w="120" w:type="dxa"/>
              <w:end w:w="140" w:type="dxa"/>
            </w:tcMar>
          </w:tcPr>
          <w:p>
            <w:pPr>
              <w:spacing w:after="0"/>
            </w:pPr>
            <w:r>
              <w:rPr>
                <w:sz w:val="20"/>
                <w:lang w:val="en-US"/>
              </w:rPr>
              <w:t>Istanbul, Türkiye</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Registry Number</w:t>
            </w:r>
          </w:p>
        </w:tc>
        <w:tc>
          <w:tcPr>
            <w:tcW w:type="dxa" w:w="6653"/>
            <w:vAlign w:val="center"/>
            <w:tcMar>
              <w:top w:w="120" w:type="dxa"/>
              <w:start w:w="140" w:type="dxa"/>
              <w:bottom w:w="120" w:type="dxa"/>
              <w:end w:w="140" w:type="dxa"/>
            </w:tcMar>
          </w:tcPr>
          <w:p>
            <w:pPr>
              <w:spacing w:after="0"/>
            </w:pPr>
            <w:r>
              <w:rPr>
                <w:sz w:val="20"/>
                <w:lang w:val="en-US"/>
              </w:rPr>
              <w:t>34-291-110</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Tax Number</w:t>
            </w:r>
          </w:p>
        </w:tc>
        <w:tc>
          <w:tcPr>
            <w:tcW w:type="dxa" w:w="6653"/>
            <w:vAlign w:val="center"/>
            <w:tcMar>
              <w:top w:w="120" w:type="dxa"/>
              <w:start w:w="140" w:type="dxa"/>
              <w:bottom w:w="120" w:type="dxa"/>
              <w:end w:w="140" w:type="dxa"/>
            </w:tcMar>
          </w:tcPr>
          <w:p>
            <w:pPr>
              <w:spacing w:after="0"/>
            </w:pPr>
            <w:r>
              <w:rPr>
                <w:sz w:val="20"/>
                <w:lang w:val="en-US"/>
              </w:rPr>
              <w:t>8900485331</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MERSIS Number</w:t>
            </w:r>
          </w:p>
        </w:tc>
        <w:tc>
          <w:tcPr>
            <w:tcW w:type="dxa" w:w="6653"/>
            <w:vAlign w:val="center"/>
            <w:tcMar>
              <w:top w:w="120" w:type="dxa"/>
              <w:start w:w="140" w:type="dxa"/>
              <w:bottom w:w="120" w:type="dxa"/>
              <w:end w:w="140" w:type="dxa"/>
            </w:tcMar>
          </w:tcPr>
          <w:p>
            <w:pPr>
              <w:spacing w:after="0"/>
            </w:pPr>
            <w:r>
              <w:rPr>
                <w:sz w:val="20"/>
                <w:lang w:val="en-US"/>
              </w:rPr>
              <w:t>0890048533100001</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Institutional Status</w:t>
            </w:r>
          </w:p>
        </w:tc>
        <w:tc>
          <w:tcPr>
            <w:tcW w:type="dxa" w:w="6653"/>
            <w:vAlign w:val="center"/>
            <w:tcMar>
              <w:top w:w="120" w:type="dxa"/>
              <w:start w:w="140" w:type="dxa"/>
              <w:bottom w:w="120" w:type="dxa"/>
              <w:end w:w="140" w:type="dxa"/>
            </w:tcMar>
          </w:tcPr>
          <w:p>
            <w:pPr>
              <w:spacing w:after="0"/>
            </w:pPr>
            <w:r>
              <w:rPr>
                <w:sz w:val="20"/>
                <w:lang w:val="en-US"/>
              </w:rPr>
              <w:t>Active</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Field of Activity</w:t>
            </w:r>
          </w:p>
        </w:tc>
        <w:tc>
          <w:tcPr>
            <w:tcW w:type="dxa" w:w="6653"/>
            <w:vAlign w:val="center"/>
            <w:tcMar>
              <w:top w:w="120" w:type="dxa"/>
              <w:start w:w="140" w:type="dxa"/>
              <w:bottom w:w="120" w:type="dxa"/>
              <w:end w:w="140" w:type="dxa"/>
            </w:tcMar>
          </w:tcPr>
          <w:p>
            <w:pPr>
              <w:spacing w:after="0"/>
            </w:pPr>
            <w:r>
              <w:rPr>
                <w:sz w:val="20"/>
                <w:lang w:val="en-US"/>
              </w:rPr>
              <w:t>Humanitarian Aid Associations</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Subcategory</w:t>
            </w:r>
          </w:p>
        </w:tc>
        <w:tc>
          <w:tcPr>
            <w:tcW w:type="dxa" w:w="6653"/>
            <w:vAlign w:val="center"/>
            <w:tcMar>
              <w:top w:w="120" w:type="dxa"/>
              <w:start w:w="140" w:type="dxa"/>
              <w:bottom w:w="120" w:type="dxa"/>
              <w:end w:w="140" w:type="dxa"/>
            </w:tcMar>
          </w:tcPr>
          <w:p>
            <w:pPr>
              <w:spacing w:after="0"/>
            </w:pPr>
            <w:r>
              <w:rPr>
                <w:sz w:val="20"/>
                <w:lang w:val="en-US"/>
              </w:rPr>
              <w:t>Assistance to People in Need</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Slogan</w:t>
            </w:r>
          </w:p>
        </w:tc>
        <w:tc>
          <w:tcPr>
            <w:tcW w:type="dxa" w:w="6653"/>
            <w:vAlign w:val="center"/>
            <w:tcMar>
              <w:top w:w="120" w:type="dxa"/>
              <w:start w:w="140" w:type="dxa"/>
              <w:bottom w:w="120" w:type="dxa"/>
              <w:end w:w="140" w:type="dxa"/>
            </w:tcMar>
          </w:tcPr>
          <w:p>
            <w:pPr>
              <w:spacing w:after="0"/>
            </w:pPr>
            <w:r>
              <w:rPr>
                <w:sz w:val="20"/>
                <w:lang w:val="en-US"/>
              </w:rPr>
              <w:t>A Bridge for Humanity</w:t>
            </w:r>
          </w:p>
        </w:tc>
      </w:tr>
    </w:tbl>
    <w:p>
      <w:pPr>
        <w:spacing w:after="0"/>
        <w:widowControl/>
      </w:pPr>
    </w:p>
    <w:p>
      <w:pPr>
        <w:pStyle w:val="IHBAHeading1"/>
        <w:keepNext/>
        <w:keepLines/>
        <w:widowControl/>
      </w:pPr>
      <w:r>
        <w:rPr>
          <w:lang w:val="en-US"/>
        </w:rPr>
        <w:t>2. About Us</w:t>
      </w:r>
    </w:p>
    <w:p>
      <w:pPr>
        <w:pStyle w:val="IHBABody"/>
        <w:widowControl/>
      </w:pPr>
      <w:r>
        <w:rPr>
          <w:lang w:val="en-US"/>
        </w:rPr>
        <w:t>International Humanity Bridge (IHBA) is a civil society organisation that places human dignity at the centre of its work, responding to urgent needs while also promoting long-term development and community resilience. Established in Istanbul on 19 February 2025, IHBA works in education, humanitarian assistance, social support, sustainable development, youth, women, children, health, culture and the arts.</w:t>
      </w:r>
    </w:p>
    <w:p>
      <w:pPr>
        <w:pStyle w:val="IHBABody"/>
        <w:widowControl/>
      </w:pPr>
      <w:r>
        <w:rPr>
          <w:lang w:val="en-US"/>
        </w:rPr>
        <w:t>IHBA believes that humanitarian action should not be limited to meeting temporary needs. It therefore prioritises projects that help people strengthen their own capacities, gain knowledge and skills, participate in productive life and build more independent futures.</w:t>
      </w:r>
    </w:p>
    <w:p>
      <w:pPr>
        <w:pStyle w:val="IHBABody"/>
        <w:widowControl/>
      </w:pPr>
      <w:r>
        <w:rPr>
          <w:lang w:val="en-US"/>
        </w:rPr>
        <w:t>With a focus on Asia and Africa, IHBA aims to develop representative networks, local partnerships and strong institutional relations across different regions. Through these connections, it seeks to mobilise knowledge, experience and resources more effectively wherever they are needed. Its work is grounded in shared humanity, a sense of moral responsibility and openness to international cooperation.</w:t>
      </w:r>
    </w:p>
    <w:p>
      <w:pPr>
        <w:pStyle w:val="IHBAHeading2"/>
        <w:keepNext/>
        <w:keepLines/>
        <w:widowControl/>
      </w:pPr>
      <w:r>
        <w:rPr>
          <w:lang w:val="en-US"/>
        </w:rPr>
        <w:t>Short Homepage Introduction</w:t>
      </w:r>
    </w:p>
    <w:p>
      <w:pPr>
        <w:pStyle w:val="IHBAQuote"/>
        <w:widowControl/>
      </w:pPr>
      <w:r>
        <w:rPr>
          <w:lang w:val="en-US"/>
        </w:rPr>
        <w:t>IHBA connects humanitarian assistance with education, sustainable development and strong institutional partnerships to build lasting bridges of compassion across regions.</w:t>
      </w:r>
    </w:p>
    <w:p>
      <w:pPr>
        <w:pStyle w:val="IHBAHeading1"/>
        <w:keepNext/>
        <w:keepLines/>
        <w:widowControl/>
      </w:pPr>
      <w:r>
        <w:rPr>
          <w:lang w:val="en-US"/>
        </w:rPr>
        <w:t>3. Mission, Vision and Core Values</w:t>
      </w:r>
    </w:p>
    <w:p>
      <w:pPr>
        <w:pStyle w:val="IHBAHeading2"/>
        <w:keepNext/>
        <w:keepLines/>
        <w:widowControl/>
      </w:pPr>
      <w:r>
        <w:rPr>
          <w:lang w:val="en-US"/>
        </w:rPr>
        <w:t>Our Mission</w:t>
      </w:r>
    </w:p>
    <w:p>
      <w:pPr>
        <w:pStyle w:val="IHBABody"/>
        <w:widowControl/>
      </w:pPr>
      <w:r>
        <w:rPr>
          <w:lang w:val="en-US"/>
        </w:rPr>
        <w:t>To help meet essential humanitarian needs in both ordinary and emergency situations; to improve the living conditions of children, young people, women, older persons, students and disadvantaged communities through education, social support and sustainable development programmes; and to develop lasting solutions that protect human dignity, rights and freedoms.</w:t>
      </w:r>
    </w:p>
    <w:p>
      <w:pPr>
        <w:pStyle w:val="IHBAHeading2"/>
        <w:keepNext/>
        <w:keepLines/>
        <w:widowControl/>
      </w:pPr>
      <w:r>
        <w:rPr>
          <w:lang w:val="en-US"/>
        </w:rPr>
        <w:t>Our Vision</w:t>
      </w:r>
    </w:p>
    <w:p>
      <w:pPr>
        <w:pStyle w:val="IHBABody"/>
        <w:widowControl/>
      </w:pPr>
      <w:r>
        <w:rPr>
          <w:lang w:val="en-US"/>
        </w:rPr>
        <w:t>To become a trusted international civil society organisation recognised for sustainable projects that empower people, strong cross-continental representation and cooperation networks, and exemplary work in humanitarian assistance, education and development.</w:t>
      </w:r>
    </w:p>
    <w:p>
      <w:pPr>
        <w:pStyle w:val="IHBAHeading2"/>
        <w:keepNext/>
        <w:keepLines/>
        <w:widowControl/>
      </w:pPr>
      <w:r>
        <w:rPr>
          <w:lang w:val="en-US"/>
        </w:rPr>
        <w:t>Our Core Values</w:t>
      </w:r>
    </w:p>
    <w:p>
      <w:pPr>
        <w:pStyle w:val="IHBABullet"/>
        <w:ind w:left="360" w:hanging="230"/>
        <w:widowControl/>
      </w:pPr>
      <w:r>
        <w:rPr>
          <w:lang w:val="en-US"/>
        </w:rPr>
        <w:t>•  Respect for human dignity and privacy</w:t>
      </w:r>
    </w:p>
    <w:p>
      <w:pPr>
        <w:pStyle w:val="IHBABullet"/>
        <w:ind w:left="360" w:hanging="230"/>
        <w:widowControl/>
      </w:pPr>
      <w:r>
        <w:rPr>
          <w:lang w:val="en-US"/>
        </w:rPr>
        <w:t>•  Justice, fairness and non-discrimination</w:t>
      </w:r>
    </w:p>
    <w:p>
      <w:pPr>
        <w:pStyle w:val="IHBABullet"/>
        <w:ind w:left="360" w:hanging="230"/>
        <w:widowControl/>
      </w:pPr>
      <w:r>
        <w:rPr>
          <w:lang w:val="en-US"/>
        </w:rPr>
        <w:t>•  Compassion, solidarity and moral responsibility</w:t>
      </w:r>
    </w:p>
    <w:p>
      <w:pPr>
        <w:pStyle w:val="IHBABullet"/>
        <w:ind w:left="360" w:hanging="230"/>
        <w:widowControl/>
      </w:pPr>
      <w:r>
        <w:rPr>
          <w:lang w:val="en-US"/>
        </w:rPr>
        <w:t>•  Transparency, reliability and accountability</w:t>
      </w:r>
    </w:p>
    <w:p>
      <w:pPr>
        <w:pStyle w:val="IHBABullet"/>
        <w:ind w:left="360" w:hanging="230"/>
        <w:widowControl/>
      </w:pPr>
      <w:r>
        <w:rPr>
          <w:lang w:val="en-US"/>
        </w:rPr>
        <w:t>•  Sustainability and an empowering approach</w:t>
      </w:r>
    </w:p>
    <w:p>
      <w:pPr>
        <w:pStyle w:val="IHBABullet"/>
        <w:ind w:left="360" w:hanging="230"/>
        <w:widowControl/>
      </w:pPr>
      <w:r>
        <w:rPr>
          <w:lang w:val="en-US"/>
        </w:rPr>
        <w:t>•  Cooperation with local and international institutions</w:t>
      </w:r>
    </w:p>
    <w:p>
      <w:pPr>
        <w:pStyle w:val="IHBABullet"/>
        <w:ind w:left="360" w:hanging="230"/>
        <w:widowControl/>
      </w:pPr>
      <w:r>
        <w:rPr>
          <w:lang w:val="en-US"/>
        </w:rPr>
        <w:t>•  Volunteerism, participation and collective wisdom</w:t>
      </w:r>
    </w:p>
    <w:p>
      <w:pPr>
        <w:pStyle w:val="IHBAHeading2"/>
        <w:keepNext/>
        <w:keepLines/>
        <w:widowControl/>
      </w:pPr>
      <w:r>
        <w:rPr>
          <w:lang w:val="en-US"/>
        </w:rPr>
        <w:t>Our Approach</w:t>
      </w:r>
    </w:p>
    <w:p>
      <w:pPr>
        <w:pStyle w:val="IHBABody"/>
        <w:widowControl/>
      </w:pPr>
      <w:r>
        <w:rPr>
          <w:lang w:val="en-US"/>
        </w:rPr>
        <w:t>IHBA combines humanitarian assistance for urgent needs with long-term education and development programmes. It designs its projects around local realities, works with trusted partners on the ground, and regards country representation and institutional cooperation as essential to effectiveness and sustainability.</w:t>
      </w:r>
    </w:p>
    <w:p>
      <w:pPr>
        <w:widowControl/>
      </w:pPr>
      <w:r>
        <w:br w:type="page"/>
      </w:r>
    </w:p>
    <w:p>
      <w:pPr>
        <w:pStyle w:val="IHBAHeading1"/>
        <w:keepNext/>
        <w:keepLines/>
        <w:widowControl/>
      </w:pPr>
      <w:r>
        <w:rPr>
          <w:lang w:val="en-US"/>
        </w:rPr>
        <w:t>4. Our President</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en-US"/>
              </w:rPr>
              <w:t>Full Name</w:t>
            </w:r>
          </w:p>
        </w:tc>
        <w:tc>
          <w:tcPr>
            <w:tcW w:type="dxa" w:w="6653"/>
            <w:vAlign w:val="center"/>
            <w:tcMar>
              <w:top w:w="120" w:type="dxa"/>
              <w:start w:w="140" w:type="dxa"/>
              <w:bottom w:w="120" w:type="dxa"/>
              <w:end w:w="140" w:type="dxa"/>
            </w:tcMar>
          </w:tcPr>
          <w:p>
            <w:pPr>
              <w:spacing w:after="0"/>
            </w:pPr>
            <w:r>
              <w:rPr>
                <w:sz w:val="20"/>
                <w:lang w:val="en-US"/>
              </w:rPr>
              <w:t>Abdullah Serenli</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Position</w:t>
            </w:r>
          </w:p>
        </w:tc>
        <w:tc>
          <w:tcPr>
            <w:tcW w:type="dxa" w:w="6653"/>
            <w:vAlign w:val="center"/>
            <w:tcMar>
              <w:top w:w="120" w:type="dxa"/>
              <w:start w:w="140" w:type="dxa"/>
              <w:bottom w:w="120" w:type="dxa"/>
              <w:end w:w="140" w:type="dxa"/>
            </w:tcMar>
          </w:tcPr>
          <w:p>
            <w:pPr>
              <w:spacing w:after="0"/>
            </w:pPr>
            <w:r>
              <w:rPr>
                <w:sz w:val="20"/>
                <w:lang w:val="en-US"/>
              </w:rPr>
              <w:t>Chairman of the Board</w:t>
            </w:r>
          </w:p>
        </w:tc>
      </w:tr>
    </w:tbl>
    <w:p>
      <w:pPr>
        <w:spacing w:after="0"/>
        <w:widowControl/>
      </w:pPr>
    </w:p>
    <w:p>
      <w:pPr>
        <w:jc w:val="center"/>
        <w:widowControl/>
      </w:pPr>
      <w:r>
        <w:rPr>
          <w:i/>
          <w:color w:val="697178"/>
          <w:sz w:val="19"/>
          <w:lang w:val="en-US"/>
        </w:rPr>
        <w:t>[The President’s photograph will be added here.]</w:t>
      </w:r>
    </w:p>
    <w:p>
      <w:pPr>
        <w:pStyle w:val="IHBAHeading2"/>
        <w:keepNext/>
        <w:keepLines/>
        <w:widowControl/>
      </w:pPr>
      <w:r>
        <w:rPr>
          <w:lang w:val="en-US"/>
        </w:rPr>
        <w:t>Message from the President</w:t>
      </w:r>
    </w:p>
    <w:p>
      <w:pPr>
        <w:pStyle w:val="IHBABody"/>
        <w:ind w:firstLine="360"/>
        <w:widowControl/>
      </w:pPr>
      <w:r>
        <w:rPr>
          <w:lang w:val="en-US"/>
        </w:rPr>
        <w:t>Humanity is a shared responsibility that reaches beyond borders and cultural differences. Wars, disasters, poverty, displacement and unequal access to education across the world require more than short-term relief. They call for lasting solutions that protect people and prepare them for the future.</w:t>
      </w:r>
    </w:p>
    <w:p>
      <w:pPr>
        <w:pStyle w:val="IHBABody"/>
        <w:ind w:firstLine="360"/>
        <w:widowControl/>
      </w:pPr>
      <w:r>
        <w:rPr>
          <w:lang w:val="en-US"/>
        </w:rPr>
        <w:t>We established International Humanity Bridge to bring humanitarian assistance together with education, sustainable development and strong institutional cooperation. Our purpose is not merely to meet an immediate need, but to create opportunities through which people can rebuild their own lives, strengthen solidarity between societies and develop bridges of trust between institutions.</w:t>
      </w:r>
    </w:p>
    <w:p>
      <w:pPr>
        <w:pStyle w:val="IHBABody"/>
        <w:ind w:firstLine="360"/>
        <w:widowControl/>
      </w:pPr>
      <w:r>
        <w:rPr>
          <w:lang w:val="en-US"/>
        </w:rPr>
        <w:t>In the regions where we work and seek to expand, particularly across Asia and Africa, we uphold respect for human dignity, transparency, sustainability and responsiveness to local realities. Guided by our moral values, we aim to serve people without discrimination based on faith, language, ethnicity or geography, and to transform compassion into lasting benefit.</w:t>
      </w:r>
    </w:p>
    <w:p>
      <w:pPr>
        <w:pStyle w:val="IHBABody"/>
        <w:ind w:firstLine="360"/>
        <w:widowControl/>
      </w:pPr>
      <w:r>
        <w:rPr>
          <w:lang w:val="en-US"/>
        </w:rPr>
        <w:t>We believe that genuine assistance means not only extending a hand today, but also helping to build a stronger tomorrow. Together with our volunteers, donors, partners and cooperating institutions, we will continue to build new bridges for humanity.</w:t>
      </w:r>
    </w:p>
    <w:p>
      <w:pPr>
        <w:jc w:val="right"/>
        <w:widowControl/>
      </w:pPr>
      <w:r>
        <w:rPr>
          <w:b/>
          <w:color w:val="1F364C"/>
          <w:sz w:val="21"/>
          <w:lang w:val="en-US"/>
        </w:rPr>
        <w:t>Abdullah Serenli</w:t>
        <w:br/>
        <w:t>Chairman of the Board</w:t>
      </w:r>
    </w:p>
    <w:p>
      <w:pPr>
        <w:widowControl/>
      </w:pPr>
      <w:r>
        <w:br w:type="page"/>
      </w:r>
    </w:p>
    <w:p>
      <w:pPr>
        <w:pStyle w:val="IHBAHeading1"/>
        <w:keepNext/>
        <w:keepLines/>
        <w:widowControl/>
      </w:pPr>
      <w:r>
        <w:rPr>
          <w:lang w:val="en-US"/>
        </w:rPr>
        <w:t>5. Our Areas of Work</w:t>
      </w:r>
    </w:p>
    <w:p>
      <w:pPr>
        <w:pStyle w:val="IHBABody"/>
        <w:widowControl/>
      </w:pPr>
      <w:r>
        <w:rPr>
          <w:b/>
          <w:color w:val="1F364C"/>
          <w:lang w:val="en-US"/>
        </w:rPr>
        <w:t xml:space="preserve">Humanitarian Assistance: </w:t>
      </w:r>
      <w:r>
        <w:rPr>
          <w:lang w:val="en-US"/>
        </w:rPr>
        <w:t>Food, shelter, health, essential needs, and in-kind or financial support.</w:t>
      </w:r>
    </w:p>
    <w:p>
      <w:pPr>
        <w:pStyle w:val="IHBABody"/>
        <w:widowControl/>
      </w:pPr>
      <w:r>
        <w:rPr>
          <w:b/>
          <w:color w:val="1F364C"/>
          <w:lang w:val="en-US"/>
        </w:rPr>
        <w:t xml:space="preserve">Education: </w:t>
      </w:r>
      <w:r>
        <w:rPr>
          <w:lang w:val="en-US"/>
        </w:rPr>
        <w:t>Scholarships, student support programmes, education centres, guidance and awareness activities.</w:t>
      </w:r>
    </w:p>
    <w:p>
      <w:pPr>
        <w:pStyle w:val="IHBABody"/>
        <w:widowControl/>
      </w:pPr>
      <w:r>
        <w:rPr>
          <w:b/>
          <w:color w:val="1F364C"/>
          <w:lang w:val="en-US"/>
        </w:rPr>
        <w:t xml:space="preserve">Sustainable Development: </w:t>
      </w:r>
      <w:r>
        <w:rPr>
          <w:lang w:val="en-US"/>
        </w:rPr>
        <w:t>Long-term programmes that strengthen productive capacity and economic independence.</w:t>
      </w:r>
    </w:p>
    <w:p>
      <w:pPr>
        <w:pStyle w:val="IHBABody"/>
        <w:widowControl/>
      </w:pPr>
      <w:r>
        <w:rPr>
          <w:b/>
          <w:color w:val="1F364C"/>
          <w:lang w:val="en-US"/>
        </w:rPr>
        <w:t xml:space="preserve">Children, Youth and Women: </w:t>
      </w:r>
      <w:r>
        <w:rPr>
          <w:lang w:val="en-US"/>
        </w:rPr>
        <w:t>Protective, developmental and participatory education, social support and skills programmes.</w:t>
      </w:r>
    </w:p>
    <w:p>
      <w:pPr>
        <w:pStyle w:val="IHBABody"/>
        <w:widowControl/>
      </w:pPr>
      <w:r>
        <w:rPr>
          <w:b/>
          <w:color w:val="1F364C"/>
          <w:lang w:val="en-US"/>
        </w:rPr>
        <w:t xml:space="preserve">Health and Social Support: </w:t>
      </w:r>
      <w:r>
        <w:rPr>
          <w:lang w:val="en-US"/>
        </w:rPr>
        <w:t>Assistance for people in need, disaster-affected communities, displaced persons, older people, persons with disabilities, orphans and those requiring care.</w:t>
      </w:r>
    </w:p>
    <w:p>
      <w:pPr>
        <w:pStyle w:val="IHBABody"/>
        <w:widowControl/>
      </w:pPr>
      <w:r>
        <w:rPr>
          <w:b/>
          <w:color w:val="1F364C"/>
          <w:lang w:val="en-US"/>
        </w:rPr>
        <w:t xml:space="preserve">Culture, Arts and Volunteering: </w:t>
      </w:r>
      <w:r>
        <w:rPr>
          <w:lang w:val="en-US"/>
        </w:rPr>
        <w:t>Activities that strengthen social solidarity, intercultural communication and volunteer participation.</w:t>
      </w:r>
    </w:p>
    <w:p>
      <w:pPr>
        <w:pStyle w:val="IHBABody"/>
        <w:widowControl/>
      </w:pPr>
      <w:r>
        <w:rPr>
          <w:b/>
          <w:color w:val="1F364C"/>
          <w:lang w:val="en-US"/>
        </w:rPr>
        <w:t xml:space="preserve">Institutional Cooperation: </w:t>
      </w:r>
      <w:r>
        <w:rPr>
          <w:lang w:val="en-US"/>
        </w:rPr>
        <w:t>Joint initiatives with institutions, representative offices, universities and local partners in different countries.</w:t>
      </w:r>
    </w:p>
    <w:p>
      <w:pPr>
        <w:pStyle w:val="IHBAHeading2"/>
        <w:keepNext/>
        <w:keepLines/>
        <w:widowControl/>
      </w:pPr>
      <w:r>
        <w:rPr>
          <w:lang w:val="en-US"/>
        </w:rPr>
        <w:t>Who We Serve</w:t>
      </w:r>
    </w:p>
    <w:p>
      <w:pPr>
        <w:pStyle w:val="IHBABody"/>
        <w:widowControl/>
      </w:pPr>
      <w:r>
        <w:rPr>
          <w:lang w:val="en-US"/>
        </w:rPr>
        <w:t>Children, young people, women, families, students, orphans, older persons, persons with disabilities, disaster-affected communities, people affected by displacement or conflict, and individuals and communities requiring economic or social support.</w:t>
      </w:r>
    </w:p>
    <w:p>
      <w:pPr>
        <w:pStyle w:val="IHBAHeading2"/>
        <w:keepNext/>
        <w:keepLines/>
        <w:widowControl/>
      </w:pPr>
      <w:r>
        <w:rPr>
          <w:lang w:val="en-US"/>
        </w:rPr>
        <w:t>Where We Work</w:t>
      </w:r>
    </w:p>
    <w:p>
      <w:pPr>
        <w:pStyle w:val="IHBABody"/>
        <w:widowControl/>
      </w:pPr>
      <w:r>
        <w:rPr>
          <w:lang w:val="en-US"/>
        </w:rPr>
        <w:t>IHBA works across regions where humanitarian needs and reliable local partnerships are present, with a particular focus on Asia and Africa. Activities are designed around local conditions and needs, bringing together humanitarian assistance, education, social support and sustainable development.</w:t>
      </w:r>
    </w:p>
    <w:p>
      <w:pPr>
        <w:widowControl/>
      </w:pPr>
      <w:r>
        <w:br w:type="page"/>
      </w:r>
    </w:p>
    <w:p>
      <w:pPr>
        <w:pStyle w:val="IHBAHeading1"/>
        <w:keepNext/>
        <w:keepLines/>
        <w:widowControl/>
      </w:pPr>
      <w:r>
        <w:rPr>
          <w:lang w:val="en-US"/>
        </w:rPr>
        <w:t>6. Our Projects and Ongoing Programmes</w:t>
      </w: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en-US"/>
              </w:rPr>
              <w:t>6.1. Mazar-i-Sharif Education Centre Project</w:t>
            </w:r>
          </w:p>
          <w:p>
            <w:pPr>
              <w:spacing w:after="160"/>
            </w:pPr>
            <w:r>
              <w:rPr>
                <w:i/>
                <w:color w:val="586570"/>
                <w:sz w:val="20"/>
                <w:lang w:val="en-US"/>
              </w:rPr>
              <w:t>Afghanistan | Planning and development stage</w:t>
            </w:r>
          </w:p>
          <w:p>
            <w:pPr>
              <w:pStyle w:val="IHBABody"/>
              <w:spacing w:after="140"/>
            </w:pPr>
            <w:r>
              <w:rPr>
                <w:lang w:val="en-US"/>
              </w:rPr>
              <w:t>The Mazar-i-Sharif Education Centre Project has been developed to expand access to quality education for girls and boys aged 7 to 18 in Mazar-i-Sharif, Afghanistan. Designed for approximately 1,000 students, the centre will offer religious and ethical education alongside science and core academic subjects.</w:t>
            </w:r>
          </w:p>
          <w:p>
            <w:pPr>
              <w:pStyle w:val="IHBABody"/>
              <w:spacing w:after="140"/>
            </w:pPr>
            <w:r>
              <w:rPr>
                <w:lang w:val="en-US"/>
              </w:rPr>
              <w:t>The centre is intended to be more than a place of classroom instruction. It will be a comprehensive educational campus where children can learn and develop in a safe, supportive environment. Planned facilities include classrooms, student accommodation, a mosque, a dining hall, play areas and a park.</w:t>
            </w:r>
          </w:p>
          <w:p>
            <w:pPr>
              <w:pStyle w:val="IHBABody"/>
              <w:spacing w:after="140"/>
            </w:pPr>
            <w:r>
              <w:rPr>
                <w:lang w:val="en-US"/>
              </w:rPr>
              <w:t>The land for the centre has been purchased, and official and technical preparations are under way. Construction has not yet begun, and completion is targeted for the end of 2027.</w:t>
            </w:r>
          </w:p>
          <w:p>
            <w:pPr>
              <w:pStyle w:val="IHBABody"/>
              <w:spacing w:after="140"/>
            </w:pPr>
            <w:r>
              <w:rPr>
                <w:lang w:val="en-US"/>
              </w:rPr>
              <w:t>In the longer term, the campus is expected to serve as a base for humanitarian assistance and sustainable development initiatives in the region, while also hosting education, skills development and social support programmes for women and girls.</w:t>
            </w:r>
          </w:p>
          <w:p>
            <w:pPr>
              <w:spacing w:after="80"/>
            </w:pPr>
            <w:r>
              <w:rPr>
                <w:b/>
                <w:color w:val="1F364C"/>
                <w:sz w:val="20"/>
                <w:lang w:val="en-US"/>
              </w:rPr>
              <w:t xml:space="preserve">Target Group: </w:t>
            </w:r>
            <w:r>
              <w:rPr>
                <w:sz w:val="20"/>
                <w:lang w:val="en-US"/>
              </w:rPr>
              <w:t>Girls and boys aged 7-18</w:t>
            </w:r>
          </w:p>
          <w:p>
            <w:pPr>
              <w:spacing w:after="80"/>
            </w:pPr>
            <w:r>
              <w:rPr>
                <w:b/>
                <w:color w:val="1F364C"/>
                <w:sz w:val="20"/>
                <w:lang w:val="en-US"/>
              </w:rPr>
              <w:t xml:space="preserve">Planned Capacity: </w:t>
            </w:r>
            <w:r>
              <w:rPr>
                <w:sz w:val="20"/>
                <w:lang w:val="en-US"/>
              </w:rPr>
              <w:t>Approximately 1,000 students</w:t>
            </w:r>
          </w:p>
          <w:p>
            <w:pPr>
              <w:spacing w:after="80"/>
            </w:pPr>
            <w:r>
              <w:rPr>
                <w:b/>
                <w:color w:val="1F364C"/>
                <w:sz w:val="20"/>
                <w:lang w:val="en-US"/>
              </w:rPr>
              <w:t xml:space="preserve">Current Status: </w:t>
            </w:r>
            <w:r>
              <w:rPr>
                <w:sz w:val="20"/>
                <w:lang w:val="en-US"/>
              </w:rPr>
              <w:t>Land purchased; official and technical preparations under way</w:t>
            </w:r>
          </w:p>
          <w:p>
            <w:pPr>
              <w:spacing w:after="80"/>
            </w:pPr>
            <w:r>
              <w:rPr>
                <w:b/>
                <w:color w:val="1F364C"/>
                <w:sz w:val="20"/>
                <w:lang w:val="en-US"/>
              </w:rPr>
              <w:t xml:space="preserve">Target Completion: </w:t>
            </w:r>
            <w:r>
              <w:rPr>
                <w:sz w:val="20"/>
                <w:lang w:val="en-US"/>
              </w:rPr>
              <w:t>End of 2027</w:t>
            </w:r>
          </w:p>
        </w:tc>
      </w:tr>
    </w:tbl>
    <w:p>
      <w:pPr>
        <w:spacing w:after="0"/>
        <w:widowControl/>
      </w:pP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en-US"/>
              </w:rPr>
              <w:t>6.2. Pakistan International Student Education and Support Programme</w:t>
            </w:r>
          </w:p>
          <w:p>
            <w:pPr>
              <w:spacing w:after="160"/>
            </w:pPr>
            <w:r>
              <w:rPr>
                <w:i/>
                <w:color w:val="586570"/>
                <w:sz w:val="20"/>
                <w:lang w:val="en-US"/>
              </w:rPr>
              <w:t>Pakistan | Active and developing</w:t>
            </w:r>
          </w:p>
          <w:p>
            <w:pPr>
              <w:pStyle w:val="IHBABody"/>
              <w:spacing w:after="140"/>
            </w:pPr>
            <w:r>
              <w:rPr>
                <w:lang w:val="en-US"/>
              </w:rPr>
              <w:t>This programme aims to make the educational journey of students travelling from Türkiye to Pakistan for higher education safer, better organised and more sustainable. Students receive guidance from university research and selection through application and enrolment, as well as support with accommodation and adjustment to the country and its education system.</w:t>
            </w:r>
          </w:p>
          <w:p>
            <w:pPr>
              <w:pStyle w:val="IHBABody"/>
              <w:spacing w:after="140"/>
            </w:pPr>
            <w:r>
              <w:rPr>
                <w:lang w:val="en-US"/>
              </w:rPr>
              <w:t>The programme includes communication with universities across Pakistan, guidance towards suitable academic departments, follow-up of registration procedures, development of scholarship and accommodation opportunities, and access to social support throughout students’ academic lives.</w:t>
            </w:r>
          </w:p>
          <w:p>
            <w:pPr>
              <w:pStyle w:val="IHBABody"/>
              <w:spacing w:after="140"/>
            </w:pPr>
            <w:r>
              <w:rPr>
                <w:lang w:val="en-US"/>
              </w:rPr>
              <w:t>IHBA regards this initiative not merely as a student placement service, but as a long-term bridge strengthening educational, cultural and youth relations between Türkiye and Pakistan.</w:t>
            </w:r>
          </w:p>
          <w:p>
            <w:pPr>
              <w:spacing w:after="80"/>
            </w:pPr>
            <w:r>
              <w:rPr>
                <w:b/>
                <w:color w:val="1F364C"/>
                <w:sz w:val="20"/>
                <w:lang w:val="en-US"/>
              </w:rPr>
              <w:t xml:space="preserve">Target Group: </w:t>
            </w:r>
            <w:r>
              <w:rPr>
                <w:sz w:val="20"/>
                <w:lang w:val="en-US"/>
              </w:rPr>
              <w:t>Prospective and current university students in Pakistan</w:t>
            </w:r>
          </w:p>
          <w:p>
            <w:pPr>
              <w:spacing w:after="80"/>
            </w:pPr>
            <w:r>
              <w:rPr>
                <w:b/>
                <w:color w:val="1F364C"/>
                <w:sz w:val="20"/>
                <w:lang w:val="en-US"/>
              </w:rPr>
              <w:t xml:space="preserve">Main Support: </w:t>
            </w:r>
            <w:r>
              <w:rPr>
                <w:sz w:val="20"/>
                <w:lang w:val="en-US"/>
              </w:rPr>
              <w:t>University selection, application, enrolment, scholarships, accommodation, orientation and guidance</w:t>
            </w:r>
          </w:p>
          <w:p>
            <w:pPr>
              <w:spacing w:after="80"/>
            </w:pPr>
            <w:r>
              <w:rPr>
                <w:b/>
                <w:color w:val="1F364C"/>
                <w:sz w:val="20"/>
                <w:lang w:val="en-US"/>
              </w:rPr>
              <w:t xml:space="preserve">Programme Type: </w:t>
            </w:r>
            <w:r>
              <w:rPr>
                <w:sz w:val="20"/>
                <w:lang w:val="en-US"/>
              </w:rPr>
              <w:t>Ongoing education and student support programme</w:t>
            </w:r>
          </w:p>
        </w:tc>
      </w:tr>
    </w:tbl>
    <w:p>
      <w:pPr>
        <w:spacing w:after="0"/>
        <w:widowControl/>
      </w:pP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en-US"/>
              </w:rPr>
              <w:t>6.3. Ramadan and Qurban Humanitarian Programmes</w:t>
            </w:r>
          </w:p>
          <w:p>
            <w:pPr>
              <w:spacing w:after="160"/>
            </w:pPr>
            <w:r>
              <w:rPr>
                <w:i/>
                <w:color w:val="586570"/>
                <w:sz w:val="20"/>
                <w:lang w:val="en-US"/>
              </w:rPr>
              <w:t>Asia, Africa and other regions in need | Seasonal and recurring</w:t>
            </w:r>
          </w:p>
          <w:p>
            <w:pPr>
              <w:pStyle w:val="IHBABody"/>
              <w:spacing w:after="140"/>
            </w:pPr>
            <w:r>
              <w:rPr>
                <w:lang w:val="en-US"/>
              </w:rPr>
              <w:t>During Ramadan and Qurban, IHBA delivers humanitarian assistance to families and communities in need. Activities include iftar programmes, food and essential-needs support, and Qurban organisation, particularly in Pakistan, Afghanistan, Palestine and different regions of Africa where needs are identified.</w:t>
            </w:r>
          </w:p>
          <w:p>
            <w:pPr>
              <w:pStyle w:val="IHBABody"/>
              <w:spacing w:after="140"/>
            </w:pPr>
            <w:r>
              <w:rPr>
                <w:lang w:val="en-US"/>
              </w:rPr>
              <w:t>Programmes are planned in coordination with trusted local partners and adapted to local conditions. IHBA seeks to ensure that assistance reaches people directly, consistently and with respect for human dignity. Wherever possible, seasonal support is also used as a foundation for longer-term social and development initiatives.</w:t>
            </w:r>
          </w:p>
          <w:p>
            <w:pPr>
              <w:spacing w:after="80"/>
            </w:pPr>
            <w:r>
              <w:rPr>
                <w:b/>
                <w:color w:val="1F364C"/>
                <w:sz w:val="20"/>
                <w:lang w:val="en-US"/>
              </w:rPr>
              <w:t xml:space="preserve">Activities: </w:t>
            </w:r>
            <w:r>
              <w:rPr>
                <w:sz w:val="20"/>
                <w:lang w:val="en-US"/>
              </w:rPr>
              <w:t>Iftar programmes, food and essential-needs support, Qurban organisation and meat distribution</w:t>
            </w:r>
          </w:p>
          <w:p>
            <w:pPr>
              <w:spacing w:after="80"/>
            </w:pPr>
            <w:r>
              <w:rPr>
                <w:b/>
                <w:color w:val="1F364C"/>
                <w:sz w:val="20"/>
                <w:lang w:val="en-US"/>
              </w:rPr>
              <w:t xml:space="preserve">Period: </w:t>
            </w:r>
            <w:r>
              <w:rPr>
                <w:sz w:val="20"/>
                <w:lang w:val="en-US"/>
              </w:rPr>
              <w:t>Ramadan and Qurban seasons</w:t>
            </w:r>
          </w:p>
          <w:p>
            <w:pPr>
              <w:spacing w:after="80"/>
            </w:pPr>
            <w:r>
              <w:rPr>
                <w:b/>
                <w:color w:val="1F364C"/>
                <w:sz w:val="20"/>
                <w:lang w:val="en-US"/>
              </w:rPr>
              <w:t xml:space="preserve">Delivery Model: </w:t>
            </w:r>
            <w:r>
              <w:rPr>
                <w:sz w:val="20"/>
                <w:lang w:val="en-US"/>
              </w:rPr>
              <w:t>Local needs assessment and coordination with field partners</w:t>
            </w:r>
          </w:p>
        </w:tc>
      </w:tr>
    </w:tbl>
    <w:p>
      <w:pPr>
        <w:spacing w:after="0"/>
        <w:widowControl/>
      </w:pPr>
    </w:p>
    <w:p>
      <w:pPr>
        <w:pStyle w:val="IHBAHeading1"/>
        <w:keepNext/>
        <w:keepLines/>
        <w:widowControl/>
      </w:pPr>
      <w:r>
        <w:rPr>
          <w:lang w:val="en-US"/>
        </w:rPr>
        <w:t>7. Board of Directors</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5112"/>
        <w:gridCol w:w="4680"/>
      </w:tblGrid>
      <w:tr>
        <w:tc>
          <w:tcPr>
            <w:tcW w:type="dxa" w:w="4939"/>
            <w:shd w:fill="1F364C"/>
            <w:tcMar>
              <w:top w:w="120" w:type="dxa"/>
              <w:start w:w="140" w:type="dxa"/>
              <w:bottom w:w="120" w:type="dxa"/>
              <w:end w:w="140" w:type="dxa"/>
            </w:tcMar>
          </w:tcPr>
          <w:p>
            <w:pPr>
              <w:spacing w:after="0"/>
            </w:pPr>
            <w:r>
              <w:rPr>
                <w:b/>
                <w:color w:val="FFFFFF"/>
                <w:sz w:val="20"/>
                <w:lang w:val="en-US"/>
              </w:rPr>
              <w:t>Full Name</w:t>
            </w:r>
          </w:p>
        </w:tc>
        <w:tc>
          <w:tcPr>
            <w:tcW w:type="dxa" w:w="4939"/>
            <w:shd w:fill="1F364C"/>
            <w:tcMar>
              <w:top w:w="120" w:type="dxa"/>
              <w:start w:w="140" w:type="dxa"/>
              <w:bottom w:w="120" w:type="dxa"/>
              <w:end w:w="140" w:type="dxa"/>
            </w:tcMar>
          </w:tcPr>
          <w:p>
            <w:pPr>
              <w:spacing w:after="0"/>
            </w:pPr>
            <w:r>
              <w:rPr>
                <w:b/>
                <w:color w:val="FFFFFF"/>
                <w:sz w:val="20"/>
                <w:lang w:val="en-US"/>
              </w:rPr>
              <w:t>Position</w:t>
            </w:r>
          </w:p>
        </w:tc>
      </w:tr>
      <w:tr>
        <w:tc>
          <w:tcPr>
            <w:tcW w:type="dxa" w:w="5112"/>
            <w:tcMar>
              <w:top w:w="120" w:type="dxa"/>
              <w:start w:w="140" w:type="dxa"/>
              <w:bottom w:w="120" w:type="dxa"/>
              <w:end w:w="140" w:type="dxa"/>
            </w:tcMar>
          </w:tcPr>
          <w:p>
            <w:r>
              <w:rPr>
                <w:sz w:val="20"/>
                <w:lang w:val="en-US"/>
              </w:rPr>
              <w:t>Abdullah Serenli</w:t>
            </w:r>
          </w:p>
        </w:tc>
        <w:tc>
          <w:tcPr>
            <w:tcW w:type="dxa" w:w="4680"/>
            <w:tcMar>
              <w:top w:w="120" w:type="dxa"/>
              <w:start w:w="140" w:type="dxa"/>
              <w:bottom w:w="120" w:type="dxa"/>
              <w:end w:w="140" w:type="dxa"/>
            </w:tcMar>
          </w:tcPr>
          <w:p>
            <w:r>
              <w:rPr>
                <w:sz w:val="20"/>
                <w:lang w:val="en-US"/>
              </w:rPr>
              <w:t>Chairman of the Board</w:t>
            </w:r>
          </w:p>
        </w:tc>
      </w:tr>
      <w:tr>
        <w:tc>
          <w:tcPr>
            <w:tcW w:type="dxa" w:w="5112"/>
            <w:tcMar>
              <w:top w:w="120" w:type="dxa"/>
              <w:start w:w="140" w:type="dxa"/>
              <w:bottom w:w="120" w:type="dxa"/>
              <w:end w:w="140" w:type="dxa"/>
            </w:tcMar>
          </w:tcPr>
          <w:p>
            <w:r>
              <w:rPr>
                <w:sz w:val="20"/>
                <w:lang w:val="en-US"/>
              </w:rPr>
              <w:t>İsmail Bakırhan</w:t>
            </w:r>
          </w:p>
        </w:tc>
        <w:tc>
          <w:tcPr>
            <w:tcW w:type="dxa" w:w="4680"/>
            <w:tcMar>
              <w:top w:w="120" w:type="dxa"/>
              <w:start w:w="140" w:type="dxa"/>
              <w:bottom w:w="120" w:type="dxa"/>
              <w:end w:w="140" w:type="dxa"/>
            </w:tcMar>
          </w:tcPr>
          <w:p>
            <w:r>
              <w:rPr>
                <w:sz w:val="20"/>
                <w:lang w:val="en-US"/>
              </w:rPr>
              <w:t>Vice Chairman of the Board</w:t>
            </w:r>
          </w:p>
        </w:tc>
      </w:tr>
      <w:tr>
        <w:tc>
          <w:tcPr>
            <w:tcW w:type="dxa" w:w="5112"/>
            <w:tcMar>
              <w:top w:w="120" w:type="dxa"/>
              <w:start w:w="140" w:type="dxa"/>
              <w:bottom w:w="120" w:type="dxa"/>
              <w:end w:w="140" w:type="dxa"/>
            </w:tcMar>
          </w:tcPr>
          <w:p>
            <w:r>
              <w:rPr>
                <w:sz w:val="20"/>
                <w:lang w:val="en-US"/>
              </w:rPr>
              <w:t>Durali Erdoğan</w:t>
            </w:r>
          </w:p>
        </w:tc>
        <w:tc>
          <w:tcPr>
            <w:tcW w:type="dxa" w:w="4680"/>
            <w:tcMar>
              <w:top w:w="120" w:type="dxa"/>
              <w:start w:w="140" w:type="dxa"/>
              <w:bottom w:w="120" w:type="dxa"/>
              <w:end w:w="140" w:type="dxa"/>
            </w:tcMar>
          </w:tcPr>
          <w:p>
            <w:r>
              <w:rPr>
                <w:sz w:val="20"/>
                <w:lang w:val="en-US"/>
              </w:rPr>
              <w:t>Secretary General</w:t>
            </w:r>
          </w:p>
        </w:tc>
      </w:tr>
      <w:tr>
        <w:tc>
          <w:tcPr>
            <w:tcW w:type="dxa" w:w="5112"/>
            <w:tcMar>
              <w:top w:w="120" w:type="dxa"/>
              <w:start w:w="140" w:type="dxa"/>
              <w:bottom w:w="120" w:type="dxa"/>
              <w:end w:w="140" w:type="dxa"/>
            </w:tcMar>
          </w:tcPr>
          <w:p>
            <w:r>
              <w:rPr>
                <w:sz w:val="20"/>
                <w:lang w:val="en-US"/>
              </w:rPr>
              <w:t>İdris Akarçeşme</w:t>
            </w:r>
          </w:p>
        </w:tc>
        <w:tc>
          <w:tcPr>
            <w:tcW w:type="dxa" w:w="4680"/>
            <w:tcMar>
              <w:top w:w="120" w:type="dxa"/>
              <w:start w:w="140" w:type="dxa"/>
              <w:bottom w:w="120" w:type="dxa"/>
              <w:end w:w="140" w:type="dxa"/>
            </w:tcMar>
          </w:tcPr>
          <w:p>
            <w:r>
              <w:rPr>
                <w:sz w:val="20"/>
                <w:lang w:val="en-US"/>
              </w:rPr>
              <w:t>Treasurer</w:t>
            </w:r>
          </w:p>
        </w:tc>
      </w:tr>
      <w:tr>
        <w:tc>
          <w:tcPr>
            <w:tcW w:type="dxa" w:w="5112"/>
            <w:tcMar>
              <w:top w:w="120" w:type="dxa"/>
              <w:start w:w="140" w:type="dxa"/>
              <w:bottom w:w="120" w:type="dxa"/>
              <w:end w:w="140" w:type="dxa"/>
            </w:tcMar>
          </w:tcPr>
          <w:p>
            <w:r>
              <w:rPr>
                <w:sz w:val="20"/>
                <w:lang w:val="en-US"/>
              </w:rPr>
              <w:t>Vedat Akkoyun</w:t>
            </w:r>
          </w:p>
        </w:tc>
        <w:tc>
          <w:tcPr>
            <w:tcW w:type="dxa" w:w="4680"/>
            <w:tcMar>
              <w:top w:w="120" w:type="dxa"/>
              <w:start w:w="140" w:type="dxa"/>
              <w:bottom w:w="120" w:type="dxa"/>
              <w:end w:w="140" w:type="dxa"/>
            </w:tcMar>
          </w:tcPr>
          <w:p>
            <w:r>
              <w:rPr>
                <w:sz w:val="20"/>
                <w:lang w:val="en-US"/>
              </w:rPr>
              <w:t>Board Member</w:t>
            </w:r>
          </w:p>
        </w:tc>
      </w:tr>
    </w:tbl>
    <w:p>
      <w:pPr>
        <w:widowControl/>
      </w:pPr>
    </w:p>
    <w:p>
      <w:pPr>
        <w:pStyle w:val="IHBAHeading1"/>
        <w:keepNext/>
        <w:keepLines/>
        <w:widowControl/>
      </w:pPr>
      <w:r>
        <w:rPr>
          <w:lang w:val="en-US"/>
        </w:rPr>
        <w:t>8. Contact Information</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en-US"/>
              </w:rPr>
              <w:t>Telephone</w:t>
            </w:r>
          </w:p>
        </w:tc>
        <w:tc>
          <w:tcPr>
            <w:tcW w:type="dxa" w:w="6653"/>
            <w:vAlign w:val="center"/>
            <w:tcMar>
              <w:top w:w="120" w:type="dxa"/>
              <w:start w:w="140" w:type="dxa"/>
              <w:bottom w:w="120" w:type="dxa"/>
              <w:end w:w="140" w:type="dxa"/>
            </w:tcMar>
          </w:tcPr>
          <w:p>
            <w:pPr>
              <w:spacing w:after="0"/>
            </w:pPr>
            <w:r>
              <w:rPr>
                <w:sz w:val="20"/>
                <w:lang w:val="en-US"/>
              </w:rPr>
              <w:t>+90 533 620 63 74</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Email</w:t>
            </w:r>
          </w:p>
        </w:tc>
        <w:tc>
          <w:tcPr>
            <w:tcW w:type="dxa" w:w="6653"/>
            <w:vAlign w:val="center"/>
            <w:tcMar>
              <w:top w:w="120" w:type="dxa"/>
              <w:start w:w="140" w:type="dxa"/>
              <w:bottom w:w="120" w:type="dxa"/>
              <w:end w:w="140" w:type="dxa"/>
            </w:tcMar>
          </w:tcPr>
          <w:p>
            <w:pPr>
              <w:spacing w:after="0"/>
            </w:pPr>
            <w:r>
              <w:rPr>
                <w:sz w:val="20"/>
                <w:lang w:val="en-US"/>
              </w:rPr>
              <w:t>aserenli@hotmail.com</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Website</w:t>
            </w:r>
          </w:p>
        </w:tc>
        <w:tc>
          <w:tcPr>
            <w:tcW w:type="dxa" w:w="6653"/>
            <w:vAlign w:val="center"/>
            <w:tcMar>
              <w:top w:w="120" w:type="dxa"/>
              <w:start w:w="140" w:type="dxa"/>
              <w:bottom w:w="120" w:type="dxa"/>
              <w:end w:w="140" w:type="dxa"/>
            </w:tcMar>
          </w:tcPr>
          <w:p>
            <w:pPr>
              <w:spacing w:after="0"/>
            </w:pPr>
            <w:r>
              <w:rPr>
                <w:sz w:val="20"/>
                <w:lang w:val="en-US"/>
              </w:rPr>
              <w:t>Not specified.</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Fax</w:t>
            </w:r>
          </w:p>
        </w:tc>
        <w:tc>
          <w:tcPr>
            <w:tcW w:type="dxa" w:w="6653"/>
            <w:vAlign w:val="center"/>
            <w:tcMar>
              <w:top w:w="120" w:type="dxa"/>
              <w:start w:w="140" w:type="dxa"/>
              <w:bottom w:w="120" w:type="dxa"/>
              <w:end w:w="140" w:type="dxa"/>
            </w:tcMar>
          </w:tcPr>
          <w:p>
            <w:pPr>
              <w:spacing w:after="0"/>
            </w:pPr>
            <w:r>
              <w:rPr>
                <w:sz w:val="20"/>
                <w:lang w:val="en-US"/>
              </w:rPr>
              <w:t>Not specified.</w:t>
            </w:r>
          </w:p>
        </w:tc>
      </w:tr>
      <w:tr>
        <w:tc>
          <w:tcPr>
            <w:tcW w:type="dxa" w:w="3139"/>
            <w:vAlign w:val="center"/>
            <w:tcMar>
              <w:top w:w="120" w:type="dxa"/>
              <w:start w:w="140" w:type="dxa"/>
              <w:bottom w:w="120" w:type="dxa"/>
              <w:end w:w="140" w:type="dxa"/>
            </w:tcMar>
            <w:shd w:fill="E9EFF5"/>
          </w:tcPr>
          <w:p>
            <w:pPr>
              <w:spacing w:after="0"/>
            </w:pPr>
            <w:r>
              <w:rPr>
                <w:b/>
                <w:color w:val="1F364C"/>
                <w:sz w:val="19"/>
                <w:lang w:val="en-US"/>
              </w:rPr>
              <w:t>Head Office Address</w:t>
            </w:r>
          </w:p>
        </w:tc>
        <w:tc>
          <w:tcPr>
            <w:tcW w:type="dxa" w:w="6653"/>
            <w:vAlign w:val="center"/>
            <w:tcMar>
              <w:top w:w="120" w:type="dxa"/>
              <w:start w:w="140" w:type="dxa"/>
              <w:bottom w:w="120" w:type="dxa"/>
              <w:end w:w="140" w:type="dxa"/>
            </w:tcMar>
          </w:tcPr>
          <w:p>
            <w:pPr>
              <w:spacing w:after="0"/>
            </w:pPr>
            <w:r>
              <w:rPr>
                <w:sz w:val="20"/>
                <w:lang w:val="en-US"/>
              </w:rPr>
              <w:t>Mecidiye Neighbourhood, Süngü Street, Tevhit Çarşısı, Building No. 2, Unit No. 212, Sultanbeyli / Istanbul / Türkiye</w:t>
            </w:r>
          </w:p>
        </w:tc>
      </w:tr>
    </w:tbl>
    <w:p>
      <w:pPr>
        <w:spacing w:after="0"/>
        <w:widowControl/>
      </w:pPr>
    </w:p>
    <w:p>
      <w:pPr>
        <w:pStyle w:val="IHBAHeading1"/>
        <w:keepNext/>
        <w:keepLines/>
        <w:widowControl/>
      </w:pPr>
      <w:r>
        <w:rPr>
          <w:lang w:val="en-US"/>
        </w:rPr>
        <w:t>9. Donations and Volunteering</w:t>
      </w:r>
    </w:p>
    <w:p>
      <w:pPr>
        <w:pStyle w:val="IHBABody"/>
        <w:widowControl/>
      </w:pPr>
      <w:r>
        <w:rPr>
          <w:lang w:val="en-US"/>
        </w:rPr>
        <w:t>IHBA accepts donations to support its humanitarian assistance, education, scholarship and sustainable development programmes. Official bank accounts and donation methods will be added to the website once the relevant institutional information is provided.</w:t>
      </w:r>
    </w:p>
    <w:p>
      <w:pPr>
        <w:pStyle w:val="IHBABody"/>
        <w:widowControl/>
      </w:pPr>
      <w:r>
        <w:rPr>
          <w:lang w:val="en-US"/>
        </w:rPr>
        <w:t>IHBA welcomes volunteers. Depending on their skills and availability, volunteers may contribute to field activities, student and education programmes, events, communications, content production, project development and seasonal humanitarian programmes. Donation and volunteer applications will be received through forms on the website.</w:t>
      </w:r>
    </w:p>
    <w:p>
      <w:pPr>
        <w:widowControl/>
      </w:pPr>
      <w:r>
        <w:br w:type="page"/>
      </w:r>
    </w:p>
    <w:p>
      <w:pPr>
        <w:pStyle w:val="IHBAHeading1"/>
        <w:keepNext/>
        <w:keepLines/>
        <w:widowControl/>
      </w:pPr>
      <w:r>
        <w:rPr>
          <w:lang w:val="en-US"/>
        </w:rPr>
        <w:t>10. Main Website Pages</w:t>
      </w:r>
    </w:p>
    <w:p>
      <w:pPr>
        <w:pStyle w:val="IHBABullet"/>
        <w:ind w:left="360" w:hanging="230"/>
        <w:widowControl/>
      </w:pPr>
      <w:r>
        <w:rPr>
          <w:lang w:val="en-US"/>
        </w:rPr>
        <w:t>•  Home</w:t>
      </w:r>
    </w:p>
    <w:p>
      <w:pPr>
        <w:pStyle w:val="IHBABullet"/>
        <w:ind w:left="360" w:hanging="230"/>
        <w:widowControl/>
      </w:pPr>
      <w:r>
        <w:rPr>
          <w:lang w:val="en-US"/>
        </w:rPr>
        <w:t>•  About Us</w:t>
      </w:r>
    </w:p>
    <w:p>
      <w:pPr>
        <w:pStyle w:val="IHBABullet"/>
        <w:ind w:left="360" w:hanging="230"/>
        <w:widowControl/>
      </w:pPr>
      <w:r>
        <w:rPr>
          <w:lang w:val="en-US"/>
        </w:rPr>
        <w:t>•  Message from the President</w:t>
      </w:r>
    </w:p>
    <w:p>
      <w:pPr>
        <w:pStyle w:val="IHBABullet"/>
        <w:ind w:left="360" w:hanging="230"/>
        <w:widowControl/>
      </w:pPr>
      <w:r>
        <w:rPr>
          <w:lang w:val="en-US"/>
        </w:rPr>
        <w:t>•  Our Areas of Work</w:t>
      </w:r>
    </w:p>
    <w:p>
      <w:pPr>
        <w:pStyle w:val="IHBABullet"/>
        <w:ind w:left="360" w:hanging="230"/>
        <w:widowControl/>
      </w:pPr>
      <w:r>
        <w:rPr>
          <w:lang w:val="en-US"/>
        </w:rPr>
        <w:t>•  Projects</w:t>
      </w:r>
    </w:p>
    <w:p>
      <w:pPr>
        <w:pStyle w:val="IHBABullet"/>
        <w:ind w:left="360" w:hanging="230"/>
        <w:widowControl/>
      </w:pPr>
      <w:r>
        <w:rPr>
          <w:lang w:val="en-US"/>
        </w:rPr>
        <w:t>•  News</w:t>
      </w:r>
    </w:p>
    <w:p>
      <w:pPr>
        <w:pStyle w:val="IHBABullet"/>
        <w:ind w:left="360" w:hanging="230"/>
        <w:widowControl/>
      </w:pPr>
      <w:r>
        <w:rPr>
          <w:lang w:val="en-US"/>
        </w:rPr>
        <w:t>•  Donate</w:t>
      </w:r>
    </w:p>
    <w:p>
      <w:pPr>
        <w:pStyle w:val="IHBABullet"/>
        <w:ind w:left="360" w:hanging="230"/>
        <w:widowControl/>
      </w:pPr>
      <w:r>
        <w:rPr>
          <w:lang w:val="en-US"/>
        </w:rPr>
        <w:t>•  Contact</w:t>
      </w:r>
    </w:p>
    <w:p>
      <w:pPr>
        <w:pStyle w:val="IHBAHeading2"/>
        <w:keepNext/>
        <w:keepLines/>
        <w:widowControl/>
      </w:pPr>
      <w:r>
        <w:rPr>
          <w:lang w:val="en-US"/>
        </w:rPr>
        <w:t>Language and Brand Use</w:t>
      </w:r>
    </w:p>
    <w:p>
      <w:pPr>
        <w:pStyle w:val="IHBABody"/>
        <w:widowControl/>
      </w:pPr>
      <w:r>
        <w:rPr>
          <w:lang w:val="en-US"/>
        </w:rPr>
        <w:t>The website will be available in Turkish and English. The official Turkish name will be “Uluslararası İnsanlık Köprüsü Derneği”, while the English name will be “International Humanity Bridge”. The short name and logo will use “IHBA” in both languages.</w:t>
      </w:r>
    </w:p>
    <w:p>
      <w:pPr>
        <w:pStyle w:val="IHBAHeading2"/>
        <w:keepNext/>
        <w:keepLines/>
        <w:widowControl/>
      </w:pPr>
      <w:r>
        <w:rPr>
          <w:lang w:val="en-US"/>
        </w:rPr>
        <w:t>Provisional Slogan</w:t>
      </w:r>
    </w:p>
    <w:p>
      <w:pPr>
        <w:pStyle w:val="IHBAQuote"/>
        <w:jc w:val="center"/>
        <w:widowControl/>
      </w:pPr>
      <w:r>
        <w:rPr>
          <w:b/>
          <w:lang w:val="en-US"/>
        </w:rPr>
        <w:t>A Bridge for Humanity</w:t>
      </w:r>
    </w:p>
    <w:p>
      <w:pPr>
        <w:pStyle w:val="IHBABody"/>
        <w:jc w:val="center"/>
        <w:widowControl/>
      </w:pPr>
      <w:r>
        <w:rPr>
          <w:lang w:val="en-US"/>
        </w:rPr>
        <w:t>This slogan may be used for the initial website launch and revised as the organisation’s brand identity develops.</w:t>
      </w:r>
    </w:p>
    <w:p>
      <w:pPr>
        <w:spacing w:before="360" w:after="0"/>
        <w:jc w:val="center"/>
        <w:widowControl/>
      </w:pPr>
      <w:r>
        <w:rPr>
          <w:color w:val="7D8287"/>
          <w:sz w:val="17"/>
          <w:lang w:val="en-US"/>
        </w:rPr>
        <w:t>— End of Document —</w:t>
      </w:r>
    </w:p>
    <w:sectPr w:rsidR="00FC693F" w:rsidRPr="0006063C" w:rsidSect="00034616">
      <w:headerReference w:type="default" r:id="rId9"/>
      <w:footerReference w:type="default" r:id="rId10"/>
      <w:pgSz w:w="12240" w:h="15840"/>
      <w:pgMar w:top="1037" w:right="1181" w:bottom="979" w:left="1181"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right"/>
      </w:tabs>
      <w:jc w:val="right"/>
    </w:pPr>
    <w:r>
      <w:rPr>
        <w:color w:val="6E7880"/>
        <w:sz w:val="16"/>
        <w:lang w:val="en-US"/>
      </w:rPr>
      <w:t>International Humanity Bridge</w:t>
    </w:r>
    <w:r>
      <w:tab/>
    </w:r>
    <w:r>
      <w:rPr>
        <w:lang w:val="en-US"/>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D7B"/>
        <w:sz w:val="17"/>
        <w:lang w:val="en-US"/>
      </w:rPr>
      <w:t>IHBA  |  WEBSITE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BATitle">
    <w:name w:val="IHBA Title"/>
    <w:pPr>
      <w:spacing w:after="100"/>
      <w:jc w:val="center"/>
    </w:pPr>
    <w:rPr>
      <w:rFonts w:ascii="Aptos Display" w:hAnsi="Aptos Display"/>
      <w:b/>
      <w:color w:val="1F364C"/>
      <w:sz w:val="60"/>
    </w:rPr>
  </w:style>
  <w:style w:type="paragraph" w:customStyle="1" w:styleId="IHBASubtitle">
    <w:name w:val="IHBA Subtitle"/>
    <w:pPr>
      <w:spacing w:after="240"/>
      <w:jc w:val="center"/>
    </w:pPr>
    <w:rPr>
      <w:rFonts w:ascii="Aptos" w:hAnsi="Aptos"/>
      <w:color w:val="4C5E6E"/>
      <w:sz w:val="26"/>
    </w:rPr>
  </w:style>
  <w:style w:type="paragraph" w:customStyle="1" w:styleId="IHBAHeading1">
    <w:name w:val="IHBA Heading 1"/>
    <w:pPr>
      <w:spacing w:before="280" w:after="140"/>
    </w:pPr>
    <w:rPr>
      <w:rFonts w:ascii="Aptos Display" w:hAnsi="Aptos Display"/>
      <w:b/>
      <w:color w:val="1F364C"/>
      <w:sz w:val="34"/>
    </w:rPr>
  </w:style>
  <w:style w:type="paragraph" w:customStyle="1" w:styleId="IHBAHeading2">
    <w:name w:val="IHBA Heading 2"/>
    <w:pPr>
      <w:spacing w:before="180" w:after="80"/>
    </w:pPr>
    <w:rPr>
      <w:rFonts w:ascii="Aptos" w:hAnsi="Aptos"/>
      <w:b/>
      <w:color w:val="3E5467"/>
      <w:sz w:val="25"/>
    </w:rPr>
  </w:style>
  <w:style w:type="paragraph" w:customStyle="1" w:styleId="IHBABody">
    <w:name w:val="IHBA Body"/>
    <w:pPr>
      <w:spacing w:after="140" w:line="271" w:lineRule="auto"/>
    </w:pPr>
    <w:rPr>
      <w:rFonts w:ascii="Aptos" w:hAnsi="Aptos"/>
      <w:color w:val="232A30"/>
      <w:sz w:val="21"/>
    </w:rPr>
  </w:style>
  <w:style w:type="paragraph" w:customStyle="1" w:styleId="IHBABullet">
    <w:name w:val="IHBA Bullet"/>
    <w:pPr>
      <w:spacing w:after="80" w:line="259" w:lineRule="auto"/>
    </w:pPr>
    <w:rPr>
      <w:rFonts w:ascii="Aptos" w:hAnsi="Aptos"/>
      <w:color w:val="232A30"/>
      <w:sz w:val="20"/>
    </w:rPr>
  </w:style>
  <w:style w:type="paragraph" w:customStyle="1" w:styleId="IHBAQuote">
    <w:name w:val="IHBA Quote"/>
    <w:pPr>
      <w:spacing w:before="160" w:after="200" w:line="276" w:lineRule="auto"/>
      <w:ind w:left="504" w:right="504"/>
    </w:pPr>
    <w:rPr>
      <w:rFonts w:ascii="Aptos" w:hAnsi="Aptos"/>
      <w:i/>
      <w:color w:val="1F364C"/>
      <w:sz w:val="23"/>
    </w:rPr>
  </w:style>
  <w:style w:type="paragraph" w:customStyle="1" w:styleId="IHBAProjectTitle">
    <w:name w:val="IHBA Project Title"/>
    <w:pPr>
      <w:spacing w:after="40"/>
    </w:pPr>
    <w:rPr>
      <w:rFonts w:ascii="Aptos Display" w:hAnsi="Aptos Display"/>
      <w:b/>
      <w:color w:val="1F364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IHBA Website Content Draft</dc:title>
  <dc:subject>Website content for International Humanity Bridge</dc:subject>
  <dc:creator>International Humanity Bridge (IHBA)</dc:creator>
  <cp:keywords>IHBA, humanitarian aid, education, sustainable development</cp:keywords>
  <dc:description>generated by python-docx</dc:description>
  <cp:lastModifiedBy/>
  <cp:revision>1</cp:revision>
  <dcterms:created xsi:type="dcterms:W3CDTF">2013-12-23T23:15:00Z</dcterms:created>
  <dcterms:modified xsi:type="dcterms:W3CDTF">2013-12-23T23:15:00Z</dcterms:modified>
  <cp:category/>
</cp:coreProperties>
</file>