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150"/>
        <w:jc w:val="center"/>
      </w:pPr>
      <w:r>
        <w:rPr>
          <w:b/>
          <w:bCs/>
          <w:color w:val="1E3A8A"/>
          <w:sz w:val="48"/>
          <w:szCs w:val="48"/>
        </w:rPr>
        <w:t xml:space="preserve">MCD INFINITY API &amp; TEMENOS TRANSACT</w:t>
      </w:r>
    </w:p>
    <w:p>
      <w:pPr>
        <w:spacing w:after="250"/>
        <w:jc w:val="center"/>
      </w:pPr>
      <w:r>
        <w:rPr>
          <w:b/>
          <w:bCs/>
          <w:color w:val="0284C7"/>
          <w:sz w:val="36"/>
          <w:szCs w:val="36"/>
        </w:rPr>
        <w:t xml:space="preserve">CORE BANKING INTEGRATION SPECIFICATION</w:t>
      </w:r>
    </w:p>
    <w:p>
      <w:pPr>
        <w:spacing w:after="600"/>
        <w:jc w:val="center"/>
      </w:pPr>
      <w:r>
        <w:rPr>
          <w:i/>
          <w:iCs/>
          <w:color w:val="4B5563"/>
          <w:sz w:val="24"/>
          <w:szCs w:val="24"/>
        </w:rPr>
        <w:t xml:space="preserve">Comprehensive System Architecture, Sequence Flows, In-Memory Storage Engine, Data Models, and Complete Technical API Catalog</w:t>
      </w:r>
    </w:p>
    <w:tbl>
      <w:tblPr>
        <w:tblW w:type="pct" w:w="5000"/>
        <w:tblBorders>
          <w:top w:val="single" w:color="0284C7" w:sz="4"/>
          <w:left w:val="single" w:color="0284C7" w:sz="24"/>
          <w:bottom w:val="single" w:color="0284C7" w:sz="4"/>
          <w:right w:val="single" w:color="0284C7" w:sz="4"/>
          <w:insideH w:val="single" w:color="auto" w:sz="4"/>
          <w:insideV w:val="single" w:color="auto" w:sz="4"/>
        </w:tblBorders>
      </w:tblPr>
      <w:tblGrid>
        <w:gridCol w:w="9026"/>
      </w:tblGrid>
      <w:tr>
        <w:tc>
          <w:tcPr>
            <w:shd w:fill="F0F9FF" w:val="clear"/>
            <w:tcMar>
              <w:top w:type="dxa" w:w="140"/>
              <w:left w:type="dxa" w:w="180"/>
              <w:bottom w:type="dxa" w:w="140"/>
              <w:right w:type="dxa" w:w="180"/>
            </w:tcMar>
          </w:tcPr>
          <w:p>
            <w:pPr>
              <w:spacing w:after="60"/>
            </w:pPr>
            <w:r>
              <w:rPr>
                <w:b/>
                <w:bCs/>
                <w:color w:val="0369A1"/>
                <w:sz w:val="22"/>
                <w:szCs w:val="22"/>
              </w:rPr>
              <w:t xml:space="preserve">DOCUMENT RELEASE METRICS</w:t>
            </w:r>
          </w:p>
          <w:p>
            <w:pPr>
              <w:spacing w:after="0"/>
            </w:pPr>
            <w:r>
              <w:rPr>
                <w:color w:val="1F2937"/>
                <w:sz w:val="21"/>
                <w:szCs w:val="21"/>
              </w:rPr>
              <w:t xml:space="preserve">Document Version: 2.1.0 (Production Release)
System Target: MCD Infinity Banking Core &amp; Temenos Transact v5.1.0
Integration Endpoints: Temenos IRF Provider (party/customers) &amp; MCD Microservices
Test Suite Coverage: 36/36 Automated In-Process Suites Passing
Repository: https://github.com/AliAdil/mcd-infinity-api
Author: Antigravity AI &amp; Ali Adil
Date of Publication: October 2026</w:t>
            </w:r>
          </w:p>
        </w:tc>
      </w:tr>
    </w:tbl>
    <w:p>
      <w:pPr>
        <w:spacing w:after="100" w:before="400"/>
      </w:pP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3159"/>
        <w:gridCol w:w="5867"/>
      </w:tblGrid>
      <w:tr>
        <w:trPr>
          <w:tblHeader/>
        </w:trPr>
        <w:tc>
          <w:tcPr>
            <w:tcW w:type="pct" w:w="1750"/>
            <w:shd w:fill="1E293B" w:val="clear"/>
            <w:tcMar>
              <w:top w:type="dxa" w:w="120"/>
              <w:left w:type="dxa" w:w="140"/>
              <w:bottom w:type="dxa" w:w="120"/>
              <w:right w:type="dxa" w:w="140"/>
            </w:tcMar>
          </w:tcPr>
          <w:p>
            <w:r>
              <w:rPr>
                <w:b/>
                <w:bCs/>
                <w:color w:val="FFFFFF"/>
                <w:sz w:val="20"/>
                <w:szCs w:val="20"/>
              </w:rPr>
              <w:t xml:space="preserve">Document Property</w:t>
            </w:r>
          </w:p>
        </w:tc>
        <w:tc>
          <w:tcPr>
            <w:tcW w:type="pct" w:w="3250"/>
            <w:shd w:fill="1E293B" w:val="clear"/>
            <w:tcMar>
              <w:top w:type="dxa" w:w="120"/>
              <w:left w:type="dxa" w:w="140"/>
              <w:bottom w:type="dxa" w:w="120"/>
              <w:right w:type="dxa" w:w="140"/>
            </w:tcMar>
          </w:tcPr>
          <w:p>
            <w:r>
              <w:rPr>
                <w:b/>
                <w:bCs/>
                <w:color w:val="FFFFFF"/>
                <w:sz w:val="20"/>
                <w:szCs w:val="20"/>
              </w:rPr>
              <w:t xml:space="preserve">Specification Details</w:t>
            </w:r>
          </w:p>
        </w:tc>
      </w:tr>
      <w:tr>
        <w:tc>
          <w:tcPr>
            <w:tcW w:type="pct" w:w="1750"/>
            <w:shd w:fill="FFFFFF" w:val="clear"/>
            <w:tcMar>
              <w:top w:type="dxa" w:w="100"/>
              <w:left w:type="dxa" w:w="140"/>
              <w:bottom w:type="dxa" w:w="100"/>
              <w:right w:type="dxa" w:w="140"/>
            </w:tcMar>
          </w:tcPr>
          <w:p>
            <w:r>
              <w:rPr>
                <w:color w:val="1F2937"/>
                <w:sz w:val="20"/>
                <w:szCs w:val="20"/>
              </w:rPr>
              <w:t xml:space="preserve">Application Name</w:t>
            </w:r>
          </w:p>
        </w:tc>
        <w:tc>
          <w:tcPr>
            <w:tcW w:type="pct" w:w="3250"/>
            <w:shd w:fill="FFFFFF" w:val="clear"/>
            <w:tcMar>
              <w:top w:type="dxa" w:w="100"/>
              <w:left w:type="dxa" w:w="140"/>
              <w:bottom w:type="dxa" w:w="100"/>
              <w:right w:type="dxa" w:w="140"/>
            </w:tcMar>
          </w:tcPr>
          <w:p>
            <w:r>
              <w:rPr>
                <w:color w:val="1F2937"/>
                <w:sz w:val="20"/>
                <w:szCs w:val="20"/>
              </w:rPr>
              <w:t xml:space="preserve">MCD Infinity Banking API &amp; Administration Gateway</w:t>
            </w:r>
          </w:p>
        </w:tc>
      </w:tr>
      <w:tr>
        <w:tc>
          <w:tcPr>
            <w:tcW w:type="pct" w:w="1750"/>
            <w:shd w:fill="F8FAFC" w:val="clear"/>
            <w:tcMar>
              <w:top w:type="dxa" w:w="100"/>
              <w:left w:type="dxa" w:w="140"/>
              <w:bottom w:type="dxa" w:w="100"/>
              <w:right w:type="dxa" w:w="140"/>
            </w:tcMar>
          </w:tcPr>
          <w:p>
            <w:r>
              <w:rPr>
                <w:color w:val="1F2937"/>
                <w:sz w:val="20"/>
                <w:szCs w:val="20"/>
              </w:rPr>
              <w:t xml:space="preserve">Runtime Environment</w:t>
            </w:r>
          </w:p>
        </w:tc>
        <w:tc>
          <w:tcPr>
            <w:tcW w:type="pct" w:w="3250"/>
            <w:shd w:fill="F8FAFC" w:val="clear"/>
            <w:tcMar>
              <w:top w:type="dxa" w:w="100"/>
              <w:left w:type="dxa" w:w="140"/>
              <w:bottom w:type="dxa" w:w="100"/>
              <w:right w:type="dxa" w:w="140"/>
            </w:tcMar>
          </w:tcPr>
          <w:p>
            <w:r>
              <w:rPr>
                <w:color w:val="1F2937"/>
                <w:sz w:val="20"/>
                <w:szCs w:val="20"/>
              </w:rPr>
              <w:t xml:space="preserve">Node.js v20+ ESM (Native ECMAScript Modules)</w:t>
            </w:r>
          </w:p>
        </w:tc>
      </w:tr>
      <w:tr>
        <w:tc>
          <w:tcPr>
            <w:tcW w:type="pct" w:w="1750"/>
            <w:shd w:fill="FFFFFF" w:val="clear"/>
            <w:tcMar>
              <w:top w:type="dxa" w:w="100"/>
              <w:left w:type="dxa" w:w="140"/>
              <w:bottom w:type="dxa" w:w="100"/>
              <w:right w:type="dxa" w:w="140"/>
            </w:tcMar>
          </w:tcPr>
          <w:p>
            <w:r>
              <w:rPr>
                <w:color w:val="1F2937"/>
                <w:sz w:val="20"/>
                <w:szCs w:val="20"/>
              </w:rPr>
              <w:t xml:space="preserve">Host &amp; Port</w:t>
            </w:r>
          </w:p>
        </w:tc>
        <w:tc>
          <w:tcPr>
            <w:tcW w:type="pct" w:w="3250"/>
            <w:shd w:fill="FFFFFF" w:val="clear"/>
            <w:tcMar>
              <w:top w:type="dxa" w:w="100"/>
              <w:left w:type="dxa" w:w="140"/>
              <w:bottom w:type="dxa" w:w="100"/>
              <w:right w:type="dxa" w:w="140"/>
            </w:tcMar>
          </w:tcPr>
          <w:p>
            <w:r>
              <w:rPr>
                <w:color w:val="1F2937"/>
                <w:sz w:val="20"/>
                <w:szCs w:val="20"/>
              </w:rPr>
              <w:t xml:space="preserve">http://localhost:3000 / Live Custom Domain: api.adilloopgames.com</w:t>
            </w:r>
          </w:p>
        </w:tc>
      </w:tr>
      <w:tr>
        <w:tc>
          <w:tcPr>
            <w:tcW w:type="pct" w:w="1750"/>
            <w:shd w:fill="F8FAFC" w:val="clear"/>
            <w:tcMar>
              <w:top w:type="dxa" w:w="100"/>
              <w:left w:type="dxa" w:w="140"/>
              <w:bottom w:type="dxa" w:w="100"/>
              <w:right w:type="dxa" w:w="140"/>
            </w:tcMar>
          </w:tcPr>
          <w:p>
            <w:r>
              <w:rPr>
                <w:color w:val="1F2937"/>
                <w:sz w:val="20"/>
                <w:szCs w:val="20"/>
              </w:rPr>
              <w:t xml:space="preserve">Core Banking System</w:t>
            </w:r>
          </w:p>
        </w:tc>
        <w:tc>
          <w:tcPr>
            <w:tcW w:type="pct" w:w="3250"/>
            <w:shd w:fill="F8FAFC" w:val="clear"/>
            <w:tcMar>
              <w:top w:type="dxa" w:w="100"/>
              <w:left w:type="dxa" w:w="140"/>
              <w:bottom w:type="dxa" w:w="100"/>
              <w:right w:type="dxa" w:w="140"/>
            </w:tcMar>
          </w:tcPr>
          <w:p>
            <w:r>
              <w:rPr>
                <w:color w:val="1F2937"/>
                <w:sz w:val="20"/>
                <w:szCs w:val="20"/>
              </w:rPr>
              <w:t xml:space="preserve">Temenos Transact Core Banking (T24 IRF Container v5.1.0)</w:t>
            </w:r>
          </w:p>
        </w:tc>
      </w:tr>
      <w:tr>
        <w:tc>
          <w:tcPr>
            <w:tcW w:type="pct" w:w="1750"/>
            <w:shd w:fill="FFFFFF" w:val="clear"/>
            <w:tcMar>
              <w:top w:type="dxa" w:w="100"/>
              <w:left w:type="dxa" w:w="140"/>
              <w:bottom w:type="dxa" w:w="100"/>
              <w:right w:type="dxa" w:w="140"/>
            </w:tcMar>
          </w:tcPr>
          <w:p>
            <w:r>
              <w:rPr>
                <w:color w:val="1F2937"/>
                <w:sz w:val="20"/>
                <w:szCs w:val="20"/>
              </w:rPr>
              <w:t xml:space="preserve">Persistence Model</w:t>
            </w:r>
          </w:p>
        </w:tc>
        <w:tc>
          <w:tcPr>
            <w:tcW w:type="pct" w:w="3250"/>
            <w:shd w:fill="FFFFFF" w:val="clear"/>
            <w:tcMar>
              <w:top w:type="dxa" w:w="100"/>
              <w:left w:type="dxa" w:w="140"/>
              <w:bottom w:type="dxa" w:w="100"/>
              <w:right w:type="dxa" w:w="140"/>
            </w:tcMar>
          </w:tcPr>
          <w:p>
            <w:r>
              <w:rPr>
                <w:color w:val="1F2937"/>
                <w:sz w:val="20"/>
                <w:szCs w:val="20"/>
              </w:rPr>
              <w:t xml:space="preserve">In-Memory High-Speed Cache + Atomic File-Sync (db.json / db.backup.json)</w:t>
            </w:r>
          </w:p>
        </w:tc>
      </w:tr>
      <w:tr>
        <w:tc>
          <w:tcPr>
            <w:tcW w:type="pct" w:w="1750"/>
            <w:shd w:fill="F8FAFC" w:val="clear"/>
            <w:tcMar>
              <w:top w:type="dxa" w:w="100"/>
              <w:left w:type="dxa" w:w="140"/>
              <w:bottom w:type="dxa" w:w="100"/>
              <w:right w:type="dxa" w:w="140"/>
            </w:tcMar>
          </w:tcPr>
          <w:p>
            <w:r>
              <w:rPr>
                <w:color w:val="1F2937"/>
                <w:sz w:val="20"/>
                <w:szCs w:val="20"/>
              </w:rPr>
              <w:t xml:space="preserve">Security Architecture</w:t>
            </w:r>
          </w:p>
        </w:tc>
        <w:tc>
          <w:tcPr>
            <w:tcW w:type="pct" w:w="3250"/>
            <w:shd w:fill="F8FAFC" w:val="clear"/>
            <w:tcMar>
              <w:top w:type="dxa" w:w="100"/>
              <w:left w:type="dxa" w:w="140"/>
              <w:bottom w:type="dxa" w:w="100"/>
              <w:right w:type="dxa" w:w="140"/>
            </w:tcMar>
          </w:tcPr>
          <w:p>
            <w:r>
              <w:rPr>
                <w:color w:val="1F2937"/>
                <w:sz w:val="20"/>
                <w:szCs w:val="20"/>
              </w:rPr>
              <w:t xml:space="preserve">OAuth2 Bearer JWT Token + ApplicationGateway Sticky Cookies</w:t>
            </w:r>
          </w:p>
        </w:tc>
      </w:tr>
      <w:tr>
        <w:tc>
          <w:tcPr>
            <w:tcW w:type="pct" w:w="1750"/>
            <w:shd w:fill="FFFFFF" w:val="clear"/>
            <w:tcMar>
              <w:top w:type="dxa" w:w="100"/>
              <w:left w:type="dxa" w:w="140"/>
              <w:bottom w:type="dxa" w:w="100"/>
              <w:right w:type="dxa" w:w="140"/>
            </w:tcMar>
          </w:tcPr>
          <w:p>
            <w:r>
              <w:rPr>
                <w:color w:val="1F2937"/>
                <w:sz w:val="20"/>
                <w:szCs w:val="20"/>
              </w:rPr>
              <w:t xml:space="preserve">Compliance Standards</w:t>
            </w:r>
          </w:p>
        </w:tc>
        <w:tc>
          <w:tcPr>
            <w:tcW w:type="pct" w:w="3250"/>
            <w:shd w:fill="FFFFFF" w:val="clear"/>
            <w:tcMar>
              <w:top w:type="dxa" w:w="100"/>
              <w:left w:type="dxa" w:w="140"/>
              <w:bottom w:type="dxa" w:w="100"/>
              <w:right w:type="dxa" w:w="140"/>
            </w:tcMar>
          </w:tcPr>
          <w:p>
            <w:r>
              <w:rPr>
                <w:color w:val="1F2937"/>
                <w:sz w:val="20"/>
                <w:szCs w:val="20"/>
              </w:rPr>
              <w:t xml:space="preserve">Lithuanian State Registry (PersonalCode GYYMMDDXXXX), SWIFT ISO 15022 / 20022</w:t>
            </w:r>
          </w:p>
        </w:tc>
      </w:tr>
    </w:tbl>
    <w:p>
      <w:pPr>
        <w:pStyle w:val="Heading1"/>
        <w:spacing w:after="200" w:before="400"/>
      </w:pPr>
      <w:r>
        <w:t xml:space="preserve">1. Executive Overview &amp; System Architecture</w:t>
      </w:r>
    </w:p>
    <w:p>
      <w:pPr>
        <w:spacing w:after="120"/>
        <w:jc w:val="left"/>
      </w:pPr>
      <w:r>
        <w:rPr>
          <w:b w:val="false"/>
          <w:bCs w:val="false"/>
          <w:i w:val="false"/>
          <w:iCs w:val="false"/>
          <w:color w:val="1F2937"/>
          <w:sz w:val="22"/>
          <w:szCs w:val="22"/>
        </w:rPr>
        <w:t xml:space="preserve">The MCD Infinity API Server is an enterprise-grade banking middleware designed to provide full-fidelity REST microservices matching the MCD Digital Onboarding specification while seamlessly orchestrating real-time customer provisioning in the Temenos Transact (formerly T24) Core Banking platform.</w:t>
      </w:r>
    </w:p>
    <w:p>
      <w:pPr>
        <w:spacing w:after="120"/>
        <w:jc w:val="left"/>
      </w:pPr>
      <w:r>
        <w:rPr>
          <w:b w:val="false"/>
          <w:bCs w:val="false"/>
          <w:i w:val="false"/>
          <w:iCs w:val="false"/>
          <w:color w:val="1F2937"/>
          <w:sz w:val="22"/>
          <w:szCs w:val="22"/>
        </w:rPr>
        <w:t xml:space="preserve">The system operates as a hybrid architecture: it maintains high-throughput in-memory data structures for sub-millisecond query responses, guarantees fault-tolerant persistence using an atomic double-write file synchronization protocol, and automatically bridges external customer records into Temenos Transact.</w:t>
      </w:r>
    </w:p>
    <w:p>
      <w:pPr>
        <w:pStyle w:val="Heading2"/>
        <w:spacing w:after="150" w:before="300"/>
      </w:pPr>
      <w:r>
        <w:t xml:space="preserve">1.1 Architecture Topology</w:t>
      </w:r>
    </w:p>
    <w:p>
      <w:pPr>
        <w:spacing w:after="120"/>
        <w:jc w:val="left"/>
      </w:pPr>
      <w:r>
        <w:rPr>
          <w:b w:val="false"/>
          <w:bCs w:val="false"/>
          <w:i w:val="false"/>
          <w:iCs w:val="false"/>
          <w:color w:val="1F2937"/>
          <w:sz w:val="22"/>
          <w:szCs w:val="22"/>
        </w:rPr>
        <w:t xml:space="preserve">The end-to-end topology comprises four major decoupled layers:</w:t>
      </w:r>
    </w:p>
    <w:p>
      <w:pPr>
        <w:pStyle w:val="ListParagraph"/>
        <w:numPr>
          <w:ilvl w:val="0"/>
          <w:numId w:val="1"/>
        </w:numPr>
        <w:spacing w:after="80"/>
      </w:pPr>
      <w:r>
        <w:rPr>
          <w:b/>
          <w:bCs/>
          <w:color w:val="1F2937"/>
          <w:sz w:val="22"/>
          <w:szCs w:val="22"/>
        </w:rPr>
        <w:t xml:space="preserve">1. Client Layer: </w:t>
      </w:r>
      <w:r>
        <w:rPr>
          <w:color w:val="1F2937"/>
          <w:sz w:val="22"/>
          <w:szCs w:val="22"/>
        </w:rPr>
        <w:t xml:space="preserve">Front-End Presentation &amp; Management Layer: Single-Page Application (SPA) dashboard embedded directly into the server, offering real-time collection telemetry, raw JSON inspectors, modal editing, and randomized prospect generation with live re-roll capability.</w:t>
      </w:r>
    </w:p>
    <w:p>
      <w:pPr>
        <w:pStyle w:val="ListParagraph"/>
        <w:numPr>
          <w:ilvl w:val="0"/>
          <w:numId w:val="1"/>
        </w:numPr>
        <w:spacing w:after="80"/>
      </w:pPr>
      <w:r>
        <w:rPr>
          <w:b/>
          <w:bCs/>
          <w:color w:val="1F2937"/>
          <w:sz w:val="22"/>
          <w:szCs w:val="22"/>
        </w:rPr>
        <w:t xml:space="preserve">2. Gateway Layer: </w:t>
      </w:r>
      <w:r>
        <w:rPr>
          <w:color w:val="1F2937"/>
          <w:sz w:val="22"/>
          <w:szCs w:val="22"/>
        </w:rPr>
        <w:t xml:space="preserve">API Gateway &amp; Router Layer: Native Node.js HTTP server handling request routing, CORS preflights, query/body parsing, header extraction, and error virtualization.</w:t>
      </w:r>
    </w:p>
    <w:p>
      <w:pPr>
        <w:pStyle w:val="ListParagraph"/>
        <w:numPr>
          <w:ilvl w:val="0"/>
          <w:numId w:val="1"/>
        </w:numPr>
        <w:spacing w:after="80"/>
      </w:pPr>
      <w:r>
        <w:rPr>
          <w:b/>
          <w:bCs/>
          <w:color w:val="1F2937"/>
          <w:sz w:val="22"/>
          <w:szCs w:val="22"/>
        </w:rPr>
        <w:t xml:space="preserve">3. Data Layer: </w:t>
      </w:r>
      <w:r>
        <w:rPr>
          <w:color w:val="1F2937"/>
          <w:sz w:val="22"/>
          <w:szCs w:val="22"/>
        </w:rPr>
        <w:t xml:space="preserve">Dual-Tier Persistence Engine: Ultra-fast in-memory ECMAScript Map collections synchronized atomically to db.json and db.backup.json upon every write mutation, backed by sequence counter discovery.</w:t>
      </w:r>
    </w:p>
    <w:p>
      <w:pPr>
        <w:pStyle w:val="ListParagraph"/>
        <w:numPr>
          <w:ilvl w:val="0"/>
          <w:numId w:val="1"/>
        </w:numPr>
        <w:spacing w:after="80"/>
      </w:pPr>
      <w:r>
        <w:rPr>
          <w:b/>
          <w:bCs/>
          <w:color w:val="1F2937"/>
          <w:sz w:val="22"/>
          <w:szCs w:val="22"/>
        </w:rPr>
        <w:t xml:space="preserve">4. Transact Core Layer: </w:t>
      </w:r>
      <w:r>
        <w:rPr>
          <w:color w:val="1F2937"/>
          <w:sz w:val="22"/>
          <w:szCs w:val="22"/>
        </w:rPr>
        <w:t xml:space="preserve">External Core Banking Gateway: Integration pipeline connecting to Temenos Transact (http://192.168.1.157:8085/irf-provider-container/api/v5.1.0/party/customers) with automated SWIFT-safe sanitization, SSN formatting, and phone IDD separation.</w:t>
      </w:r>
    </w:p>
    <w:p>
      <w:pPr>
        <w:pStyle w:val="Heading2"/>
        <w:spacing w:after="150" w:before="300"/>
      </w:pPr>
      <w:r>
        <w:t xml:space="preserve">1.2 High-Level System Architecture Table</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2257"/>
        <w:gridCol w:w="2708"/>
        <w:gridCol w:w="4062"/>
      </w:tblGrid>
      <w:tr>
        <w:trPr>
          <w:tblHeader/>
        </w:trPr>
        <w:tc>
          <w:tcPr>
            <w:tcW w:type="pct" w:w="1250"/>
            <w:shd w:fill="1E293B" w:val="clear"/>
            <w:tcMar>
              <w:top w:type="dxa" w:w="120"/>
              <w:left w:type="dxa" w:w="140"/>
              <w:bottom w:type="dxa" w:w="120"/>
              <w:right w:type="dxa" w:w="140"/>
            </w:tcMar>
          </w:tcPr>
          <w:p>
            <w:r>
              <w:rPr>
                <w:b/>
                <w:bCs/>
                <w:color w:val="FFFFFF"/>
                <w:sz w:val="20"/>
                <w:szCs w:val="20"/>
              </w:rPr>
              <w:t xml:space="preserve">Component</w:t>
            </w:r>
          </w:p>
        </w:tc>
        <w:tc>
          <w:tcPr>
            <w:tcW w:type="pct" w:w="1500"/>
            <w:shd w:fill="1E293B" w:val="clear"/>
            <w:tcMar>
              <w:top w:type="dxa" w:w="120"/>
              <w:left w:type="dxa" w:w="140"/>
              <w:bottom w:type="dxa" w:w="120"/>
              <w:right w:type="dxa" w:w="140"/>
            </w:tcMar>
          </w:tcPr>
          <w:p>
            <w:r>
              <w:rPr>
                <w:b/>
                <w:bCs/>
                <w:color w:val="FFFFFF"/>
                <w:sz w:val="20"/>
                <w:szCs w:val="20"/>
              </w:rPr>
              <w:t xml:space="preserve">Technology</w:t>
            </w:r>
          </w:p>
        </w:tc>
        <w:tc>
          <w:tcPr>
            <w:tcW w:type="pct" w:w="2250"/>
            <w:shd w:fill="1E293B" w:val="clear"/>
            <w:tcMar>
              <w:top w:type="dxa" w:w="120"/>
              <w:left w:type="dxa" w:w="140"/>
              <w:bottom w:type="dxa" w:w="120"/>
              <w:right w:type="dxa" w:w="140"/>
            </w:tcMar>
          </w:tcPr>
          <w:p>
            <w:r>
              <w:rPr>
                <w:b/>
                <w:bCs/>
                <w:color w:val="FFFFFF"/>
                <w:sz w:val="20"/>
                <w:szCs w:val="20"/>
              </w:rPr>
              <w:t xml:space="preserve">Role &amp; Responsibility</w:t>
            </w:r>
          </w:p>
        </w:tc>
      </w:tr>
      <w:tr>
        <w:tc>
          <w:tcPr>
            <w:tcW w:type="pct" w:w="1250"/>
            <w:shd w:fill="FFFFFF" w:val="clear"/>
            <w:tcMar>
              <w:top w:type="dxa" w:w="100"/>
              <w:left w:type="dxa" w:w="140"/>
              <w:bottom w:type="dxa" w:w="100"/>
              <w:right w:type="dxa" w:w="140"/>
            </w:tcMar>
          </w:tcPr>
          <w:p>
            <w:r>
              <w:rPr>
                <w:color w:val="1F2937"/>
                <w:sz w:val="20"/>
                <w:szCs w:val="20"/>
              </w:rPr>
              <w:t xml:space="preserve">MCD Web Console</w:t>
            </w:r>
          </w:p>
        </w:tc>
        <w:tc>
          <w:tcPr>
            <w:tcW w:type="pct" w:w="1500"/>
            <w:shd w:fill="FFFFFF" w:val="clear"/>
            <w:tcMar>
              <w:top w:type="dxa" w:w="100"/>
              <w:left w:type="dxa" w:w="140"/>
              <w:bottom w:type="dxa" w:w="100"/>
              <w:right w:type="dxa" w:w="140"/>
            </w:tcMar>
          </w:tcPr>
          <w:p>
            <w:r>
              <w:rPr>
                <w:color w:val="1F2937"/>
                <w:sz w:val="20"/>
                <w:szCs w:val="20"/>
              </w:rPr>
              <w:t xml:space="preserve">HTML5 / CSS3 / Vanilla JS SPA</w:t>
            </w:r>
          </w:p>
        </w:tc>
        <w:tc>
          <w:tcPr>
            <w:tcW w:type="pct" w:w="2250"/>
            <w:shd w:fill="FFFFFF" w:val="clear"/>
            <w:tcMar>
              <w:top w:type="dxa" w:w="100"/>
              <w:left w:type="dxa" w:w="140"/>
              <w:bottom w:type="dxa" w:w="100"/>
              <w:right w:type="dxa" w:w="140"/>
            </w:tcMar>
          </w:tcPr>
          <w:p>
            <w:r>
              <w:rPr>
                <w:color w:val="1F2937"/>
                <w:sz w:val="20"/>
                <w:szCs w:val="20"/>
              </w:rPr>
              <w:t xml:space="preserve">Admin dashboard, live table browsing, JSON inspector, modal editor, dynamic data randomizer.</w:t>
            </w:r>
          </w:p>
        </w:tc>
      </w:tr>
      <w:tr>
        <w:tc>
          <w:tcPr>
            <w:tcW w:type="pct" w:w="1250"/>
            <w:shd w:fill="F8FAFC" w:val="clear"/>
            <w:tcMar>
              <w:top w:type="dxa" w:w="100"/>
              <w:left w:type="dxa" w:w="140"/>
              <w:bottom w:type="dxa" w:w="100"/>
              <w:right w:type="dxa" w:w="140"/>
            </w:tcMar>
          </w:tcPr>
          <w:p>
            <w:r>
              <w:rPr>
                <w:color w:val="1F2937"/>
                <w:sz w:val="20"/>
                <w:szCs w:val="20"/>
              </w:rPr>
              <w:t xml:space="preserve">HTTP Router</w:t>
            </w:r>
          </w:p>
        </w:tc>
        <w:tc>
          <w:tcPr>
            <w:tcW w:type="pct" w:w="1500"/>
            <w:shd w:fill="F8FAFC" w:val="clear"/>
            <w:tcMar>
              <w:top w:type="dxa" w:w="100"/>
              <w:left w:type="dxa" w:w="140"/>
              <w:bottom w:type="dxa" w:w="100"/>
              <w:right w:type="dxa" w:w="140"/>
            </w:tcMar>
          </w:tcPr>
          <w:p>
            <w:r>
              <w:rPr>
                <w:color w:val="1F2937"/>
                <w:sz w:val="20"/>
                <w:szCs w:val="20"/>
              </w:rPr>
              <w:t xml:space="preserve">Node.js Native HTTP / URL parser</w:t>
            </w:r>
          </w:p>
        </w:tc>
        <w:tc>
          <w:tcPr>
            <w:tcW w:type="pct" w:w="2250"/>
            <w:shd w:fill="F8FAFC" w:val="clear"/>
            <w:tcMar>
              <w:top w:type="dxa" w:w="100"/>
              <w:left w:type="dxa" w:w="140"/>
              <w:bottom w:type="dxa" w:w="100"/>
              <w:right w:type="dxa" w:w="140"/>
            </w:tcMar>
          </w:tcPr>
          <w:p>
            <w:r>
              <w:rPr>
                <w:color w:val="1F2937"/>
                <w:sz w:val="20"/>
                <w:szCs w:val="20"/>
              </w:rPr>
              <w:t xml:space="preserve">Dispatches 24 REST routes, parses JSON payloads, handles CORS, and returns unified status codes.</w:t>
            </w:r>
          </w:p>
        </w:tc>
      </w:tr>
      <w:tr>
        <w:tc>
          <w:tcPr>
            <w:tcW w:type="pct" w:w="1250"/>
            <w:shd w:fill="FFFFFF" w:val="clear"/>
            <w:tcMar>
              <w:top w:type="dxa" w:w="100"/>
              <w:left w:type="dxa" w:w="140"/>
              <w:bottom w:type="dxa" w:w="100"/>
              <w:right w:type="dxa" w:w="140"/>
            </w:tcMar>
          </w:tcPr>
          <w:p>
            <w:r>
              <w:rPr>
                <w:color w:val="1F2937"/>
                <w:sz w:val="20"/>
                <w:szCs w:val="20"/>
              </w:rPr>
              <w:t xml:space="preserve">In-Memory DB</w:t>
            </w:r>
          </w:p>
        </w:tc>
        <w:tc>
          <w:tcPr>
            <w:tcW w:type="pct" w:w="1500"/>
            <w:shd w:fill="FFFFFF" w:val="clear"/>
            <w:tcMar>
              <w:top w:type="dxa" w:w="100"/>
              <w:left w:type="dxa" w:w="140"/>
              <w:bottom w:type="dxa" w:w="100"/>
              <w:right w:type="dxa" w:w="140"/>
            </w:tcMar>
          </w:tcPr>
          <w:p>
            <w:r>
              <w:rPr>
                <w:color w:val="1F2937"/>
                <w:sz w:val="20"/>
                <w:szCs w:val="20"/>
              </w:rPr>
              <w:t xml:space="preserve">JavaScript Map collections</w:t>
            </w:r>
          </w:p>
        </w:tc>
        <w:tc>
          <w:tcPr>
            <w:tcW w:type="pct" w:w="2250"/>
            <w:shd w:fill="FFFFFF" w:val="clear"/>
            <w:tcMar>
              <w:top w:type="dxa" w:w="100"/>
              <w:left w:type="dxa" w:w="140"/>
              <w:bottom w:type="dxa" w:w="100"/>
              <w:right w:type="dxa" w:w="140"/>
            </w:tcMar>
          </w:tcPr>
          <w:p>
            <w:r>
              <w:rPr>
                <w:color w:val="1F2937"/>
                <w:sz w:val="20"/>
                <w:szCs w:val="20"/>
              </w:rPr>
              <w:t xml:space="preserve">Maintains 4 collections: PhysicalPersons, JuridicalPersons, Representatives, AccumulatedJuridicalPersons.</w:t>
            </w:r>
          </w:p>
        </w:tc>
      </w:tr>
      <w:tr>
        <w:tc>
          <w:tcPr>
            <w:tcW w:type="pct" w:w="1250"/>
            <w:shd w:fill="F8FAFC" w:val="clear"/>
            <w:tcMar>
              <w:top w:type="dxa" w:w="100"/>
              <w:left w:type="dxa" w:w="140"/>
              <w:bottom w:type="dxa" w:w="100"/>
              <w:right w:type="dxa" w:w="140"/>
            </w:tcMar>
          </w:tcPr>
          <w:p>
            <w:r>
              <w:rPr>
                <w:color w:val="1F2937"/>
                <w:sz w:val="20"/>
                <w:szCs w:val="20"/>
              </w:rPr>
              <w:t xml:space="preserve">Atomic File Sync</w:t>
            </w:r>
          </w:p>
        </w:tc>
        <w:tc>
          <w:tcPr>
            <w:tcW w:type="pct" w:w="1500"/>
            <w:shd w:fill="F8FAFC" w:val="clear"/>
            <w:tcMar>
              <w:top w:type="dxa" w:w="100"/>
              <w:left w:type="dxa" w:w="140"/>
              <w:bottom w:type="dxa" w:w="100"/>
              <w:right w:type="dxa" w:w="140"/>
            </w:tcMar>
          </w:tcPr>
          <w:p>
            <w:r>
              <w:rPr>
                <w:color w:val="1F2937"/>
                <w:sz w:val="20"/>
                <w:szCs w:val="20"/>
              </w:rPr>
              <w:t xml:space="preserve">fs.writeFileSync + renameSync</w:t>
            </w:r>
          </w:p>
        </w:tc>
        <w:tc>
          <w:tcPr>
            <w:tcW w:type="pct" w:w="2250"/>
            <w:shd w:fill="F8FAFC" w:val="clear"/>
            <w:tcMar>
              <w:top w:type="dxa" w:w="100"/>
              <w:left w:type="dxa" w:w="140"/>
              <w:bottom w:type="dxa" w:w="100"/>
              <w:right w:type="dxa" w:w="140"/>
            </w:tcMar>
          </w:tcPr>
          <w:p>
            <w:r>
              <w:rPr>
                <w:color w:val="1F2937"/>
                <w:sz w:val="20"/>
                <w:szCs w:val="20"/>
              </w:rPr>
              <w:t xml:space="preserve">Double-write pattern (db.json.tmp -&gt; db.json -&gt; db.backup.json) protecting against data corruption.</w:t>
            </w:r>
          </w:p>
        </w:tc>
      </w:tr>
      <w:tr>
        <w:tc>
          <w:tcPr>
            <w:tcW w:type="pct" w:w="1250"/>
            <w:shd w:fill="FFFFFF" w:val="clear"/>
            <w:tcMar>
              <w:top w:type="dxa" w:w="100"/>
              <w:left w:type="dxa" w:w="140"/>
              <w:bottom w:type="dxa" w:w="100"/>
              <w:right w:type="dxa" w:w="140"/>
            </w:tcMar>
          </w:tcPr>
          <w:p>
            <w:r>
              <w:rPr>
                <w:color w:val="1F2937"/>
                <w:sz w:val="20"/>
                <w:szCs w:val="20"/>
              </w:rPr>
              <w:t xml:space="preserve">Transact Bridge</w:t>
            </w:r>
          </w:p>
        </w:tc>
        <w:tc>
          <w:tcPr>
            <w:tcW w:type="pct" w:w="1500"/>
            <w:shd w:fill="FFFFFF" w:val="clear"/>
            <w:tcMar>
              <w:top w:type="dxa" w:w="100"/>
              <w:left w:type="dxa" w:w="140"/>
              <w:bottom w:type="dxa" w:w="100"/>
              <w:right w:type="dxa" w:w="140"/>
            </w:tcMar>
          </w:tcPr>
          <w:p>
            <w:r>
              <w:rPr>
                <w:color w:val="1F2937"/>
                <w:sz w:val="20"/>
                <w:szCs w:val="20"/>
              </w:rPr>
              <w:t xml:space="preserve">Fetch API / Bearer Token / Cookie</w:t>
            </w:r>
          </w:p>
        </w:tc>
        <w:tc>
          <w:tcPr>
            <w:tcW w:type="pct" w:w="2250"/>
            <w:shd w:fill="FFFFFF" w:val="clear"/>
            <w:tcMar>
              <w:top w:type="dxa" w:w="100"/>
              <w:left w:type="dxa" w:w="140"/>
              <w:bottom w:type="dxa" w:w="100"/>
              <w:right w:type="dxa" w:w="140"/>
            </w:tcMar>
          </w:tcPr>
          <w:p>
            <w:r>
              <w:rPr>
                <w:color w:val="1F2937"/>
                <w:sz w:val="20"/>
                <w:szCs w:val="20"/>
              </w:rPr>
              <w:t xml:space="preserve">Builds SWIFT-safe Transact payloads, generates XD mnemonics &amp; SSNs, provisions party/customers in T24.</w:t>
            </w:r>
          </w:p>
        </w:tc>
      </w:tr>
    </w:tbl>
    <w:p>
      <w:pPr>
        <w:pStyle w:val="Heading1"/>
        <w:spacing w:after="200" w:before="400"/>
      </w:pPr>
      <w:r>
        <w:t xml:space="preserve">2. Temenos Transact Core Banking Integration</w:t>
      </w:r>
    </w:p>
    <w:p>
      <w:pPr>
        <w:spacing w:after="120"/>
        <w:jc w:val="left"/>
      </w:pPr>
      <w:r>
        <w:rPr>
          <w:b w:val="false"/>
          <w:bCs w:val="false"/>
          <w:i w:val="false"/>
          <w:iCs w:val="false"/>
          <w:color w:val="1F2937"/>
          <w:sz w:val="22"/>
          <w:szCs w:val="22"/>
        </w:rPr>
        <w:t xml:space="preserve">Temenos Transact is the world-renowned core banking engine utilized by Tier-1 and regional financial institutions. The MCD Infinity API Server integrates directly with the Temenos IRF (Interaction Framework) Provider Container to establish automated customer onboarding.</w:t>
      </w:r>
    </w:p>
    <w:p>
      <w:pPr>
        <w:pStyle w:val="Heading2"/>
        <w:spacing w:after="150" w:before="300"/>
      </w:pPr>
      <w:r>
        <w:t xml:space="preserve">2.1 Transact Connection &amp; Security Protocol</w:t>
      </w:r>
    </w:p>
    <w:p>
      <w:pPr>
        <w:spacing w:after="120"/>
        <w:jc w:val="left"/>
      </w:pPr>
      <w:r>
        <w:rPr>
          <w:b w:val="false"/>
          <w:bCs w:val="false"/>
          <w:i w:val="false"/>
          <w:iCs w:val="false"/>
          <w:color w:val="1F2937"/>
          <w:sz w:val="22"/>
          <w:szCs w:val="22"/>
        </w:rPr>
        <w:t xml:space="preserve">The Transact customer creation endpoint is invoked over HTTP POST with mandatory authentication headers:</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POST http://192.168.1.157:8085/irf-provider-container/api/v5.1.0/party/customers</w:t>
            </w:r>
          </w:p>
          <w:p>
            <w:pPr>
              <w:spacing w:after="40"/>
            </w:pPr>
            <w:r>
              <w:rPr>
                <w:rFonts w:ascii="Consolas" w:cs="Consolas" w:eastAsia="Consolas" w:hAnsi="Consolas"/>
                <w:color w:val="0F172A"/>
                <w:sz w:val="19"/>
                <w:szCs w:val="19"/>
              </w:rPr>
              <w:t xml:space="preserve">Content-Type: application/json</w:t>
            </w:r>
          </w:p>
          <w:p>
            <w:pPr>
              <w:spacing w:after="40"/>
            </w:pPr>
            <w:r>
              <w:rPr>
                <w:rFonts w:ascii="Consolas" w:cs="Consolas" w:eastAsia="Consolas" w:hAnsi="Consolas"/>
                <w:color w:val="0F172A"/>
                <w:sz w:val="19"/>
                <w:szCs w:val="19"/>
              </w:rPr>
              <w:t xml:space="preserve">Accept: application/json</w:t>
            </w:r>
          </w:p>
          <w:p>
            <w:pPr>
              <w:spacing w:after="40"/>
            </w:pPr>
            <w:r>
              <w:rPr>
                <w:rFonts w:ascii="Consolas" w:cs="Consolas" w:eastAsia="Consolas" w:hAnsi="Consolas"/>
                <w:color w:val="0F172A"/>
                <w:sz w:val="19"/>
                <w:szCs w:val="19"/>
              </w:rPr>
              <w:t xml:space="preserve">Cookie: ApplicationGatewayAffinity=169ff9c6fbc8876c0b34e7b7497e23fe;ApplicationGatewayAffinityCORS=169ff9c6fbc8876c0b34e7b7497e23fe</w:t>
            </w:r>
          </w:p>
          <w:p>
            <w:pPr>
              <w:spacing w:after="40"/>
            </w:pPr>
            <w:r>
              <w:rPr>
                <w:rFonts w:ascii="Consolas" w:cs="Consolas" w:eastAsia="Consolas" w:hAnsi="Consolas"/>
                <w:color w:val="0F172A"/>
                <w:sz w:val="19"/>
                <w:szCs w:val="19"/>
              </w:rPr>
              <w:t xml:space="preserve">Authorization: Bearer eyJhbGciOiJSUzI1NiIsInR5cCIgOiAiSldUIiwia2lkIiA6ICJWS3lBcGswWExyeC0zQUZUWVBzX1dNOG55SXN1YUFiNFVRbGhmM0VrM2ZBIn0...</w:t>
            </w:r>
          </w:p>
        </w:tc>
      </w:tr>
    </w:tbl>
    <w:p>
      <w:pPr>
        <w:pStyle w:val="Heading2"/>
        <w:spacing w:after="150" w:before="300"/>
      </w:pPr>
      <w:r>
        <w:t xml:space="preserve">2.2 SWIFT-Safe String Sanitization (toSwiftSafeString)</w:t>
      </w:r>
    </w:p>
    <w:p>
      <w:pPr>
        <w:spacing w:after="120"/>
        <w:jc w:val="left"/>
      </w:pPr>
      <w:r>
        <w:rPr>
          <w:b w:val="false"/>
          <w:bCs w:val="false"/>
          <w:i w:val="false"/>
          <w:iCs w:val="false"/>
          <w:color w:val="1F2937"/>
          <w:sz w:val="22"/>
          <w:szCs w:val="22"/>
        </w:rPr>
        <w:t xml:space="preserve">Core banking systems enforce rigorous character set validations governed by SWIFT standards (ISO 15022 / 20022). Accented characters (e.g., ą, č, ę, ė, į, š, ų, ū, ž) commonly present in Baltic names or Asian scripts will cause immediate transaction rejection in T24. The server applies unicode normalization and character decomposition:</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export function toSwiftSafeString(str, allowSpecial = "") {</w:t>
            </w:r>
          </w:p>
          <w:p>
            <w:pPr>
              <w:spacing w:after="40"/>
            </w:pPr>
            <w:r>
              <w:rPr>
                <w:rFonts w:ascii="Consolas" w:cs="Consolas" w:eastAsia="Consolas" w:hAnsi="Consolas"/>
                <w:color w:val="0F172A"/>
                <w:sz w:val="19"/>
                <w:szCs w:val="19"/>
              </w:rPr>
              <w:t xml:space="preserve">  if (!str) return "";</w:t>
            </w:r>
          </w:p>
          <w:p>
            <w:pPr>
              <w:spacing w:after="40"/>
            </w:pPr>
            <w:r>
              <w:rPr>
                <w:rFonts w:ascii="Consolas" w:cs="Consolas" w:eastAsia="Consolas" w:hAnsi="Consolas"/>
                <w:color w:val="0F172A"/>
                <w:sz w:val="19"/>
                <w:szCs w:val="19"/>
              </w:rPr>
              <w:t xml:space="preserve">  const regex = new RegExp("[^a-zA-Z0-9 .,/'-" + allowSpecial + "]", "g");</w:t>
            </w:r>
          </w:p>
          <w:p>
            <w:pPr>
              <w:spacing w:after="40"/>
            </w:pPr>
            <w:r>
              <w:rPr>
                <w:rFonts w:ascii="Consolas" w:cs="Consolas" w:eastAsia="Consolas" w:hAnsi="Consolas"/>
                <w:color w:val="0F172A"/>
                <w:sz w:val="19"/>
                <w:szCs w:val="19"/>
              </w:rPr>
              <w:t xml:space="preserve">  return String(str)</w:t>
            </w:r>
          </w:p>
          <w:p>
            <w:pPr>
              <w:spacing w:after="40"/>
            </w:pPr>
            <w:r>
              <w:rPr>
                <w:rFonts w:ascii="Consolas" w:cs="Consolas" w:eastAsia="Consolas" w:hAnsi="Consolas"/>
                <w:color w:val="0F172A"/>
                <w:sz w:val="19"/>
                <w:szCs w:val="19"/>
              </w:rPr>
              <w:t xml:space="preserve">    .normalize("NFD")</w:t>
            </w:r>
          </w:p>
          <w:p>
            <w:pPr>
              <w:spacing w:after="40"/>
            </w:pPr>
            <w:r>
              <w:rPr>
                <w:rFonts w:ascii="Consolas" w:cs="Consolas" w:eastAsia="Consolas" w:hAnsi="Consolas"/>
                <w:color w:val="0F172A"/>
                <w:sz w:val="19"/>
                <w:szCs w:val="19"/>
              </w:rPr>
              <w:t xml:space="preserve">    .replace(/[̀-ͯ]/g, "")</w:t>
            </w:r>
          </w:p>
          <w:p>
            <w:pPr>
              <w:spacing w:after="40"/>
            </w:pPr>
            <w:r>
              <w:rPr>
                <w:rFonts w:ascii="Consolas" w:cs="Consolas" w:eastAsia="Consolas" w:hAnsi="Consolas"/>
                <w:color w:val="0F172A"/>
                <w:sz w:val="19"/>
                <w:szCs w:val="19"/>
              </w:rPr>
              <w:t xml:space="preserve">    .replace(regex, "")</w:t>
            </w:r>
          </w:p>
          <w:p>
            <w:pPr>
              <w:spacing w:after="40"/>
            </w:pPr>
            <w:r>
              <w:rPr>
                <w:rFonts w:ascii="Consolas" w:cs="Consolas" w:eastAsia="Consolas" w:hAnsi="Consolas"/>
                <w:color w:val="0F172A"/>
                <w:sz w:val="19"/>
                <w:szCs w:val="19"/>
              </w:rPr>
              <w:t xml:space="preserve">    .trim();</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2.3 Social Security Number (SSN) / Tax ID Generation</w:t>
      </w:r>
    </w:p>
    <w:tbl>
      <w:tblPr>
        <w:tblW w:type="pct" w:w="5000"/>
        <w:tblBorders>
          <w:top w:val="single" w:color="10B981" w:sz="4"/>
          <w:left w:val="single" w:color="10B981" w:sz="24"/>
          <w:bottom w:val="single" w:color="10B981" w:sz="4"/>
          <w:right w:val="single" w:color="10B981" w:sz="4"/>
          <w:insideH w:val="single" w:color="auto" w:sz="4"/>
          <w:insideV w:val="single" w:color="auto" w:sz="4"/>
        </w:tblBorders>
      </w:tblPr>
      <w:tblGrid>
        <w:gridCol w:w="9026"/>
      </w:tblGrid>
      <w:tr>
        <w:tc>
          <w:tcPr>
            <w:shd w:fill="ECFDF5" w:val="clear"/>
            <w:tcMar>
              <w:top w:type="dxa" w:w="140"/>
              <w:left w:type="dxa" w:w="180"/>
              <w:bottom w:type="dxa" w:w="140"/>
              <w:right w:type="dxa" w:w="180"/>
            </w:tcMar>
          </w:tcPr>
          <w:p>
            <w:pPr>
              <w:spacing w:after="60"/>
            </w:pPr>
            <w:r>
              <w:rPr>
                <w:b/>
                <w:bCs/>
                <w:color w:val="047857"/>
                <w:sz w:val="22"/>
                <w:szCs w:val="22"/>
              </w:rPr>
              <w:t xml:space="preserve">CRITICAL FIX: Resolution of "TAX..." Gibberish in Transact</w:t>
            </w:r>
          </w:p>
          <w:p>
            <w:pPr>
              <w:spacing w:after="0"/>
            </w:pPr>
            <w:r>
              <w:rPr>
                <w:color w:val="1F2937"/>
                <w:sz w:val="21"/>
                <w:szCs w:val="21"/>
              </w:rPr>
              <w:t xml:space="preserve">Earlier iterations passed `taxIds: [{ taxId: "TAX3628092" }]`. In Temenos Transact, the customer screen displays this field as "SSN / Tax ID". The presence of the "TAX" literal prefix corrupted the core banking identity record. The system now features a dedicated generator producing clean, authentic 9-digit SSNs formatted as `XXX-XX-XXXX` (e.g., 616-41-1561), verified against live Transact runs where T24 successfully accepted and masked the number as PII.</w:t>
            </w:r>
          </w:p>
        </w:tc>
      </w:tr>
    </w:tbl>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export function generateRandomSsn() {</w:t>
            </w:r>
          </w:p>
          <w:p>
            <w:pPr>
              <w:spacing w:after="40"/>
            </w:pPr>
            <w:r>
              <w:rPr>
                <w:rFonts w:ascii="Consolas" w:cs="Consolas" w:eastAsia="Consolas" w:hAnsi="Consolas"/>
                <w:color w:val="0F172A"/>
                <w:sz w:val="19"/>
                <w:szCs w:val="19"/>
              </w:rPr>
              <w:t xml:space="preserve">  const area = String(Math.floor(100 + Math.random() * 899));</w:t>
            </w:r>
          </w:p>
          <w:p>
            <w:pPr>
              <w:spacing w:after="40"/>
            </w:pPr>
            <w:r>
              <w:rPr>
                <w:rFonts w:ascii="Consolas" w:cs="Consolas" w:eastAsia="Consolas" w:hAnsi="Consolas"/>
                <w:color w:val="0F172A"/>
                <w:sz w:val="19"/>
                <w:szCs w:val="19"/>
              </w:rPr>
              <w:t xml:space="preserve">  const group = String(Math.floor(10 + Math.random() * 89));</w:t>
            </w:r>
          </w:p>
          <w:p>
            <w:pPr>
              <w:spacing w:after="40"/>
            </w:pPr>
            <w:r>
              <w:rPr>
                <w:rFonts w:ascii="Consolas" w:cs="Consolas" w:eastAsia="Consolas" w:hAnsi="Consolas"/>
                <w:color w:val="0F172A"/>
                <w:sz w:val="19"/>
                <w:szCs w:val="19"/>
              </w:rPr>
              <w:t xml:space="preserve">  const serial = String(Math.floor(1000 + Math.random() * 8999));</w:t>
            </w:r>
          </w:p>
          <w:p>
            <w:pPr>
              <w:spacing w:after="40"/>
            </w:pPr>
            <w:r>
              <w:rPr>
                <w:rFonts w:ascii="Consolas" w:cs="Consolas" w:eastAsia="Consolas" w:hAnsi="Consolas"/>
                <w:color w:val="0F172A"/>
                <w:sz w:val="19"/>
                <w:szCs w:val="19"/>
              </w:rPr>
              <w:t xml:space="preserve">  return `${area}-${group}-${serial}`;</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2.4 Customer Mnemonic Series Generator (generateCustomerMnemonic)</w:t>
      </w:r>
    </w:p>
    <w:p>
      <w:pPr>
        <w:spacing w:after="120"/>
        <w:jc w:val="left"/>
      </w:pPr>
      <w:r>
        <w:rPr>
          <w:b w:val="false"/>
          <w:bCs w:val="false"/>
          <w:i w:val="false"/>
          <w:iCs w:val="false"/>
          <w:color w:val="1F2937"/>
          <w:sz w:val="22"/>
          <w:szCs w:val="22"/>
        </w:rPr>
        <w:t xml:space="preserve">Temenos T24 requires every customer to possess a unique, short mnemonic code for index lookups. The server generates sequential and randomized series prefixed with "XD":</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let mnemonicCounter = 100;</w:t>
            </w:r>
          </w:p>
          <w:p>
            <w:pPr>
              <w:spacing w:after="40"/>
            </w:pPr>
            <w:r>
              <w:rPr>
                <w:rFonts w:ascii="Consolas" w:cs="Consolas" w:eastAsia="Consolas" w:hAnsi="Consolas"/>
                <w:color w:val="0F172A"/>
                <w:sz w:val="19"/>
                <w:szCs w:val="19"/>
              </w:rPr>
              <w:t xml:space="preserve">export function generateCustomerMnemonic(prefix = "XD") {</w:t>
            </w:r>
          </w:p>
          <w:p>
            <w:pPr>
              <w:spacing w:after="40"/>
            </w:pPr>
            <w:r>
              <w:rPr>
                <w:rFonts w:ascii="Consolas" w:cs="Consolas" w:eastAsia="Consolas" w:hAnsi="Consolas"/>
                <w:color w:val="0F172A"/>
                <w:sz w:val="19"/>
                <w:szCs w:val="19"/>
              </w:rPr>
              <w:t xml:space="preserve">  mnemonicCounter++;</w:t>
            </w:r>
          </w:p>
          <w:p>
            <w:pPr>
              <w:spacing w:after="40"/>
            </w:pPr>
            <w:r>
              <w:rPr>
                <w:rFonts w:ascii="Consolas" w:cs="Consolas" w:eastAsia="Consolas" w:hAnsi="Consolas"/>
                <w:color w:val="0F172A"/>
                <w:sz w:val="19"/>
                <w:szCs w:val="19"/>
              </w:rPr>
              <w:t xml:space="preserve">  const randomSuffix = Math.floor(100 + Math.random() * 900);</w:t>
            </w:r>
          </w:p>
          <w:p>
            <w:pPr>
              <w:spacing w:after="40"/>
            </w:pPr>
            <w:r>
              <w:rPr>
                <w:rFonts w:ascii="Consolas" w:cs="Consolas" w:eastAsia="Consolas" w:hAnsi="Consolas"/>
                <w:color w:val="0F172A"/>
                <w:sz w:val="19"/>
                <w:szCs w:val="19"/>
              </w:rPr>
              <w:t xml:space="preserve">  return `${prefix}${mnemonicCounter}${randomSuffix}`.slice(0, 10);</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2.5 Intelligent International Phone Parser (parsePhoneNumber)</w:t>
      </w:r>
    </w:p>
    <w:p>
      <w:pPr>
        <w:spacing w:after="120"/>
        <w:jc w:val="left"/>
      </w:pPr>
      <w:r>
        <w:rPr>
          <w:b w:val="false"/>
          <w:bCs w:val="false"/>
          <w:i w:val="false"/>
          <w:iCs w:val="false"/>
          <w:color w:val="1F2937"/>
          <w:sz w:val="22"/>
          <w:szCs w:val="22"/>
        </w:rPr>
        <w:t xml:space="preserve">Transact requires phone numbers separated into an international dial prefix (iddPrefixPhone) and local subscriber number (contactData). Previous hardcoded slicing truncated country codes or destroyed the first digit of domestic numbers (e.g. +92335... became +923 and lost 3). The new regex engine isolates dial prefixes for Lithuania (+370), Pakistan (+92), USA/Canada (+1), and UK/Europe (+44, +49) with 100% precision:</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export function parsePhoneNumber(rawPhone, defaultCountry = "LT") {</w:t>
            </w:r>
          </w:p>
          <w:p>
            <w:pPr>
              <w:spacing w:after="40"/>
            </w:pPr>
            <w:r>
              <w:rPr>
                <w:rFonts w:ascii="Consolas" w:cs="Consolas" w:eastAsia="Consolas" w:hAnsi="Consolas"/>
                <w:color w:val="0F172A"/>
                <w:sz w:val="19"/>
                <w:szCs w:val="19"/>
              </w:rPr>
              <w:t xml:space="preserve">  const s = String(rawPhone).trim();</w:t>
            </w:r>
          </w:p>
          <w:p>
            <w:pPr>
              <w:spacing w:after="40"/>
            </w:pPr>
            <w:r>
              <w:rPr>
                <w:rFonts w:ascii="Consolas" w:cs="Consolas" w:eastAsia="Consolas" w:hAnsi="Consolas"/>
                <w:color w:val="0F172A"/>
                <w:sz w:val="19"/>
                <w:szCs w:val="19"/>
              </w:rPr>
              <w:t xml:space="preserve">  if (s.startsWith("+")) {</w:t>
            </w:r>
          </w:p>
          <w:p>
            <w:pPr>
              <w:spacing w:after="40"/>
            </w:pPr>
            <w:r>
              <w:rPr>
                <w:rFonts w:ascii="Consolas" w:cs="Consolas" w:eastAsia="Consolas" w:hAnsi="Consolas"/>
                <w:color w:val="0F172A"/>
                <w:sz w:val="19"/>
                <w:szCs w:val="19"/>
              </w:rPr>
              <w:t xml:space="preserve">    const match = s.match(/^(+(?:37[012]|92|44|49|33|48|1|\d{1,3}))[\s.-]?(\d+)$/);</w:t>
            </w:r>
          </w:p>
          <w:p>
            <w:pPr>
              <w:spacing w:after="40"/>
            </w:pPr>
            <w:r>
              <w:rPr>
                <w:rFonts w:ascii="Consolas" w:cs="Consolas" w:eastAsia="Consolas" w:hAnsi="Consolas"/>
                <w:color w:val="0F172A"/>
                <w:sz w:val="19"/>
                <w:szCs w:val="19"/>
              </w:rPr>
              <w:t xml:space="preserve">    if (match) return { idd: match[1], contactData: match[2], fullPhone: match[1] + match[2] };</w:t>
            </w:r>
          </w:p>
          <w:p>
            <w:pPr>
              <w:spacing w:after="40"/>
            </w:pPr>
            <w:r>
              <w:rPr>
                <w:rFonts w:ascii="Consolas" w:cs="Consolas" w:eastAsia="Consolas" w:hAnsi="Consolas"/>
                <w:color w:val="0F172A"/>
                <w:sz w:val="19"/>
                <w:szCs w:val="19"/>
              </w:rPr>
              <w:t xml:space="preserve">  }</w:t>
            </w:r>
          </w:p>
          <w:p>
            <w:pPr>
              <w:spacing w:after="40"/>
            </w:pPr>
            <w:r>
              <w:rPr>
                <w:rFonts w:ascii="Consolas" w:cs="Consolas" w:eastAsia="Consolas" w:hAnsi="Consolas"/>
                <w:color w:val="0F172A"/>
                <w:sz w:val="19"/>
                <w:szCs w:val="19"/>
              </w:rPr>
              <w:t xml:space="preserve">  // Fallbacks for domestic 0-prefixed formats (03... for PK, 86... for LT)</w:t>
            </w:r>
          </w:p>
          <w:p>
            <w:pPr>
              <w:spacing w:after="40"/>
            </w:pPr>
            <w:r>
              <w:rPr>
                <w:rFonts w:ascii="Consolas" w:cs="Consolas" w:eastAsia="Consolas" w:hAnsi="Consolas"/>
                <w:color w:val="0F172A"/>
                <w:sz w:val="19"/>
                <w:szCs w:val="19"/>
              </w:rPr>
              <w:t xml:space="preserve">  ...</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2.6 Date of Birth Normalization &amp; Lithuanian Century Fallback</w:t>
      </w:r>
    </w:p>
    <w:p>
      <w:pPr>
        <w:spacing w:after="120"/>
        <w:jc w:val="left"/>
      </w:pPr>
      <w:r>
        <w:rPr>
          <w:b w:val="false"/>
          <w:bCs w:val="false"/>
          <w:i w:val="false"/>
          <w:iCs w:val="false"/>
          <w:color w:val="1F2937"/>
          <w:sz w:val="22"/>
          <w:szCs w:val="22"/>
        </w:rPr>
        <w:t xml:space="preserve">Dates in Transact must conform to ISO YYYY-MM-DD. When DateOfBirth is not provided in the payload, the server inspects the Lithuanian 11-digit PersonalCode (GYYMMDDXXXX). The first digit (G) determines gender and birth century:</w:t>
      </w:r>
    </w:p>
    <w:p>
      <w:pPr>
        <w:pStyle w:val="ListParagraph"/>
        <w:numPr>
          <w:ilvl w:val="0"/>
          <w:numId w:val="1"/>
        </w:numPr>
        <w:spacing w:after="80"/>
      </w:pPr>
      <w:r>
        <w:rPr>
          <w:b/>
          <w:bCs/>
          <w:color w:val="1F2937"/>
          <w:sz w:val="22"/>
          <w:szCs w:val="22"/>
        </w:rPr>
        <w:t xml:space="preserve">Century 1800: </w:t>
      </w:r>
      <w:r>
        <w:rPr>
          <w:color w:val="1F2937"/>
          <w:sz w:val="22"/>
          <w:szCs w:val="22"/>
        </w:rPr>
        <w:t xml:space="preserve">Digits 1 or 2: Birth century 1800s (Male/Female)</w:t>
      </w:r>
    </w:p>
    <w:p>
      <w:pPr>
        <w:pStyle w:val="ListParagraph"/>
        <w:numPr>
          <w:ilvl w:val="0"/>
          <w:numId w:val="1"/>
        </w:numPr>
        <w:spacing w:after="80"/>
      </w:pPr>
      <w:r>
        <w:rPr>
          <w:b/>
          <w:bCs/>
          <w:color w:val="1F2937"/>
          <w:sz w:val="22"/>
          <w:szCs w:val="22"/>
        </w:rPr>
        <w:t xml:space="preserve">Century 1900: </w:t>
      </w:r>
      <w:r>
        <w:rPr>
          <w:color w:val="1F2937"/>
          <w:sz w:val="22"/>
          <w:szCs w:val="22"/>
        </w:rPr>
        <w:t xml:space="preserve">Digits 3 or 4: Birth century 1900s (Male/Female)</w:t>
      </w:r>
    </w:p>
    <w:p>
      <w:pPr>
        <w:pStyle w:val="ListParagraph"/>
        <w:numPr>
          <w:ilvl w:val="0"/>
          <w:numId w:val="1"/>
        </w:numPr>
        <w:spacing w:after="80"/>
      </w:pPr>
      <w:r>
        <w:rPr>
          <w:b/>
          <w:bCs/>
          <w:color w:val="1F2937"/>
          <w:sz w:val="22"/>
          <w:szCs w:val="22"/>
        </w:rPr>
        <w:t xml:space="preserve">Century 2000: </w:t>
      </w:r>
      <w:r>
        <w:rPr>
          <w:color w:val="1F2937"/>
          <w:sz w:val="22"/>
          <w:szCs w:val="22"/>
        </w:rPr>
        <w:t xml:space="preserve">Digits 5 or 6: Birth century 2000s (Male/Female)</w:t>
      </w:r>
    </w:p>
    <w:p>
      <w:pPr>
        <w:spacing w:after="120"/>
        <w:jc w:val="left"/>
      </w:pPr>
      <w:r>
        <w:rPr>
          <w:b w:val="false"/>
          <w:bCs w:val="false"/>
          <w:i w:val="false"/>
          <w:iCs w:val="false"/>
          <w:color w:val="1F2937"/>
          <w:sz w:val="22"/>
          <w:szCs w:val="22"/>
        </w:rPr>
        <w:t xml:space="preserve">This allows the system to accurately construct the birth date (e.g., 38210150991 -&gt; 1982-10-15) and populate both dateOfBirth and birthIncorpDate in Transact.</w:t>
      </w:r>
    </w:p>
    <w:p>
      <w:pPr>
        <w:pStyle w:val="Heading2"/>
        <w:spacing w:after="150" w:before="300"/>
      </w:pPr>
      <w:r>
        <w:t xml:space="preserve">2.7 Complete Field Mapping Specification (MCD ➔ Temenos Transact)</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2257"/>
        <w:gridCol w:w="2257"/>
        <w:gridCol w:w="2708"/>
        <w:gridCol w:w="1805"/>
      </w:tblGrid>
      <w:tr>
        <w:trPr>
          <w:tblHeader/>
        </w:trPr>
        <w:tc>
          <w:tcPr>
            <w:tcW w:type="pct" w:w="1250"/>
            <w:shd w:fill="1E293B" w:val="clear"/>
            <w:tcMar>
              <w:top w:type="dxa" w:w="120"/>
              <w:left w:type="dxa" w:w="140"/>
              <w:bottom w:type="dxa" w:w="120"/>
              <w:right w:type="dxa" w:w="140"/>
            </w:tcMar>
          </w:tcPr>
          <w:p>
            <w:r>
              <w:rPr>
                <w:b/>
                <w:bCs/>
                <w:color w:val="FFFFFF"/>
                <w:sz w:val="20"/>
                <w:szCs w:val="20"/>
              </w:rPr>
              <w:t xml:space="preserve">MCD Source Field</w:t>
            </w:r>
          </w:p>
        </w:tc>
        <w:tc>
          <w:tcPr>
            <w:tcW w:type="pct" w:w="1250"/>
            <w:shd w:fill="1E293B" w:val="clear"/>
            <w:tcMar>
              <w:top w:type="dxa" w:w="120"/>
              <w:left w:type="dxa" w:w="140"/>
              <w:bottom w:type="dxa" w:w="120"/>
              <w:right w:type="dxa" w:w="140"/>
            </w:tcMar>
          </w:tcPr>
          <w:p>
            <w:r>
              <w:rPr>
                <w:b/>
                <w:bCs/>
                <w:color w:val="FFFFFF"/>
                <w:sz w:val="20"/>
                <w:szCs w:val="20"/>
              </w:rPr>
              <w:t xml:space="preserve">Transact Target Field</w:t>
            </w:r>
          </w:p>
        </w:tc>
        <w:tc>
          <w:tcPr>
            <w:tcW w:type="pct" w:w="1500"/>
            <w:shd w:fill="1E293B" w:val="clear"/>
            <w:tcMar>
              <w:top w:type="dxa" w:w="120"/>
              <w:left w:type="dxa" w:w="140"/>
              <w:bottom w:type="dxa" w:w="120"/>
              <w:right w:type="dxa" w:w="140"/>
            </w:tcMar>
          </w:tcPr>
          <w:p>
            <w:r>
              <w:rPr>
                <w:b/>
                <w:bCs/>
                <w:color w:val="FFFFFF"/>
                <w:sz w:val="20"/>
                <w:szCs w:val="20"/>
              </w:rPr>
              <w:t xml:space="preserve">Transformation Logic</w:t>
            </w:r>
          </w:p>
        </w:tc>
        <w:tc>
          <w:tcPr>
            <w:tcW w:type="pct" w:w="1000"/>
            <w:shd w:fill="1E293B" w:val="clear"/>
            <w:tcMar>
              <w:top w:type="dxa" w:w="120"/>
              <w:left w:type="dxa" w:w="140"/>
              <w:bottom w:type="dxa" w:w="120"/>
              <w:right w:type="dxa" w:w="140"/>
            </w:tcMar>
          </w:tcPr>
          <w:p>
            <w:r>
              <w:rPr>
                <w:b/>
                <w:bCs/>
                <w:color w:val="FFFFFF"/>
                <w:sz w:val="20"/>
                <w:szCs w:val="20"/>
              </w:rPr>
              <w:t xml:space="preserve">Example Transact Value</w:t>
            </w:r>
          </w:p>
        </w:tc>
      </w:tr>
      <w:tr>
        <w:tc>
          <w:tcPr>
            <w:tcW w:type="pct" w:w="1250"/>
            <w:shd w:fill="FFFFFF" w:val="clear"/>
            <w:tcMar>
              <w:top w:type="dxa" w:w="100"/>
              <w:left w:type="dxa" w:w="140"/>
              <w:bottom w:type="dxa" w:w="100"/>
              <w:right w:type="dxa" w:w="140"/>
            </w:tcMar>
          </w:tcPr>
          <w:p>
            <w:r>
              <w:rPr>
                <w:color w:val="1F2937"/>
                <w:sz w:val="20"/>
                <w:szCs w:val="20"/>
              </w:rPr>
              <w:t xml:space="preserve">FirstName / FullName</w:t>
            </w:r>
          </w:p>
        </w:tc>
        <w:tc>
          <w:tcPr>
            <w:tcW w:type="pct" w:w="1250"/>
            <w:shd w:fill="FFFFFF" w:val="clear"/>
            <w:tcMar>
              <w:top w:type="dxa" w:w="100"/>
              <w:left w:type="dxa" w:w="140"/>
              <w:bottom w:type="dxa" w:w="100"/>
              <w:right w:type="dxa" w:w="140"/>
            </w:tcMar>
          </w:tcPr>
          <w:p>
            <w:r>
              <w:rPr>
                <w:color w:val="1F2937"/>
                <w:sz w:val="20"/>
                <w:szCs w:val="20"/>
              </w:rPr>
              <w:t xml:space="preserve">customerNames[0].customerName</w:t>
            </w:r>
          </w:p>
        </w:tc>
        <w:tc>
          <w:tcPr>
            <w:tcW w:type="pct" w:w="1500"/>
            <w:shd w:fill="FFFFFF" w:val="clear"/>
            <w:tcMar>
              <w:top w:type="dxa" w:w="100"/>
              <w:left w:type="dxa" w:w="140"/>
              <w:bottom w:type="dxa" w:w="100"/>
              <w:right w:type="dxa" w:w="140"/>
            </w:tcMar>
          </w:tcPr>
          <w:p>
            <w:r>
              <w:rPr>
                <w:color w:val="1F2937"/>
                <w:sz w:val="20"/>
                <w:szCs w:val="20"/>
              </w:rPr>
              <w:t xml:space="preserve">SWIFT-safe cleaned string; first token of FullName</w:t>
            </w:r>
          </w:p>
        </w:tc>
        <w:tc>
          <w:tcPr>
            <w:tcW w:type="pct" w:w="1000"/>
            <w:shd w:fill="FFFFFF" w:val="clear"/>
            <w:tcMar>
              <w:top w:type="dxa" w:w="100"/>
              <w:left w:type="dxa" w:w="140"/>
              <w:bottom w:type="dxa" w:w="100"/>
              <w:right w:type="dxa" w:w="140"/>
            </w:tcMar>
          </w:tcPr>
          <w:p>
            <w:r>
              <w:rPr>
                <w:color w:val="1F2937"/>
                <w:sz w:val="20"/>
                <w:szCs w:val="20"/>
              </w:rPr>
              <w:t xml:space="preserve">"Saulius"</w:t>
            </w:r>
          </w:p>
        </w:tc>
      </w:tr>
      <w:tr>
        <w:tc>
          <w:tcPr>
            <w:tcW w:type="pct" w:w="1250"/>
            <w:shd w:fill="F8FAFC" w:val="clear"/>
            <w:tcMar>
              <w:top w:type="dxa" w:w="100"/>
              <w:left w:type="dxa" w:w="140"/>
              <w:bottom w:type="dxa" w:w="100"/>
              <w:right w:type="dxa" w:w="140"/>
            </w:tcMar>
          </w:tcPr>
          <w:p>
            <w:r>
              <w:rPr>
                <w:color w:val="1F2937"/>
                <w:sz w:val="20"/>
                <w:szCs w:val="20"/>
              </w:rPr>
              <w:t xml:space="preserve">LastName / FullName</w:t>
            </w:r>
          </w:p>
        </w:tc>
        <w:tc>
          <w:tcPr>
            <w:tcW w:type="pct" w:w="1250"/>
            <w:shd w:fill="F8FAFC" w:val="clear"/>
            <w:tcMar>
              <w:top w:type="dxa" w:w="100"/>
              <w:left w:type="dxa" w:w="140"/>
              <w:bottom w:type="dxa" w:w="100"/>
              <w:right w:type="dxa" w:w="140"/>
            </w:tcMar>
          </w:tcPr>
          <w:p>
            <w:r>
              <w:rPr>
                <w:color w:val="1F2937"/>
                <w:sz w:val="20"/>
                <w:szCs w:val="20"/>
              </w:rPr>
              <w:t xml:space="preserve">customerNames[0].customerNameAdditional</w:t>
            </w:r>
          </w:p>
        </w:tc>
        <w:tc>
          <w:tcPr>
            <w:tcW w:type="pct" w:w="1500"/>
            <w:shd w:fill="F8FAFC" w:val="clear"/>
            <w:tcMar>
              <w:top w:type="dxa" w:w="100"/>
              <w:left w:type="dxa" w:w="140"/>
              <w:bottom w:type="dxa" w:w="100"/>
              <w:right w:type="dxa" w:w="140"/>
            </w:tcMar>
          </w:tcPr>
          <w:p>
            <w:r>
              <w:rPr>
                <w:color w:val="1F2937"/>
                <w:sz w:val="20"/>
                <w:szCs w:val="20"/>
              </w:rPr>
              <w:t xml:space="preserve">SWIFT-safe cleaned string; remaining tokens</w:t>
            </w:r>
          </w:p>
        </w:tc>
        <w:tc>
          <w:tcPr>
            <w:tcW w:type="pct" w:w="1000"/>
            <w:shd w:fill="F8FAFC" w:val="clear"/>
            <w:tcMar>
              <w:top w:type="dxa" w:w="100"/>
              <w:left w:type="dxa" w:w="140"/>
              <w:bottom w:type="dxa" w:w="100"/>
              <w:right w:type="dxa" w:w="140"/>
            </w:tcMar>
          </w:tcPr>
          <w:p>
            <w:r>
              <w:rPr>
                <w:color w:val="1F2937"/>
                <w:sz w:val="20"/>
                <w:szCs w:val="20"/>
              </w:rPr>
              <w:t xml:space="preserve">"Urbonas"</w:t>
            </w:r>
          </w:p>
        </w:tc>
      </w:tr>
      <w:tr>
        <w:tc>
          <w:tcPr>
            <w:tcW w:type="pct" w:w="1250"/>
            <w:shd w:fill="FFFFFF" w:val="clear"/>
            <w:tcMar>
              <w:top w:type="dxa" w:w="100"/>
              <w:left w:type="dxa" w:w="140"/>
              <w:bottom w:type="dxa" w:w="100"/>
              <w:right w:type="dxa" w:w="140"/>
            </w:tcMar>
          </w:tcPr>
          <w:p>
            <w:r>
              <w:rPr>
                <w:color w:val="1F2937"/>
                <w:sz w:val="20"/>
                <w:szCs w:val="20"/>
              </w:rPr>
              <w:t xml:space="preserve">FirstName + LastName</w:t>
            </w:r>
          </w:p>
        </w:tc>
        <w:tc>
          <w:tcPr>
            <w:tcW w:type="pct" w:w="1250"/>
            <w:shd w:fill="FFFFFF" w:val="clear"/>
            <w:tcMar>
              <w:top w:type="dxa" w:w="100"/>
              <w:left w:type="dxa" w:w="140"/>
              <w:bottom w:type="dxa" w:w="100"/>
              <w:right w:type="dxa" w:w="140"/>
            </w:tcMar>
          </w:tcPr>
          <w:p>
            <w:r>
              <w:rPr>
                <w:color w:val="1F2937"/>
                <w:sz w:val="20"/>
                <w:szCs w:val="20"/>
              </w:rPr>
              <w:t xml:space="preserve">displayNames[0].displayName</w:t>
            </w:r>
          </w:p>
        </w:tc>
        <w:tc>
          <w:tcPr>
            <w:tcW w:type="pct" w:w="1500"/>
            <w:shd w:fill="FFFFFF" w:val="clear"/>
            <w:tcMar>
              <w:top w:type="dxa" w:w="100"/>
              <w:left w:type="dxa" w:w="140"/>
              <w:bottom w:type="dxa" w:w="100"/>
              <w:right w:type="dxa" w:w="140"/>
            </w:tcMar>
          </w:tcPr>
          <w:p>
            <w:r>
              <w:rPr>
                <w:color w:val="1F2937"/>
                <w:sz w:val="20"/>
                <w:szCs w:val="20"/>
              </w:rPr>
              <w:t xml:space="preserve">Combined full title-safe display name</w:t>
            </w:r>
          </w:p>
        </w:tc>
        <w:tc>
          <w:tcPr>
            <w:tcW w:type="pct" w:w="1000"/>
            <w:shd w:fill="FFFFFF" w:val="clear"/>
            <w:tcMar>
              <w:top w:type="dxa" w:w="100"/>
              <w:left w:type="dxa" w:w="140"/>
              <w:bottom w:type="dxa" w:w="100"/>
              <w:right w:type="dxa" w:w="140"/>
            </w:tcMar>
          </w:tcPr>
          <w:p>
            <w:r>
              <w:rPr>
                <w:color w:val="1F2937"/>
                <w:sz w:val="20"/>
                <w:szCs w:val="20"/>
              </w:rPr>
              <w:t xml:space="preserve">"Saulius Urbonas"</w:t>
            </w:r>
          </w:p>
        </w:tc>
      </w:tr>
      <w:tr>
        <w:tc>
          <w:tcPr>
            <w:tcW w:type="pct" w:w="1250"/>
            <w:shd w:fill="F8FAFC" w:val="clear"/>
            <w:tcMar>
              <w:top w:type="dxa" w:w="100"/>
              <w:left w:type="dxa" w:w="140"/>
              <w:bottom w:type="dxa" w:w="100"/>
              <w:right w:type="dxa" w:w="140"/>
            </w:tcMar>
          </w:tcPr>
          <w:p>
            <w:r>
              <w:rPr>
                <w:color w:val="1F2937"/>
                <w:sz w:val="20"/>
                <w:szCs w:val="20"/>
              </w:rPr>
              <w:t xml:space="preserve">FirstName</w:t>
            </w:r>
          </w:p>
        </w:tc>
        <w:tc>
          <w:tcPr>
            <w:tcW w:type="pct" w:w="1250"/>
            <w:shd w:fill="F8FAFC" w:val="clear"/>
            <w:tcMar>
              <w:top w:type="dxa" w:w="100"/>
              <w:left w:type="dxa" w:w="140"/>
              <w:bottom w:type="dxa" w:w="100"/>
              <w:right w:type="dxa" w:w="140"/>
            </w:tcMar>
          </w:tcPr>
          <w:p>
            <w:r>
              <w:rPr>
                <w:color w:val="1F2937"/>
                <w:sz w:val="20"/>
                <w:szCs w:val="20"/>
              </w:rPr>
              <w:t xml:space="preserve">givenName</w:t>
            </w:r>
          </w:p>
        </w:tc>
        <w:tc>
          <w:tcPr>
            <w:tcW w:type="pct" w:w="1500"/>
            <w:shd w:fill="F8FAFC" w:val="clear"/>
            <w:tcMar>
              <w:top w:type="dxa" w:w="100"/>
              <w:left w:type="dxa" w:w="140"/>
              <w:bottom w:type="dxa" w:w="100"/>
              <w:right w:type="dxa" w:w="140"/>
            </w:tcMar>
          </w:tcPr>
          <w:p>
            <w:r>
              <w:rPr>
                <w:color w:val="1F2937"/>
                <w:sz w:val="20"/>
                <w:szCs w:val="20"/>
              </w:rPr>
              <w:t xml:space="preserve">Normalized first name</w:t>
            </w:r>
          </w:p>
        </w:tc>
        <w:tc>
          <w:tcPr>
            <w:tcW w:type="pct" w:w="1000"/>
            <w:shd w:fill="F8FAFC" w:val="clear"/>
            <w:tcMar>
              <w:top w:type="dxa" w:w="100"/>
              <w:left w:type="dxa" w:w="140"/>
              <w:bottom w:type="dxa" w:w="100"/>
              <w:right w:type="dxa" w:w="140"/>
            </w:tcMar>
          </w:tcPr>
          <w:p>
            <w:r>
              <w:rPr>
                <w:color w:val="1F2937"/>
                <w:sz w:val="20"/>
                <w:szCs w:val="20"/>
              </w:rPr>
              <w:t xml:space="preserve">"Saulius"</w:t>
            </w:r>
          </w:p>
        </w:tc>
      </w:tr>
      <w:tr>
        <w:tc>
          <w:tcPr>
            <w:tcW w:type="pct" w:w="1250"/>
            <w:shd w:fill="FFFFFF" w:val="clear"/>
            <w:tcMar>
              <w:top w:type="dxa" w:w="100"/>
              <w:left w:type="dxa" w:w="140"/>
              <w:bottom w:type="dxa" w:w="100"/>
              <w:right w:type="dxa" w:w="140"/>
            </w:tcMar>
          </w:tcPr>
          <w:p>
            <w:r>
              <w:rPr>
                <w:color w:val="1F2937"/>
                <w:sz w:val="20"/>
                <w:szCs w:val="20"/>
              </w:rPr>
              <w:t xml:space="preserve">LastName</w:t>
            </w:r>
          </w:p>
        </w:tc>
        <w:tc>
          <w:tcPr>
            <w:tcW w:type="pct" w:w="1250"/>
            <w:shd w:fill="FFFFFF" w:val="clear"/>
            <w:tcMar>
              <w:top w:type="dxa" w:w="100"/>
              <w:left w:type="dxa" w:w="140"/>
              <w:bottom w:type="dxa" w:w="100"/>
              <w:right w:type="dxa" w:w="140"/>
            </w:tcMar>
          </w:tcPr>
          <w:p>
            <w:r>
              <w:rPr>
                <w:color w:val="1F2937"/>
                <w:sz w:val="20"/>
                <w:szCs w:val="20"/>
              </w:rPr>
              <w:t xml:space="preserve">lastName</w:t>
            </w:r>
          </w:p>
        </w:tc>
        <w:tc>
          <w:tcPr>
            <w:tcW w:type="pct" w:w="1500"/>
            <w:shd w:fill="FFFFFF" w:val="clear"/>
            <w:tcMar>
              <w:top w:type="dxa" w:w="100"/>
              <w:left w:type="dxa" w:w="140"/>
              <w:bottom w:type="dxa" w:w="100"/>
              <w:right w:type="dxa" w:w="140"/>
            </w:tcMar>
          </w:tcPr>
          <w:p>
            <w:r>
              <w:rPr>
                <w:color w:val="1F2937"/>
                <w:sz w:val="20"/>
                <w:szCs w:val="20"/>
              </w:rPr>
              <w:t xml:space="preserve">Normalized last name</w:t>
            </w:r>
          </w:p>
        </w:tc>
        <w:tc>
          <w:tcPr>
            <w:tcW w:type="pct" w:w="1000"/>
            <w:shd w:fill="FFFFFF" w:val="clear"/>
            <w:tcMar>
              <w:top w:type="dxa" w:w="100"/>
              <w:left w:type="dxa" w:w="140"/>
              <w:bottom w:type="dxa" w:w="100"/>
              <w:right w:type="dxa" w:w="140"/>
            </w:tcMar>
          </w:tcPr>
          <w:p>
            <w:r>
              <w:rPr>
                <w:color w:val="1F2937"/>
                <w:sz w:val="20"/>
                <w:szCs w:val="20"/>
              </w:rPr>
              <w:t xml:space="preserve">"Urbonas"</w:t>
            </w:r>
          </w:p>
        </w:tc>
      </w:tr>
      <w:tr>
        <w:tc>
          <w:tcPr>
            <w:tcW w:type="pct" w:w="1250"/>
            <w:shd w:fill="F8FAFC" w:val="clear"/>
            <w:tcMar>
              <w:top w:type="dxa" w:w="100"/>
              <w:left w:type="dxa" w:w="140"/>
              <w:bottom w:type="dxa" w:w="100"/>
              <w:right w:type="dxa" w:w="140"/>
            </w:tcMar>
          </w:tcPr>
          <w:p>
            <w:r>
              <w:rPr>
                <w:color w:val="1F2937"/>
                <w:sz w:val="20"/>
                <w:szCs w:val="20"/>
              </w:rPr>
              <w:t xml:space="preserve">Ssn / TaxId / (Generated)</w:t>
            </w:r>
          </w:p>
        </w:tc>
        <w:tc>
          <w:tcPr>
            <w:tcW w:type="pct" w:w="1250"/>
            <w:shd w:fill="F8FAFC" w:val="clear"/>
            <w:tcMar>
              <w:top w:type="dxa" w:w="100"/>
              <w:left w:type="dxa" w:w="140"/>
              <w:bottom w:type="dxa" w:w="100"/>
              <w:right w:type="dxa" w:w="140"/>
            </w:tcMar>
          </w:tcPr>
          <w:p>
            <w:r>
              <w:rPr>
                <w:color w:val="1F2937"/>
                <w:sz w:val="20"/>
                <w:szCs w:val="20"/>
              </w:rPr>
              <w:t xml:space="preserve">taxIds[0].taxId</w:t>
            </w:r>
          </w:p>
        </w:tc>
        <w:tc>
          <w:tcPr>
            <w:tcW w:type="pct" w:w="1500"/>
            <w:shd w:fill="F8FAFC" w:val="clear"/>
            <w:tcMar>
              <w:top w:type="dxa" w:w="100"/>
              <w:left w:type="dxa" w:w="140"/>
              <w:bottom w:type="dxa" w:w="100"/>
              <w:right w:type="dxa" w:w="140"/>
            </w:tcMar>
          </w:tcPr>
          <w:p>
            <w:r>
              <w:rPr>
                <w:color w:val="1F2937"/>
                <w:sz w:val="20"/>
                <w:szCs w:val="20"/>
              </w:rPr>
              <w:t xml:space="preserve">Clean 9-digit SSN format XXX-XX-XXXX</w:t>
            </w:r>
          </w:p>
        </w:tc>
        <w:tc>
          <w:tcPr>
            <w:tcW w:type="pct" w:w="1000"/>
            <w:shd w:fill="F8FAFC" w:val="clear"/>
            <w:tcMar>
              <w:top w:type="dxa" w:w="100"/>
              <w:left w:type="dxa" w:w="140"/>
              <w:bottom w:type="dxa" w:w="100"/>
              <w:right w:type="dxa" w:w="140"/>
            </w:tcMar>
          </w:tcPr>
          <w:p>
            <w:r>
              <w:rPr>
                <w:color w:val="1F2937"/>
                <w:sz w:val="20"/>
                <w:szCs w:val="20"/>
              </w:rPr>
              <w:t xml:space="preserve">"616-41-1561"</w:t>
            </w:r>
          </w:p>
        </w:tc>
      </w:tr>
      <w:tr>
        <w:tc>
          <w:tcPr>
            <w:tcW w:type="pct" w:w="1250"/>
            <w:shd w:fill="FFFFFF" w:val="clear"/>
            <w:tcMar>
              <w:top w:type="dxa" w:w="100"/>
              <w:left w:type="dxa" w:w="140"/>
              <w:bottom w:type="dxa" w:w="100"/>
              <w:right w:type="dxa" w:w="140"/>
            </w:tcMar>
          </w:tcPr>
          <w:p>
            <w:r>
              <w:rPr>
                <w:color w:val="1F2937"/>
                <w:sz w:val="20"/>
                <w:szCs w:val="20"/>
              </w:rPr>
              <w:t xml:space="preserve">PrimaryPhoneNumber</w:t>
            </w:r>
          </w:p>
        </w:tc>
        <w:tc>
          <w:tcPr>
            <w:tcW w:type="pct" w:w="1250"/>
            <w:shd w:fill="FFFFFF" w:val="clear"/>
            <w:tcMar>
              <w:top w:type="dxa" w:w="100"/>
              <w:left w:type="dxa" w:w="140"/>
              <w:bottom w:type="dxa" w:w="100"/>
              <w:right w:type="dxa" w:w="140"/>
            </w:tcMar>
          </w:tcPr>
          <w:p>
            <w:r>
              <w:rPr>
                <w:color w:val="1F2937"/>
                <w:sz w:val="20"/>
                <w:szCs w:val="20"/>
              </w:rPr>
              <w:t xml:space="preserve">contactDetails[MOBILE].iddPrefixPhone</w:t>
            </w:r>
          </w:p>
        </w:tc>
        <w:tc>
          <w:tcPr>
            <w:tcW w:type="pct" w:w="1500"/>
            <w:shd w:fill="FFFFFF" w:val="clear"/>
            <w:tcMar>
              <w:top w:type="dxa" w:w="100"/>
              <w:left w:type="dxa" w:w="140"/>
              <w:bottom w:type="dxa" w:w="100"/>
              <w:right w:type="dxa" w:w="140"/>
            </w:tcMar>
          </w:tcPr>
          <w:p>
            <w:r>
              <w:rPr>
                <w:color w:val="1F2937"/>
                <w:sz w:val="20"/>
                <w:szCs w:val="20"/>
              </w:rPr>
              <w:t xml:space="preserve">Parsed country dial code via parsePhoneNumber</w:t>
            </w:r>
          </w:p>
        </w:tc>
        <w:tc>
          <w:tcPr>
            <w:tcW w:type="pct" w:w="1000"/>
            <w:shd w:fill="FFFFFF" w:val="clear"/>
            <w:tcMar>
              <w:top w:type="dxa" w:w="100"/>
              <w:left w:type="dxa" w:w="140"/>
              <w:bottom w:type="dxa" w:w="100"/>
              <w:right w:type="dxa" w:w="140"/>
            </w:tcMar>
          </w:tcPr>
          <w:p>
            <w:r>
              <w:rPr>
                <w:color w:val="1F2937"/>
                <w:sz w:val="20"/>
                <w:szCs w:val="20"/>
              </w:rPr>
              <w:t xml:space="preserve">"+370"</w:t>
            </w:r>
          </w:p>
        </w:tc>
      </w:tr>
      <w:tr>
        <w:tc>
          <w:tcPr>
            <w:tcW w:type="pct" w:w="1250"/>
            <w:shd w:fill="F8FAFC" w:val="clear"/>
            <w:tcMar>
              <w:top w:type="dxa" w:w="100"/>
              <w:left w:type="dxa" w:w="140"/>
              <w:bottom w:type="dxa" w:w="100"/>
              <w:right w:type="dxa" w:w="140"/>
            </w:tcMar>
          </w:tcPr>
          <w:p>
            <w:r>
              <w:rPr>
                <w:color w:val="1F2937"/>
                <w:sz w:val="20"/>
                <w:szCs w:val="20"/>
              </w:rPr>
              <w:t xml:space="preserve">PrimaryPhoneNumber</w:t>
            </w:r>
          </w:p>
        </w:tc>
        <w:tc>
          <w:tcPr>
            <w:tcW w:type="pct" w:w="1250"/>
            <w:shd w:fill="F8FAFC" w:val="clear"/>
            <w:tcMar>
              <w:top w:type="dxa" w:w="100"/>
              <w:left w:type="dxa" w:w="140"/>
              <w:bottom w:type="dxa" w:w="100"/>
              <w:right w:type="dxa" w:w="140"/>
            </w:tcMar>
          </w:tcPr>
          <w:p>
            <w:r>
              <w:rPr>
                <w:color w:val="1F2937"/>
                <w:sz w:val="20"/>
                <w:szCs w:val="20"/>
              </w:rPr>
              <w:t xml:space="preserve">contactDetails[MOBILE].contactData</w:t>
            </w:r>
          </w:p>
        </w:tc>
        <w:tc>
          <w:tcPr>
            <w:tcW w:type="pct" w:w="1500"/>
            <w:shd w:fill="F8FAFC" w:val="clear"/>
            <w:tcMar>
              <w:top w:type="dxa" w:w="100"/>
              <w:left w:type="dxa" w:w="140"/>
              <w:bottom w:type="dxa" w:w="100"/>
              <w:right w:type="dxa" w:w="140"/>
            </w:tcMar>
          </w:tcPr>
          <w:p>
            <w:r>
              <w:rPr>
                <w:color w:val="1F2937"/>
                <w:sz w:val="20"/>
                <w:szCs w:val="20"/>
              </w:rPr>
              <w:t xml:space="preserve">Local subscriber digits without trunk prefix</w:t>
            </w:r>
          </w:p>
        </w:tc>
        <w:tc>
          <w:tcPr>
            <w:tcW w:type="pct" w:w="1000"/>
            <w:shd w:fill="F8FAFC" w:val="clear"/>
            <w:tcMar>
              <w:top w:type="dxa" w:w="100"/>
              <w:left w:type="dxa" w:w="140"/>
              <w:bottom w:type="dxa" w:w="100"/>
              <w:right w:type="dxa" w:w="140"/>
            </w:tcMar>
          </w:tcPr>
          <w:p>
            <w:r>
              <w:rPr>
                <w:color w:val="1F2937"/>
                <w:sz w:val="20"/>
                <w:szCs w:val="20"/>
              </w:rPr>
              <w:t xml:space="preserve">"61188223"</w:t>
            </w:r>
          </w:p>
        </w:tc>
      </w:tr>
      <w:tr>
        <w:tc>
          <w:tcPr>
            <w:tcW w:type="pct" w:w="1250"/>
            <w:shd w:fill="FFFFFF" w:val="clear"/>
            <w:tcMar>
              <w:top w:type="dxa" w:w="100"/>
              <w:left w:type="dxa" w:w="140"/>
              <w:bottom w:type="dxa" w:w="100"/>
              <w:right w:type="dxa" w:w="140"/>
            </w:tcMar>
          </w:tcPr>
          <w:p>
            <w:r>
              <w:rPr>
                <w:color w:val="1F2937"/>
                <w:sz w:val="20"/>
                <w:szCs w:val="20"/>
              </w:rPr>
              <w:t xml:space="preserve">PrimaryPhoneNumber</w:t>
            </w:r>
          </w:p>
        </w:tc>
        <w:tc>
          <w:tcPr>
            <w:tcW w:type="pct" w:w="1250"/>
            <w:shd w:fill="FFFFFF" w:val="clear"/>
            <w:tcMar>
              <w:top w:type="dxa" w:w="100"/>
              <w:left w:type="dxa" w:w="140"/>
              <w:bottom w:type="dxa" w:w="100"/>
              <w:right w:type="dxa" w:w="140"/>
            </w:tcMar>
          </w:tcPr>
          <w:p>
            <w:r>
              <w:rPr>
                <w:color w:val="1F2937"/>
                <w:sz w:val="20"/>
                <w:szCs w:val="20"/>
              </w:rPr>
              <w:t xml:space="preserve">officePhoneNumbers[0].officePhoneNumber</w:t>
            </w:r>
          </w:p>
        </w:tc>
        <w:tc>
          <w:tcPr>
            <w:tcW w:type="pct" w:w="1500"/>
            <w:shd w:fill="FFFFFF" w:val="clear"/>
            <w:tcMar>
              <w:top w:type="dxa" w:w="100"/>
              <w:left w:type="dxa" w:w="140"/>
              <w:bottom w:type="dxa" w:w="100"/>
              <w:right w:type="dxa" w:w="140"/>
            </w:tcMar>
          </w:tcPr>
          <w:p>
            <w:r>
              <w:rPr>
                <w:color w:val="1F2937"/>
                <w:sz w:val="20"/>
                <w:szCs w:val="20"/>
              </w:rPr>
              <w:t xml:space="preserve">Full E.164 formatted telephone string</w:t>
            </w:r>
          </w:p>
        </w:tc>
        <w:tc>
          <w:tcPr>
            <w:tcW w:type="pct" w:w="1000"/>
            <w:shd w:fill="FFFFFF" w:val="clear"/>
            <w:tcMar>
              <w:top w:type="dxa" w:w="100"/>
              <w:left w:type="dxa" w:w="140"/>
              <w:bottom w:type="dxa" w:w="100"/>
              <w:right w:type="dxa" w:w="140"/>
            </w:tcMar>
          </w:tcPr>
          <w:p>
            <w:r>
              <w:rPr>
                <w:color w:val="1F2937"/>
                <w:sz w:val="20"/>
                <w:szCs w:val="20"/>
              </w:rPr>
              <w:t xml:space="preserve">"+37061188223"</w:t>
            </w:r>
          </w:p>
        </w:tc>
      </w:tr>
      <w:tr>
        <w:tc>
          <w:tcPr>
            <w:tcW w:type="pct" w:w="1250"/>
            <w:shd w:fill="F8FAFC" w:val="clear"/>
            <w:tcMar>
              <w:top w:type="dxa" w:w="100"/>
              <w:left w:type="dxa" w:w="140"/>
              <w:bottom w:type="dxa" w:w="100"/>
              <w:right w:type="dxa" w:w="140"/>
            </w:tcMar>
          </w:tcPr>
          <w:p>
            <w:r>
              <w:rPr>
                <w:color w:val="1F2937"/>
                <w:sz w:val="20"/>
                <w:szCs w:val="20"/>
              </w:rPr>
              <w:t xml:space="preserve">PrimaryEmail</w:t>
            </w:r>
          </w:p>
        </w:tc>
        <w:tc>
          <w:tcPr>
            <w:tcW w:type="pct" w:w="1250"/>
            <w:shd w:fill="F8FAFC" w:val="clear"/>
            <w:tcMar>
              <w:top w:type="dxa" w:w="100"/>
              <w:left w:type="dxa" w:w="140"/>
              <w:bottom w:type="dxa" w:w="100"/>
              <w:right w:type="dxa" w:w="140"/>
            </w:tcMar>
          </w:tcPr>
          <w:p>
            <w:r>
              <w:rPr>
                <w:color w:val="1F2937"/>
                <w:sz w:val="20"/>
                <w:szCs w:val="20"/>
              </w:rPr>
              <w:t xml:space="preserve">contactDetails[EMAIL].contactData</w:t>
            </w:r>
          </w:p>
        </w:tc>
        <w:tc>
          <w:tcPr>
            <w:tcW w:type="pct" w:w="1500"/>
            <w:shd w:fill="F8FAFC" w:val="clear"/>
            <w:tcMar>
              <w:top w:type="dxa" w:w="100"/>
              <w:left w:type="dxa" w:w="140"/>
              <w:bottom w:type="dxa" w:w="100"/>
              <w:right w:type="dxa" w:w="140"/>
            </w:tcMar>
          </w:tcPr>
          <w:p>
            <w:r>
              <w:rPr>
                <w:color w:val="1F2937"/>
                <w:sz w:val="20"/>
                <w:szCs w:val="20"/>
              </w:rPr>
              <w:t xml:space="preserve">Trimmed, lowercased valid email address</w:t>
            </w:r>
          </w:p>
        </w:tc>
        <w:tc>
          <w:tcPr>
            <w:tcW w:type="pct" w:w="1000"/>
            <w:shd w:fill="F8FAFC" w:val="clear"/>
            <w:tcMar>
              <w:top w:type="dxa" w:w="100"/>
              <w:left w:type="dxa" w:w="140"/>
              <w:bottom w:type="dxa" w:w="100"/>
              <w:right w:type="dxa" w:w="140"/>
            </w:tcMar>
          </w:tcPr>
          <w:p>
            <w:r>
              <w:rPr>
                <w:color w:val="1F2937"/>
                <w:sz w:val="20"/>
                <w:szCs w:val="20"/>
              </w:rPr>
              <w:t xml:space="preserve">"saulius.urbonas@imone.lt"</w:t>
            </w:r>
          </w:p>
        </w:tc>
      </w:tr>
      <w:tr>
        <w:tc>
          <w:tcPr>
            <w:tcW w:type="pct" w:w="1250"/>
            <w:shd w:fill="FFFFFF" w:val="clear"/>
            <w:tcMar>
              <w:top w:type="dxa" w:w="100"/>
              <w:left w:type="dxa" w:w="140"/>
              <w:bottom w:type="dxa" w:w="100"/>
              <w:right w:type="dxa" w:w="140"/>
            </w:tcMar>
          </w:tcPr>
          <w:p>
            <w:r>
              <w:rPr>
                <w:color w:val="1F2937"/>
                <w:sz w:val="20"/>
                <w:szCs w:val="20"/>
              </w:rPr>
              <w:t xml:space="preserve">DateOfBirth / PersonalCode</w:t>
            </w:r>
          </w:p>
        </w:tc>
        <w:tc>
          <w:tcPr>
            <w:tcW w:type="pct" w:w="1250"/>
            <w:shd w:fill="FFFFFF" w:val="clear"/>
            <w:tcMar>
              <w:top w:type="dxa" w:w="100"/>
              <w:left w:type="dxa" w:w="140"/>
              <w:bottom w:type="dxa" w:w="100"/>
              <w:right w:type="dxa" w:w="140"/>
            </w:tcMar>
          </w:tcPr>
          <w:p>
            <w:r>
              <w:rPr>
                <w:color w:val="1F2937"/>
                <w:sz w:val="20"/>
                <w:szCs w:val="20"/>
              </w:rPr>
              <w:t xml:space="preserve">dateOfBirth &amp; birthIncorpDate</w:t>
            </w:r>
          </w:p>
        </w:tc>
        <w:tc>
          <w:tcPr>
            <w:tcW w:type="pct" w:w="1500"/>
            <w:shd w:fill="FFFFFF" w:val="clear"/>
            <w:tcMar>
              <w:top w:type="dxa" w:w="100"/>
              <w:left w:type="dxa" w:w="140"/>
              <w:bottom w:type="dxa" w:w="100"/>
              <w:right w:type="dxa" w:w="140"/>
            </w:tcMar>
          </w:tcPr>
          <w:p>
            <w:r>
              <w:rPr>
                <w:color w:val="1F2937"/>
                <w:sz w:val="20"/>
                <w:szCs w:val="20"/>
              </w:rPr>
              <w:t xml:space="preserve">Parsed YYYY-MM-DD or derived from PersonalCode</w:t>
            </w:r>
          </w:p>
        </w:tc>
        <w:tc>
          <w:tcPr>
            <w:tcW w:type="pct" w:w="1000"/>
            <w:shd w:fill="FFFFFF" w:val="clear"/>
            <w:tcMar>
              <w:top w:type="dxa" w:w="100"/>
              <w:left w:type="dxa" w:w="140"/>
              <w:bottom w:type="dxa" w:w="100"/>
              <w:right w:type="dxa" w:w="140"/>
            </w:tcMar>
          </w:tcPr>
          <w:p>
            <w:r>
              <w:rPr>
                <w:color w:val="1F2937"/>
                <w:sz w:val="20"/>
                <w:szCs w:val="20"/>
              </w:rPr>
              <w:t xml:space="preserve">"1982-10-15"</w:t>
            </w:r>
          </w:p>
        </w:tc>
      </w:tr>
      <w:tr>
        <w:tc>
          <w:tcPr>
            <w:tcW w:type="pct" w:w="1250"/>
            <w:shd w:fill="F8FAFC" w:val="clear"/>
            <w:tcMar>
              <w:top w:type="dxa" w:w="100"/>
              <w:left w:type="dxa" w:w="140"/>
              <w:bottom w:type="dxa" w:w="100"/>
              <w:right w:type="dxa" w:w="140"/>
            </w:tcMar>
          </w:tcPr>
          <w:p>
            <w:r>
              <w:rPr>
                <w:color w:val="1F2937"/>
                <w:sz w:val="20"/>
                <w:szCs w:val="20"/>
              </w:rPr>
              <w:t xml:space="preserve">CountryCode / addr.countryCode</w:t>
            </w:r>
          </w:p>
        </w:tc>
        <w:tc>
          <w:tcPr>
            <w:tcW w:type="pct" w:w="1250"/>
            <w:shd w:fill="F8FAFC" w:val="clear"/>
            <w:tcMar>
              <w:top w:type="dxa" w:w="100"/>
              <w:left w:type="dxa" w:w="140"/>
              <w:bottom w:type="dxa" w:w="100"/>
              <w:right w:type="dxa" w:w="140"/>
            </w:tcMar>
          </w:tcPr>
          <w:p>
            <w:r>
              <w:rPr>
                <w:color w:val="1F2937"/>
                <w:sz w:val="20"/>
                <w:szCs w:val="20"/>
              </w:rPr>
              <w:t xml:space="preserve">nationalityId, residenceId, domicile</w:t>
            </w:r>
          </w:p>
        </w:tc>
        <w:tc>
          <w:tcPr>
            <w:tcW w:type="pct" w:w="1500"/>
            <w:shd w:fill="F8FAFC" w:val="clear"/>
            <w:tcMar>
              <w:top w:type="dxa" w:w="100"/>
              <w:left w:type="dxa" w:w="140"/>
              <w:bottom w:type="dxa" w:w="100"/>
              <w:right w:type="dxa" w:w="140"/>
            </w:tcMar>
          </w:tcPr>
          <w:p>
            <w:r>
              <w:rPr>
                <w:color w:val="1F2937"/>
                <w:sz w:val="20"/>
                <w:szCs w:val="20"/>
              </w:rPr>
              <w:t xml:space="preserve">Upper-case 2-letter ISO country code</w:t>
            </w:r>
          </w:p>
        </w:tc>
        <w:tc>
          <w:tcPr>
            <w:tcW w:type="pct" w:w="1000"/>
            <w:shd w:fill="F8FAFC" w:val="clear"/>
            <w:tcMar>
              <w:top w:type="dxa" w:w="100"/>
              <w:left w:type="dxa" w:w="140"/>
              <w:bottom w:type="dxa" w:w="100"/>
              <w:right w:type="dxa" w:w="140"/>
            </w:tcMar>
          </w:tcPr>
          <w:p>
            <w:r>
              <w:rPr>
                <w:color w:val="1F2937"/>
                <w:sz w:val="20"/>
                <w:szCs w:val="20"/>
              </w:rPr>
              <w:t xml:space="preserve">"LT"</w:t>
            </w:r>
          </w:p>
        </w:tc>
      </w:tr>
      <w:tr>
        <w:tc>
          <w:tcPr>
            <w:tcW w:type="pct" w:w="1250"/>
            <w:shd w:fill="FFFFFF" w:val="clear"/>
            <w:tcMar>
              <w:top w:type="dxa" w:w="100"/>
              <w:left w:type="dxa" w:w="140"/>
              <w:bottom w:type="dxa" w:w="100"/>
              <w:right w:type="dxa" w:w="140"/>
            </w:tcMar>
          </w:tcPr>
          <w:p>
            <w:r>
              <w:rPr>
                <w:color w:val="1F2937"/>
                <w:sz w:val="20"/>
                <w:szCs w:val="20"/>
              </w:rPr>
              <w:t xml:space="preserve">CountryCode</w:t>
            </w:r>
          </w:p>
        </w:tc>
        <w:tc>
          <w:tcPr>
            <w:tcW w:type="pct" w:w="1250"/>
            <w:shd w:fill="FFFFFF" w:val="clear"/>
            <w:tcMar>
              <w:top w:type="dxa" w:w="100"/>
              <w:left w:type="dxa" w:w="140"/>
              <w:bottom w:type="dxa" w:w="100"/>
              <w:right w:type="dxa" w:w="140"/>
            </w:tcMar>
          </w:tcPr>
          <w:p>
            <w:r>
              <w:rPr>
                <w:color w:val="1F2937"/>
                <w:sz w:val="20"/>
                <w:szCs w:val="20"/>
              </w:rPr>
              <w:t xml:space="preserve">countries[0].country</w:t>
            </w:r>
          </w:p>
        </w:tc>
        <w:tc>
          <w:tcPr>
            <w:tcW w:type="pct" w:w="1500"/>
            <w:shd w:fill="FFFFFF" w:val="clear"/>
            <w:tcMar>
              <w:top w:type="dxa" w:w="100"/>
              <w:left w:type="dxa" w:w="140"/>
              <w:bottom w:type="dxa" w:w="100"/>
              <w:right w:type="dxa" w:w="140"/>
            </w:tcMar>
          </w:tcPr>
          <w:p>
            <w:r>
              <w:rPr>
                <w:color w:val="1F2937"/>
                <w:sz w:val="20"/>
                <w:szCs w:val="20"/>
              </w:rPr>
              <w:t xml:space="preserve">Array of nationality country structures</w:t>
            </w:r>
          </w:p>
        </w:tc>
        <w:tc>
          <w:tcPr>
            <w:tcW w:type="pct" w:w="1000"/>
            <w:shd w:fill="FFFFFF" w:val="clear"/>
            <w:tcMar>
              <w:top w:type="dxa" w:w="100"/>
              <w:left w:type="dxa" w:w="140"/>
              <w:bottom w:type="dxa" w:w="100"/>
              <w:right w:type="dxa" w:w="140"/>
            </w:tcMar>
          </w:tcPr>
          <w:p>
            <w:r>
              <w:rPr>
                <w:color w:val="1F2937"/>
                <w:sz w:val="20"/>
                <w:szCs w:val="20"/>
              </w:rPr>
              <w:t xml:space="preserve">"LT"</w:t>
            </w:r>
          </w:p>
        </w:tc>
      </w:tr>
      <w:tr>
        <w:tc>
          <w:tcPr>
            <w:tcW w:type="pct" w:w="1250"/>
            <w:shd w:fill="F8FAFC" w:val="clear"/>
            <w:tcMar>
              <w:top w:type="dxa" w:w="100"/>
              <w:left w:type="dxa" w:w="140"/>
              <w:bottom w:type="dxa" w:w="100"/>
              <w:right w:type="dxa" w:w="140"/>
            </w:tcMar>
          </w:tcPr>
          <w:p>
            <w:r>
              <w:rPr>
                <w:color w:val="1F2937"/>
                <w:sz w:val="20"/>
                <w:szCs w:val="20"/>
              </w:rPr>
              <w:t xml:space="preserve">RegistrationAddress.street</w:t>
            </w:r>
          </w:p>
        </w:tc>
        <w:tc>
          <w:tcPr>
            <w:tcW w:type="pct" w:w="1250"/>
            <w:shd w:fill="F8FAFC" w:val="clear"/>
            <w:tcMar>
              <w:top w:type="dxa" w:w="100"/>
              <w:left w:type="dxa" w:w="140"/>
              <w:bottom w:type="dxa" w:w="100"/>
              <w:right w:type="dxa" w:w="140"/>
            </w:tcMar>
          </w:tcPr>
          <w:p>
            <w:r>
              <w:rPr>
                <w:color w:val="1F2937"/>
                <w:sz w:val="20"/>
                <w:szCs w:val="20"/>
              </w:rPr>
              <w:t xml:space="preserve">streets[0].street</w:t>
            </w:r>
          </w:p>
        </w:tc>
        <w:tc>
          <w:tcPr>
            <w:tcW w:type="pct" w:w="1500"/>
            <w:shd w:fill="F8FAFC" w:val="clear"/>
            <w:tcMar>
              <w:top w:type="dxa" w:w="100"/>
              <w:left w:type="dxa" w:w="140"/>
              <w:bottom w:type="dxa" w:w="100"/>
              <w:right w:type="dxa" w:w="140"/>
            </w:tcMar>
          </w:tcPr>
          <w:p>
            <w:r>
              <w:rPr>
                <w:color w:val="1F2937"/>
                <w:sz w:val="20"/>
                <w:szCs w:val="20"/>
              </w:rPr>
              <w:t xml:space="preserve">Sanitized building, street, and apartment string</w:t>
            </w:r>
          </w:p>
        </w:tc>
        <w:tc>
          <w:tcPr>
            <w:tcW w:type="pct" w:w="1000"/>
            <w:shd w:fill="F8FAFC" w:val="clear"/>
            <w:tcMar>
              <w:top w:type="dxa" w:w="100"/>
              <w:left w:type="dxa" w:w="140"/>
              <w:bottom w:type="dxa" w:w="100"/>
              <w:right w:type="dxa" w:w="140"/>
            </w:tcMar>
          </w:tcPr>
          <w:p>
            <w:r>
              <w:rPr>
                <w:color w:val="1F2937"/>
                <w:sz w:val="20"/>
                <w:szCs w:val="20"/>
              </w:rPr>
              <w:t xml:space="preserve">"Vokieciu g. 14-2"</w:t>
            </w:r>
          </w:p>
        </w:tc>
      </w:tr>
      <w:tr>
        <w:tc>
          <w:tcPr>
            <w:tcW w:type="pct" w:w="1250"/>
            <w:shd w:fill="FFFFFF" w:val="clear"/>
            <w:tcMar>
              <w:top w:type="dxa" w:w="100"/>
              <w:left w:type="dxa" w:w="140"/>
              <w:bottom w:type="dxa" w:w="100"/>
              <w:right w:type="dxa" w:w="140"/>
            </w:tcMar>
          </w:tcPr>
          <w:p>
            <w:r>
              <w:rPr>
                <w:color w:val="1F2937"/>
                <w:sz w:val="20"/>
                <w:szCs w:val="20"/>
              </w:rPr>
              <w:t xml:space="preserve">RegistrationAddress.city</w:t>
            </w:r>
          </w:p>
        </w:tc>
        <w:tc>
          <w:tcPr>
            <w:tcW w:type="pct" w:w="1250"/>
            <w:shd w:fill="FFFFFF" w:val="clear"/>
            <w:tcMar>
              <w:top w:type="dxa" w:w="100"/>
              <w:left w:type="dxa" w:w="140"/>
              <w:bottom w:type="dxa" w:w="100"/>
              <w:right w:type="dxa" w:w="140"/>
            </w:tcMar>
          </w:tcPr>
          <w:p>
            <w:r>
              <w:rPr>
                <w:color w:val="1F2937"/>
                <w:sz w:val="20"/>
                <w:szCs w:val="20"/>
              </w:rPr>
              <w:t xml:space="preserve">addressCities[0].addressCity</w:t>
            </w:r>
          </w:p>
        </w:tc>
        <w:tc>
          <w:tcPr>
            <w:tcW w:type="pct" w:w="1500"/>
            <w:shd w:fill="FFFFFF" w:val="clear"/>
            <w:tcMar>
              <w:top w:type="dxa" w:w="100"/>
              <w:left w:type="dxa" w:w="140"/>
              <w:bottom w:type="dxa" w:w="100"/>
              <w:right w:type="dxa" w:w="140"/>
            </w:tcMar>
          </w:tcPr>
          <w:p>
            <w:r>
              <w:rPr>
                <w:color w:val="1F2937"/>
                <w:sz w:val="20"/>
                <w:szCs w:val="20"/>
              </w:rPr>
              <w:t xml:space="preserve">Sanitized municipal city name</w:t>
            </w:r>
          </w:p>
        </w:tc>
        <w:tc>
          <w:tcPr>
            <w:tcW w:type="pct" w:w="1000"/>
            <w:shd w:fill="FFFFFF" w:val="clear"/>
            <w:tcMar>
              <w:top w:type="dxa" w:w="100"/>
              <w:left w:type="dxa" w:w="140"/>
              <w:bottom w:type="dxa" w:w="100"/>
              <w:right w:type="dxa" w:w="140"/>
            </w:tcMar>
          </w:tcPr>
          <w:p>
            <w:r>
              <w:rPr>
                <w:color w:val="1F2937"/>
                <w:sz w:val="20"/>
                <w:szCs w:val="20"/>
              </w:rPr>
              <w:t xml:space="preserve">"Vilnius"</w:t>
            </w:r>
          </w:p>
        </w:tc>
      </w:tr>
      <w:tr>
        <w:tc>
          <w:tcPr>
            <w:tcW w:type="pct" w:w="1250"/>
            <w:shd w:fill="F8FAFC" w:val="clear"/>
            <w:tcMar>
              <w:top w:type="dxa" w:w="100"/>
              <w:left w:type="dxa" w:w="140"/>
              <w:bottom w:type="dxa" w:w="100"/>
              <w:right w:type="dxa" w:w="140"/>
            </w:tcMar>
          </w:tcPr>
          <w:p>
            <w:r>
              <w:rPr>
                <w:color w:val="1F2937"/>
                <w:sz w:val="20"/>
                <w:szCs w:val="20"/>
              </w:rPr>
              <w:t xml:space="preserve">RegistrationAddress.postCode</w:t>
            </w:r>
          </w:p>
        </w:tc>
        <w:tc>
          <w:tcPr>
            <w:tcW w:type="pct" w:w="1250"/>
            <w:shd w:fill="F8FAFC" w:val="clear"/>
            <w:tcMar>
              <w:top w:type="dxa" w:w="100"/>
              <w:left w:type="dxa" w:w="140"/>
              <w:bottom w:type="dxa" w:w="100"/>
              <w:right w:type="dxa" w:w="140"/>
            </w:tcMar>
          </w:tcPr>
          <w:p>
            <w:r>
              <w:rPr>
                <w:color w:val="1F2937"/>
                <w:sz w:val="20"/>
                <w:szCs w:val="20"/>
              </w:rPr>
              <w:t xml:space="preserve">postCode</w:t>
            </w:r>
          </w:p>
        </w:tc>
        <w:tc>
          <w:tcPr>
            <w:tcW w:type="pct" w:w="1500"/>
            <w:shd w:fill="F8FAFC" w:val="clear"/>
            <w:tcMar>
              <w:top w:type="dxa" w:w="100"/>
              <w:left w:type="dxa" w:w="140"/>
              <w:bottom w:type="dxa" w:w="100"/>
              <w:right w:type="dxa" w:w="140"/>
            </w:tcMar>
          </w:tcPr>
          <w:p>
            <w:r>
              <w:rPr>
                <w:color w:val="1F2937"/>
                <w:sz w:val="20"/>
                <w:szCs w:val="20"/>
              </w:rPr>
              <w:t xml:space="preserve">Numeric integer parsed from postal code string</w:t>
            </w:r>
          </w:p>
        </w:tc>
        <w:tc>
          <w:tcPr>
            <w:tcW w:type="pct" w:w="1000"/>
            <w:shd w:fill="F8FAFC" w:val="clear"/>
            <w:tcMar>
              <w:top w:type="dxa" w:w="100"/>
              <w:left w:type="dxa" w:w="140"/>
              <w:bottom w:type="dxa" w:w="100"/>
              <w:right w:type="dxa" w:w="140"/>
            </w:tcMar>
          </w:tcPr>
          <w:p>
            <w:r>
              <w:rPr>
                <w:color w:val="1F2937"/>
                <w:sz w:val="20"/>
                <w:szCs w:val="20"/>
              </w:rPr>
              <w:t xml:space="preserve">1130</w:t>
            </w:r>
          </w:p>
        </w:tc>
      </w:tr>
      <w:tr>
        <w:tc>
          <w:tcPr>
            <w:tcW w:type="pct" w:w="1250"/>
            <w:shd w:fill="FFFFFF" w:val="clear"/>
            <w:tcMar>
              <w:top w:type="dxa" w:w="100"/>
              <w:left w:type="dxa" w:w="140"/>
              <w:bottom w:type="dxa" w:w="100"/>
              <w:right w:type="dxa" w:w="140"/>
            </w:tcMar>
          </w:tcPr>
          <w:p>
            <w:r>
              <w:rPr>
                <w:color w:val="1F2937"/>
                <w:sz w:val="20"/>
                <w:szCs w:val="20"/>
              </w:rPr>
              <w:t xml:space="preserve">Gender / Title</w:t>
            </w:r>
          </w:p>
        </w:tc>
        <w:tc>
          <w:tcPr>
            <w:tcW w:type="pct" w:w="1250"/>
            <w:shd w:fill="FFFFFF" w:val="clear"/>
            <w:tcMar>
              <w:top w:type="dxa" w:w="100"/>
              <w:left w:type="dxa" w:w="140"/>
              <w:bottom w:type="dxa" w:w="100"/>
              <w:right w:type="dxa" w:w="140"/>
            </w:tcMar>
          </w:tcPr>
          <w:p>
            <w:r>
              <w:rPr>
                <w:color w:val="1F2937"/>
                <w:sz w:val="20"/>
                <w:szCs w:val="20"/>
              </w:rPr>
              <w:t xml:space="preserve">title &amp; gender</w:t>
            </w:r>
          </w:p>
        </w:tc>
        <w:tc>
          <w:tcPr>
            <w:tcW w:type="pct" w:w="1500"/>
            <w:shd w:fill="FFFFFF" w:val="clear"/>
            <w:tcMar>
              <w:top w:type="dxa" w:w="100"/>
              <w:left w:type="dxa" w:w="140"/>
              <w:bottom w:type="dxa" w:w="100"/>
              <w:right w:type="dxa" w:w="140"/>
            </w:tcMar>
          </w:tcPr>
          <w:p>
            <w:r>
              <w:rPr>
                <w:color w:val="1F2937"/>
                <w:sz w:val="20"/>
                <w:szCs w:val="20"/>
              </w:rPr>
              <w:t xml:space="preserve">MALE -&gt; MR, FEMALE -&gt; MS</w:t>
            </w:r>
          </w:p>
        </w:tc>
        <w:tc>
          <w:tcPr>
            <w:tcW w:type="pct" w:w="1000"/>
            <w:shd w:fill="FFFFFF" w:val="clear"/>
            <w:tcMar>
              <w:top w:type="dxa" w:w="100"/>
              <w:left w:type="dxa" w:w="140"/>
              <w:bottom w:type="dxa" w:w="100"/>
              <w:right w:type="dxa" w:w="140"/>
            </w:tcMar>
          </w:tcPr>
          <w:p>
            <w:r>
              <w:rPr>
                <w:color w:val="1F2937"/>
                <w:sz w:val="20"/>
                <w:szCs w:val="20"/>
              </w:rPr>
              <w:t xml:space="preserve">"MR" / "MALE"</w:t>
            </w:r>
          </w:p>
        </w:tc>
      </w:tr>
      <w:tr>
        <w:tc>
          <w:tcPr>
            <w:tcW w:type="pct" w:w="1250"/>
            <w:shd w:fill="F8FAFC" w:val="clear"/>
            <w:tcMar>
              <w:top w:type="dxa" w:w="100"/>
              <w:left w:type="dxa" w:w="140"/>
              <w:bottom w:type="dxa" w:w="100"/>
              <w:right w:type="dxa" w:w="140"/>
            </w:tcMar>
          </w:tcPr>
          <w:p>
            <w:r>
              <w:rPr>
                <w:color w:val="1F2937"/>
                <w:sz w:val="20"/>
                <w:szCs w:val="20"/>
              </w:rPr>
              <w:t xml:space="preserve">McdId</w:t>
            </w:r>
          </w:p>
        </w:tc>
        <w:tc>
          <w:tcPr>
            <w:tcW w:type="pct" w:w="1250"/>
            <w:shd w:fill="F8FAFC" w:val="clear"/>
            <w:tcMar>
              <w:top w:type="dxa" w:w="100"/>
              <w:left w:type="dxa" w:w="140"/>
              <w:bottom w:type="dxa" w:w="100"/>
              <w:right w:type="dxa" w:w="140"/>
            </w:tcMar>
          </w:tcPr>
          <w:p>
            <w:r>
              <w:rPr>
                <w:color w:val="1F2937"/>
                <w:sz w:val="20"/>
                <w:szCs w:val="20"/>
              </w:rPr>
              <w:t xml:space="preserve">extensions.externalCustomerId</w:t>
            </w:r>
          </w:p>
        </w:tc>
        <w:tc>
          <w:tcPr>
            <w:tcW w:type="pct" w:w="1500"/>
            <w:shd w:fill="F8FAFC" w:val="clear"/>
            <w:tcMar>
              <w:top w:type="dxa" w:w="100"/>
              <w:left w:type="dxa" w:w="140"/>
              <w:bottom w:type="dxa" w:w="100"/>
              <w:right w:type="dxa" w:w="140"/>
            </w:tcMar>
          </w:tcPr>
          <w:p>
            <w:r>
              <w:rPr>
                <w:color w:val="1F2937"/>
                <w:sz w:val="20"/>
                <w:szCs w:val="20"/>
              </w:rPr>
              <w:t xml:space="preserve">MCD prospect identifier forwarded to core banking</w:t>
            </w:r>
          </w:p>
        </w:tc>
        <w:tc>
          <w:tcPr>
            <w:tcW w:type="pct" w:w="1000"/>
            <w:shd w:fill="F8FAFC" w:val="clear"/>
            <w:tcMar>
              <w:top w:type="dxa" w:w="100"/>
              <w:left w:type="dxa" w:w="140"/>
              <w:bottom w:type="dxa" w:w="100"/>
              <w:right w:type="dxa" w:w="140"/>
            </w:tcMar>
          </w:tcPr>
          <w:p>
            <w:r>
              <w:rPr>
                <w:color w:val="1F2937"/>
                <w:sz w:val="20"/>
                <w:szCs w:val="20"/>
              </w:rPr>
              <w:t xml:space="preserve">"P6922"</w:t>
            </w:r>
          </w:p>
        </w:tc>
      </w:tr>
      <w:tr>
        <w:tc>
          <w:tcPr>
            <w:tcW w:type="pct" w:w="1250"/>
            <w:shd w:fill="FFFFFF" w:val="clear"/>
            <w:tcMar>
              <w:top w:type="dxa" w:w="100"/>
              <w:left w:type="dxa" w:w="140"/>
              <w:bottom w:type="dxa" w:w="100"/>
              <w:right w:type="dxa" w:w="140"/>
            </w:tcMar>
          </w:tcPr>
          <w:p>
            <w:r>
              <w:rPr>
                <w:color w:val="1F2937"/>
                <w:sz w:val="20"/>
                <w:szCs w:val="20"/>
              </w:rPr>
              <w:t xml:space="preserve">PersonalCode</w:t>
            </w:r>
          </w:p>
        </w:tc>
        <w:tc>
          <w:tcPr>
            <w:tcW w:type="pct" w:w="1250"/>
            <w:shd w:fill="FFFFFF" w:val="clear"/>
            <w:tcMar>
              <w:top w:type="dxa" w:w="100"/>
              <w:left w:type="dxa" w:w="140"/>
              <w:bottom w:type="dxa" w:w="100"/>
              <w:right w:type="dxa" w:w="140"/>
            </w:tcMar>
          </w:tcPr>
          <w:p>
            <w:r>
              <w:rPr>
                <w:color w:val="1F2937"/>
                <w:sz w:val="20"/>
                <w:szCs w:val="20"/>
              </w:rPr>
              <w:t xml:space="preserve">extensions.personalCode</w:t>
            </w:r>
          </w:p>
        </w:tc>
        <w:tc>
          <w:tcPr>
            <w:tcW w:type="pct" w:w="1500"/>
            <w:shd w:fill="FFFFFF" w:val="clear"/>
            <w:tcMar>
              <w:top w:type="dxa" w:w="100"/>
              <w:left w:type="dxa" w:w="140"/>
              <w:bottom w:type="dxa" w:w="100"/>
              <w:right w:type="dxa" w:w="140"/>
            </w:tcMar>
          </w:tcPr>
          <w:p>
            <w:r>
              <w:rPr>
                <w:color w:val="1F2937"/>
                <w:sz w:val="20"/>
                <w:szCs w:val="20"/>
              </w:rPr>
              <w:t xml:space="preserve">11-digit national identity code in core extensions</w:t>
            </w:r>
          </w:p>
        </w:tc>
        <w:tc>
          <w:tcPr>
            <w:tcW w:type="pct" w:w="1000"/>
            <w:shd w:fill="FFFFFF" w:val="clear"/>
            <w:tcMar>
              <w:top w:type="dxa" w:w="100"/>
              <w:left w:type="dxa" w:w="140"/>
              <w:bottom w:type="dxa" w:w="100"/>
              <w:right w:type="dxa" w:w="140"/>
            </w:tcMar>
          </w:tcPr>
          <w:p>
            <w:r>
              <w:rPr>
                <w:color w:val="1F2937"/>
                <w:sz w:val="20"/>
                <w:szCs w:val="20"/>
              </w:rPr>
              <w:t xml:space="preserve">"38210150991"</w:t>
            </w:r>
          </w:p>
        </w:tc>
      </w:tr>
      <w:tr>
        <w:tc>
          <w:tcPr>
            <w:tcW w:type="pct" w:w="1250"/>
            <w:shd w:fill="F8FAFC" w:val="clear"/>
            <w:tcMar>
              <w:top w:type="dxa" w:w="100"/>
              <w:left w:type="dxa" w:w="140"/>
              <w:bottom w:type="dxa" w:w="100"/>
              <w:right w:type="dxa" w:w="140"/>
            </w:tcMar>
          </w:tcPr>
          <w:p>
            <w:r>
              <w:rPr>
                <w:color w:val="1F2937"/>
                <w:sz w:val="20"/>
                <w:szCs w:val="20"/>
              </w:rPr>
              <w:t xml:space="preserve">Transact Response "id"</w:t>
            </w:r>
          </w:p>
        </w:tc>
        <w:tc>
          <w:tcPr>
            <w:tcW w:type="pct" w:w="1250"/>
            <w:shd w:fill="F8FAFC" w:val="clear"/>
            <w:tcMar>
              <w:top w:type="dxa" w:w="100"/>
              <w:left w:type="dxa" w:w="140"/>
              <w:bottom w:type="dxa" w:w="100"/>
              <w:right w:type="dxa" w:w="140"/>
            </w:tcMar>
          </w:tcPr>
          <w:p>
            <w:r>
              <w:rPr>
                <w:color w:val="1F2937"/>
                <w:sz w:val="20"/>
                <w:szCs w:val="20"/>
              </w:rPr>
              <w:t xml:space="preserve">customer.TransactID</w:t>
            </w:r>
          </w:p>
        </w:tc>
        <w:tc>
          <w:tcPr>
            <w:tcW w:type="pct" w:w="1500"/>
            <w:shd w:fill="F8FAFC" w:val="clear"/>
            <w:tcMar>
              <w:top w:type="dxa" w:w="100"/>
              <w:left w:type="dxa" w:w="140"/>
              <w:bottom w:type="dxa" w:w="100"/>
              <w:right w:type="dxa" w:w="140"/>
            </w:tcMar>
          </w:tcPr>
          <w:p>
            <w:r>
              <w:rPr>
                <w:color w:val="1F2937"/>
                <w:sz w:val="20"/>
                <w:szCs w:val="20"/>
              </w:rPr>
              <w:t xml:space="preserve">Core banking account ID mapped back to MCD record</w:t>
            </w:r>
          </w:p>
        </w:tc>
        <w:tc>
          <w:tcPr>
            <w:tcW w:type="pct" w:w="1000"/>
            <w:shd w:fill="F8FAFC" w:val="clear"/>
            <w:tcMar>
              <w:top w:type="dxa" w:w="100"/>
              <w:left w:type="dxa" w:w="140"/>
              <w:bottom w:type="dxa" w:w="100"/>
              <w:right w:type="dxa" w:w="140"/>
            </w:tcMar>
          </w:tcPr>
          <w:p>
            <w:r>
              <w:rPr>
                <w:color w:val="1F2937"/>
                <w:sz w:val="20"/>
                <w:szCs w:val="20"/>
              </w:rPr>
              <w:t xml:space="preserve">"10001905"</w:t>
            </w:r>
          </w:p>
        </w:tc>
      </w:tr>
    </w:tbl>
    <w:p>
      <w:pPr>
        <w:pStyle w:val="Heading1"/>
        <w:spacing w:after="200" w:before="400"/>
      </w:pPr>
      <w:r>
        <w:t xml:space="preserve">3. Architectural Sequence Diagrams</w:t>
      </w:r>
    </w:p>
    <w:p>
      <w:pPr>
        <w:spacing w:after="120"/>
        <w:jc w:val="left"/>
      </w:pPr>
      <w:r>
        <w:rPr>
          <w:b w:val="false"/>
          <w:bCs w:val="false"/>
          <w:i w:val="false"/>
          <w:iCs w:val="false"/>
          <w:color w:val="1F2937"/>
          <w:sz w:val="22"/>
          <w:szCs w:val="22"/>
        </w:rPr>
        <w:t xml:space="preserve">This section outlines the detailed sequence interactions across the system for prospect onboarding, on-demand synchronization, UI random generation, and persistence.</w:t>
      </w:r>
    </w:p>
    <w:p>
      <w:pPr>
        <w:pStyle w:val="Heading2"/>
        <w:spacing w:after="150" w:before="300"/>
      </w:pPr>
      <w:r>
        <w:t xml:space="preserve">3.1 Sequence 1: Physical Prospect Creation &amp; Automatic Core Banking Provisioning</w:t>
      </w:r>
    </w:p>
    <w:p>
      <w:pPr>
        <w:spacing w:after="120"/>
        <w:jc w:val="left"/>
      </w:pPr>
      <w:r>
        <w:rPr>
          <w:b w:val="false"/>
          <w:bCs w:val="false"/>
          <w:i w:val="false"/>
          <w:iCs w:val="false"/>
          <w:color w:val="1F2937"/>
          <w:sz w:val="22"/>
          <w:szCs w:val="22"/>
        </w:rPr>
        <w:t xml:space="preserve">This workflow illustrates how a client application creates a prospect via `POST /persons/physical` and how the server automatically coordinates with Temenos Transact to obtain and attach a `TransactID`.</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903"/>
        <w:gridCol w:w="2257"/>
        <w:gridCol w:w="2708"/>
        <w:gridCol w:w="3159"/>
      </w:tblGrid>
      <w:tr>
        <w:trPr>
          <w:tblHeader/>
        </w:trPr>
        <w:tc>
          <w:tcPr>
            <w:gridSpan w:val="4"/>
            <w:shd w:fill="1E3A8A" w:val="clear"/>
            <w:tcMar>
              <w:top w:type="dxa" w:w="120"/>
              <w:left w:type="dxa" w:w="160"/>
              <w:bottom w:type="dxa" w:w="120"/>
              <w:right w:type="dxa" w:w="160"/>
            </w:tcMar>
          </w:tcPr>
          <w:p>
            <w:r>
              <w:rPr>
                <w:b/>
                <w:bCs/>
                <w:color w:val="FFFFFF"/>
                <w:sz w:val="22"/>
                <w:szCs w:val="22"/>
              </w:rPr>
              <w:t xml:space="preserve">SEQUENCE FLOW: Physical Prospect Creation &amp; Transact Sync Flow</w:t>
            </w:r>
          </w:p>
        </w:tc>
      </w:tr>
      <w:tr>
        <w:trPr>
          <w:tblHeader/>
        </w:trPr>
        <w:tc>
          <w:tcPr>
            <w:shd w:fill="1E293B" w:val="clear"/>
            <w:tcMar>
              <w:top w:type="dxa" w:w="100"/>
              <w:left w:type="dxa" w:w="120"/>
              <w:bottom w:type="dxa" w:w="100"/>
              <w:right w:type="dxa" w:w="120"/>
            </w:tcMar>
          </w:tcPr>
          <w:p>
            <w:r>
              <w:rPr>
                <w:b/>
                <w:bCs/>
                <w:color w:val="FFFFFF"/>
                <w:sz w:val="19"/>
                <w:szCs w:val="19"/>
              </w:rPr>
              <w:t xml:space="preserve">Step #</w:t>
            </w:r>
          </w:p>
        </w:tc>
        <w:tc>
          <w:tcPr>
            <w:shd w:fill="1E293B" w:val="clear"/>
            <w:tcMar>
              <w:top w:type="dxa" w:w="100"/>
              <w:left w:type="dxa" w:w="120"/>
              <w:bottom w:type="dxa" w:w="100"/>
              <w:right w:type="dxa" w:w="120"/>
            </w:tcMar>
          </w:tcPr>
          <w:p>
            <w:r>
              <w:rPr>
                <w:b/>
                <w:bCs/>
                <w:color w:val="FFFFFF"/>
                <w:sz w:val="19"/>
                <w:szCs w:val="19"/>
              </w:rPr>
              <w:t xml:space="preserve">Source ➔ Target</w:t>
            </w:r>
          </w:p>
        </w:tc>
        <w:tc>
          <w:tcPr>
            <w:shd w:fill="1E293B" w:val="clear"/>
            <w:tcMar>
              <w:top w:type="dxa" w:w="100"/>
              <w:left w:type="dxa" w:w="120"/>
              <w:bottom w:type="dxa" w:w="100"/>
              <w:right w:type="dxa" w:w="120"/>
            </w:tcMar>
          </w:tcPr>
          <w:p>
            <w:r>
              <w:rPr>
                <w:b/>
                <w:bCs/>
                <w:color w:val="FFFFFF"/>
                <w:sz w:val="19"/>
                <w:szCs w:val="19"/>
              </w:rPr>
              <w:t xml:space="preserve">Operation / Message</w:t>
            </w:r>
          </w:p>
        </w:tc>
        <w:tc>
          <w:tcPr>
            <w:shd w:fill="1E293B" w:val="clear"/>
            <w:tcMar>
              <w:top w:type="dxa" w:w="100"/>
              <w:left w:type="dxa" w:w="120"/>
              <w:bottom w:type="dxa" w:w="100"/>
              <w:right w:type="dxa" w:w="120"/>
            </w:tcMar>
          </w:tcPr>
          <w:p>
            <w:r>
              <w:rPr>
                <w:b/>
                <w:bCs/>
                <w:color w:val="FFFFFF"/>
                <w:sz w:val="19"/>
                <w:szCs w:val="19"/>
              </w:rPr>
              <w:t xml:space="preserve">Payload &amp; Protocol Details</w:t>
            </w:r>
          </w:p>
        </w:tc>
      </w:tr>
      <w:tr>
        <w:tc>
          <w:tcPr>
            <w:tcW w:type="pct" w:w="500"/>
            <w:shd w:fill="FFFFFF" w:val="clear"/>
            <w:tcMar>
              <w:top w:type="dxa" w:w="100"/>
              <w:left w:type="dxa" w:w="120"/>
              <w:bottom w:type="dxa" w:w="100"/>
              <w:right w:type="dxa" w:w="120"/>
            </w:tcMar>
          </w:tcPr>
          <w:p>
            <w:r>
              <w:rPr>
                <w:b/>
                <w:bCs/>
                <w:color w:val="1E3A8A"/>
                <w:sz w:val="19"/>
                <w:szCs w:val="19"/>
              </w:rPr>
              <w:t xml:space="preserve">1</w:t>
            </w:r>
          </w:p>
        </w:tc>
        <w:tc>
          <w:tcPr>
            <w:tcW w:type="pct" w:w="1250"/>
            <w:shd w:fill="FFFFFF" w:val="clear"/>
            <w:tcMar>
              <w:top w:type="dxa" w:w="100"/>
              <w:left w:type="dxa" w:w="120"/>
              <w:bottom w:type="dxa" w:w="100"/>
              <w:right w:type="dxa" w:w="120"/>
            </w:tcMar>
          </w:tcPr>
          <w:p>
            <w:r>
              <w:rPr>
                <w:b/>
                <w:bCs/>
                <w:color w:val="0284C7"/>
                <w:sz w:val="19"/>
                <w:szCs w:val="19"/>
              </w:rPr>
              <w:t xml:space="preserve">Client ➔ Gateway</w:t>
            </w:r>
          </w:p>
        </w:tc>
        <w:tc>
          <w:tcPr>
            <w:tcW w:type="pct" w:w="1500"/>
            <w:shd w:fill="FFFFFF" w:val="clear"/>
            <w:tcMar>
              <w:top w:type="dxa" w:w="100"/>
              <w:left w:type="dxa" w:w="120"/>
              <w:bottom w:type="dxa" w:w="100"/>
              <w:right w:type="dxa" w:w="120"/>
            </w:tcMar>
          </w:tcPr>
          <w:p>
            <w:r>
              <w:rPr>
                <w:b/>
                <w:bCs/>
                <w:color w:val="1F2937"/>
                <w:sz w:val="19"/>
                <w:szCs w:val="19"/>
              </w:rPr>
              <w:t xml:space="preserve">POST /persons/physical</w:t>
            </w:r>
          </w:p>
        </w:tc>
        <w:tc>
          <w:tcPr>
            <w:tcW w:type="pct" w:w="1750"/>
            <w:shd w:fill="FFFFFF" w:val="clear"/>
            <w:tcMar>
              <w:top w:type="dxa" w:w="100"/>
              <w:left w:type="dxa" w:w="120"/>
              <w:bottom w:type="dxa" w:w="100"/>
              <w:right w:type="dxa" w:w="120"/>
            </w:tcMar>
          </w:tcPr>
          <w:p>
            <w:r>
              <w:rPr>
                <w:color w:val="1F2937"/>
                <w:sz w:val="18"/>
                <w:szCs w:val="18"/>
              </w:rPr>
              <w:t xml:space="preserve">Sends prospect JSON payload with PersonalCode, names, phone, email, and address.</w:t>
            </w:r>
          </w:p>
        </w:tc>
      </w:tr>
      <w:tr>
        <w:tc>
          <w:tcPr>
            <w:tcW w:type="pct" w:w="500"/>
            <w:shd w:fill="F8FAFC" w:val="clear"/>
            <w:tcMar>
              <w:top w:type="dxa" w:w="100"/>
              <w:left w:type="dxa" w:w="120"/>
              <w:bottom w:type="dxa" w:w="100"/>
              <w:right w:type="dxa" w:w="120"/>
            </w:tcMar>
          </w:tcPr>
          <w:p>
            <w:r>
              <w:rPr>
                <w:b/>
                <w:bCs/>
                <w:color w:val="1E3A8A"/>
                <w:sz w:val="19"/>
                <w:szCs w:val="19"/>
              </w:rPr>
              <w:t xml:space="preserve">2</w:t>
            </w:r>
          </w:p>
        </w:tc>
        <w:tc>
          <w:tcPr>
            <w:tcW w:type="pct" w:w="1250"/>
            <w:shd w:fill="F8FAFC" w:val="clear"/>
            <w:tcMar>
              <w:top w:type="dxa" w:w="100"/>
              <w:left w:type="dxa" w:w="120"/>
              <w:bottom w:type="dxa" w:w="100"/>
              <w:right w:type="dxa" w:w="120"/>
            </w:tcMar>
          </w:tcPr>
          <w:p>
            <w:r>
              <w:rPr>
                <w:b/>
                <w:bCs/>
                <w:color w:val="0284C7"/>
                <w:sz w:val="19"/>
                <w:szCs w:val="19"/>
              </w:rPr>
              <w:t xml:space="preserve">Gateway ➔ Validator</w:t>
            </w:r>
          </w:p>
        </w:tc>
        <w:tc>
          <w:tcPr>
            <w:tcW w:type="pct" w:w="1500"/>
            <w:shd w:fill="F8FAFC" w:val="clear"/>
            <w:tcMar>
              <w:top w:type="dxa" w:w="100"/>
              <w:left w:type="dxa" w:w="120"/>
              <w:bottom w:type="dxa" w:w="100"/>
              <w:right w:type="dxa" w:w="120"/>
            </w:tcMar>
          </w:tcPr>
          <w:p>
            <w:r>
              <w:rPr>
                <w:b/>
                <w:bCs/>
                <w:color w:val="1F2937"/>
                <w:sz w:val="19"/>
                <w:szCs w:val="19"/>
              </w:rPr>
              <w:t xml:space="preserve">Payload Validation</w:t>
            </w:r>
          </w:p>
        </w:tc>
        <w:tc>
          <w:tcPr>
            <w:tcW w:type="pct" w:w="1750"/>
            <w:shd w:fill="F8FAFC" w:val="clear"/>
            <w:tcMar>
              <w:top w:type="dxa" w:w="100"/>
              <w:left w:type="dxa" w:w="120"/>
              <w:bottom w:type="dxa" w:w="100"/>
              <w:right w:type="dxa" w:w="120"/>
            </w:tcMar>
          </w:tcPr>
          <w:p>
            <w:r>
              <w:rPr>
                <w:color w:val="1F2937"/>
                <w:sz w:val="18"/>
                <w:szCs w:val="18"/>
              </w:rPr>
              <w:t xml:space="preserve">Extracts fields, supporting both PascalCase and camelCase. Validates mandatory attributes.</w:t>
            </w:r>
          </w:p>
        </w:tc>
      </w:tr>
      <w:tr>
        <w:tc>
          <w:tcPr>
            <w:tcW w:type="pct" w:w="500"/>
            <w:shd w:fill="FFFFFF" w:val="clear"/>
            <w:tcMar>
              <w:top w:type="dxa" w:w="100"/>
              <w:left w:type="dxa" w:w="120"/>
              <w:bottom w:type="dxa" w:w="100"/>
              <w:right w:type="dxa" w:w="120"/>
            </w:tcMar>
          </w:tcPr>
          <w:p>
            <w:r>
              <w:rPr>
                <w:b/>
                <w:bCs/>
                <w:color w:val="1E3A8A"/>
                <w:sz w:val="19"/>
                <w:szCs w:val="19"/>
              </w:rPr>
              <w:t xml:space="preserve">3</w:t>
            </w:r>
          </w:p>
        </w:tc>
        <w:tc>
          <w:tcPr>
            <w:tcW w:type="pct" w:w="1250"/>
            <w:shd w:fill="FFFFFF" w:val="clear"/>
            <w:tcMar>
              <w:top w:type="dxa" w:w="100"/>
              <w:left w:type="dxa" w:w="120"/>
              <w:bottom w:type="dxa" w:w="100"/>
              <w:right w:type="dxa" w:w="120"/>
            </w:tcMar>
          </w:tcPr>
          <w:p>
            <w:r>
              <w:rPr>
                <w:b/>
                <w:bCs/>
                <w:color w:val="0284C7"/>
                <w:sz w:val="19"/>
                <w:szCs w:val="19"/>
              </w:rPr>
              <w:t xml:space="preserve">Gateway ➔ Deduplicator</w:t>
            </w:r>
          </w:p>
        </w:tc>
        <w:tc>
          <w:tcPr>
            <w:tcW w:type="pct" w:w="1500"/>
            <w:shd w:fill="FFFFFF" w:val="clear"/>
            <w:tcMar>
              <w:top w:type="dxa" w:w="100"/>
              <w:left w:type="dxa" w:w="120"/>
              <w:bottom w:type="dxa" w:w="100"/>
              <w:right w:type="dxa" w:w="120"/>
            </w:tcMar>
          </w:tcPr>
          <w:p>
            <w:r>
              <w:rPr>
                <w:b/>
                <w:bCs/>
                <w:color w:val="1F2937"/>
                <w:sz w:val="19"/>
                <w:szCs w:val="19"/>
              </w:rPr>
              <w:t xml:space="preserve">Idempotency Check</w:t>
            </w:r>
          </w:p>
        </w:tc>
        <w:tc>
          <w:tcPr>
            <w:tcW w:type="pct" w:w="1750"/>
            <w:shd w:fill="FFFFFF" w:val="clear"/>
            <w:tcMar>
              <w:top w:type="dxa" w:w="100"/>
              <w:left w:type="dxa" w:w="120"/>
              <w:bottom w:type="dxa" w:w="100"/>
              <w:right w:type="dxa" w:w="120"/>
            </w:tcMar>
          </w:tcPr>
          <w:p>
            <w:r>
              <w:rPr>
                <w:color w:val="1F2937"/>
                <w:sz w:val="18"/>
                <w:szCs w:val="18"/>
              </w:rPr>
              <w:t xml:space="preserve">Queries in-memory Map. If PersonalCode has existing TransactID, skips remote API call.</w:t>
            </w:r>
          </w:p>
        </w:tc>
      </w:tr>
      <w:tr>
        <w:tc>
          <w:tcPr>
            <w:tcW w:type="pct" w:w="500"/>
            <w:shd w:fill="F8FAFC" w:val="clear"/>
            <w:tcMar>
              <w:top w:type="dxa" w:w="100"/>
              <w:left w:type="dxa" w:w="120"/>
              <w:bottom w:type="dxa" w:w="100"/>
              <w:right w:type="dxa" w:w="120"/>
            </w:tcMar>
          </w:tcPr>
          <w:p>
            <w:r>
              <w:rPr>
                <w:b/>
                <w:bCs/>
                <w:color w:val="1E3A8A"/>
                <w:sz w:val="19"/>
                <w:szCs w:val="19"/>
              </w:rPr>
              <w:t xml:space="preserve">4</w:t>
            </w:r>
          </w:p>
        </w:tc>
        <w:tc>
          <w:tcPr>
            <w:tcW w:type="pct" w:w="1250"/>
            <w:shd w:fill="F8FAFC" w:val="clear"/>
            <w:tcMar>
              <w:top w:type="dxa" w:w="100"/>
              <w:left w:type="dxa" w:w="120"/>
              <w:bottom w:type="dxa" w:w="100"/>
              <w:right w:type="dxa" w:w="120"/>
            </w:tcMar>
          </w:tcPr>
          <w:p>
            <w:r>
              <w:rPr>
                <w:b/>
                <w:bCs/>
                <w:color w:val="0284C7"/>
                <w:sz w:val="19"/>
                <w:szCs w:val="19"/>
              </w:rPr>
              <w:t xml:space="preserve">Gateway ➔ Transact Builder</w:t>
            </w:r>
          </w:p>
        </w:tc>
        <w:tc>
          <w:tcPr>
            <w:tcW w:type="pct" w:w="1500"/>
            <w:shd w:fill="F8FAFC" w:val="clear"/>
            <w:tcMar>
              <w:top w:type="dxa" w:w="100"/>
              <w:left w:type="dxa" w:w="120"/>
              <w:bottom w:type="dxa" w:w="100"/>
              <w:right w:type="dxa" w:w="120"/>
            </w:tcMar>
          </w:tcPr>
          <w:p>
            <w:r>
              <w:rPr>
                <w:b/>
                <w:bCs/>
                <w:color w:val="1F2937"/>
                <w:sz w:val="19"/>
                <w:szCs w:val="19"/>
              </w:rPr>
              <w:t xml:space="preserve">buildTransactPayload()</w:t>
            </w:r>
          </w:p>
        </w:tc>
        <w:tc>
          <w:tcPr>
            <w:tcW w:type="pct" w:w="1750"/>
            <w:shd w:fill="F8FAFC" w:val="clear"/>
            <w:tcMar>
              <w:top w:type="dxa" w:w="100"/>
              <w:left w:type="dxa" w:w="120"/>
              <w:bottom w:type="dxa" w:w="100"/>
              <w:right w:type="dxa" w:w="120"/>
            </w:tcMar>
          </w:tcPr>
          <w:p>
            <w:r>
              <w:rPr>
                <w:color w:val="1F2937"/>
                <w:sz w:val="18"/>
                <w:szCs w:val="18"/>
              </w:rPr>
              <w:t xml:space="preserve">Generates XD mnemonic, random 9-digit SSN (XXX-XX-XXXX), parses IDD phone, normalizes DOB.</w:t>
            </w:r>
          </w:p>
        </w:tc>
      </w:tr>
      <w:tr>
        <w:tc>
          <w:tcPr>
            <w:tcW w:type="pct" w:w="500"/>
            <w:shd w:fill="FFFFFF" w:val="clear"/>
            <w:tcMar>
              <w:top w:type="dxa" w:w="100"/>
              <w:left w:type="dxa" w:w="120"/>
              <w:bottom w:type="dxa" w:w="100"/>
              <w:right w:type="dxa" w:w="120"/>
            </w:tcMar>
          </w:tcPr>
          <w:p>
            <w:r>
              <w:rPr>
                <w:b/>
                <w:bCs/>
                <w:color w:val="1E3A8A"/>
                <w:sz w:val="19"/>
                <w:szCs w:val="19"/>
              </w:rPr>
              <w:t xml:space="preserve">5</w:t>
            </w:r>
          </w:p>
        </w:tc>
        <w:tc>
          <w:tcPr>
            <w:tcW w:type="pct" w:w="1250"/>
            <w:shd w:fill="FFFFFF" w:val="clear"/>
            <w:tcMar>
              <w:top w:type="dxa" w:w="100"/>
              <w:left w:type="dxa" w:w="120"/>
              <w:bottom w:type="dxa" w:w="100"/>
              <w:right w:type="dxa" w:w="120"/>
            </w:tcMar>
          </w:tcPr>
          <w:p>
            <w:r>
              <w:rPr>
                <w:b/>
                <w:bCs/>
                <w:color w:val="0284C7"/>
                <w:sz w:val="19"/>
                <w:szCs w:val="19"/>
              </w:rPr>
              <w:t xml:space="preserve">Gateway ➔ Transact API</w:t>
            </w:r>
          </w:p>
        </w:tc>
        <w:tc>
          <w:tcPr>
            <w:tcW w:type="pct" w:w="1500"/>
            <w:shd w:fill="FFFFFF" w:val="clear"/>
            <w:tcMar>
              <w:top w:type="dxa" w:w="100"/>
              <w:left w:type="dxa" w:w="120"/>
              <w:bottom w:type="dxa" w:w="100"/>
              <w:right w:type="dxa" w:w="120"/>
            </w:tcMar>
          </w:tcPr>
          <w:p>
            <w:r>
              <w:rPr>
                <w:b/>
                <w:bCs/>
                <w:color w:val="1F2937"/>
                <w:sz w:val="19"/>
                <w:szCs w:val="19"/>
              </w:rPr>
              <w:t xml:space="preserve">POST /party/customers</w:t>
            </w:r>
          </w:p>
        </w:tc>
        <w:tc>
          <w:tcPr>
            <w:tcW w:type="pct" w:w="1750"/>
            <w:shd w:fill="FFFFFF" w:val="clear"/>
            <w:tcMar>
              <w:top w:type="dxa" w:w="100"/>
              <w:left w:type="dxa" w:w="120"/>
              <w:bottom w:type="dxa" w:w="100"/>
              <w:right w:type="dxa" w:w="120"/>
            </w:tcMar>
          </w:tcPr>
          <w:p>
            <w:r>
              <w:rPr>
                <w:color w:val="1F2937"/>
                <w:sz w:val="18"/>
                <w:szCs w:val="18"/>
              </w:rPr>
              <w:t xml:space="preserve">Sends authenticated request to Temenos Transact Core at 192.168.1.157:8085.</w:t>
            </w:r>
          </w:p>
        </w:tc>
      </w:tr>
      <w:tr>
        <w:tc>
          <w:tcPr>
            <w:tcW w:type="pct" w:w="500"/>
            <w:shd w:fill="F8FAFC" w:val="clear"/>
            <w:tcMar>
              <w:top w:type="dxa" w:w="100"/>
              <w:left w:type="dxa" w:w="120"/>
              <w:bottom w:type="dxa" w:w="100"/>
              <w:right w:type="dxa" w:w="120"/>
            </w:tcMar>
          </w:tcPr>
          <w:p>
            <w:r>
              <w:rPr>
                <w:b/>
                <w:bCs/>
                <w:color w:val="1E3A8A"/>
                <w:sz w:val="19"/>
                <w:szCs w:val="19"/>
              </w:rPr>
              <w:t xml:space="preserve">6</w:t>
            </w:r>
          </w:p>
        </w:tc>
        <w:tc>
          <w:tcPr>
            <w:tcW w:type="pct" w:w="1250"/>
            <w:shd w:fill="F8FAFC" w:val="clear"/>
            <w:tcMar>
              <w:top w:type="dxa" w:w="100"/>
              <w:left w:type="dxa" w:w="120"/>
              <w:bottom w:type="dxa" w:w="100"/>
              <w:right w:type="dxa" w:w="120"/>
            </w:tcMar>
          </w:tcPr>
          <w:p>
            <w:r>
              <w:rPr>
                <w:b/>
                <w:bCs/>
                <w:color w:val="0284C7"/>
                <w:sz w:val="19"/>
                <w:szCs w:val="19"/>
              </w:rPr>
              <w:t xml:space="preserve">Transact API ➔ Gateway</w:t>
            </w:r>
          </w:p>
        </w:tc>
        <w:tc>
          <w:tcPr>
            <w:tcW w:type="pct" w:w="1500"/>
            <w:shd w:fill="F8FAFC" w:val="clear"/>
            <w:tcMar>
              <w:top w:type="dxa" w:w="100"/>
              <w:left w:type="dxa" w:w="120"/>
              <w:bottom w:type="dxa" w:w="100"/>
              <w:right w:type="dxa" w:w="120"/>
            </w:tcMar>
          </w:tcPr>
          <w:p>
            <w:r>
              <w:rPr>
                <w:b/>
                <w:bCs/>
                <w:color w:val="1F2937"/>
                <w:sz w:val="19"/>
                <w:szCs w:val="19"/>
              </w:rPr>
              <w:t xml:space="preserve">HTTP 200 OK Response</w:t>
            </w:r>
          </w:p>
        </w:tc>
        <w:tc>
          <w:tcPr>
            <w:tcW w:type="pct" w:w="1750"/>
            <w:shd w:fill="F8FAFC" w:val="clear"/>
            <w:tcMar>
              <w:top w:type="dxa" w:w="100"/>
              <w:left w:type="dxa" w:w="120"/>
              <w:bottom w:type="dxa" w:w="100"/>
              <w:right w:type="dxa" w:w="120"/>
            </w:tcMar>
          </w:tcPr>
          <w:p>
            <w:r>
              <w:rPr>
                <w:color w:val="1F2937"/>
                <w:sz w:val="18"/>
                <w:szCs w:val="18"/>
              </w:rPr>
              <w:t xml:space="preserve">T24 returns live transactionStatus: "Live" and newly assigned id: "10001905".</w:t>
            </w:r>
          </w:p>
        </w:tc>
      </w:tr>
      <w:tr>
        <w:tc>
          <w:tcPr>
            <w:tcW w:type="pct" w:w="500"/>
            <w:shd w:fill="FFFFFF" w:val="clear"/>
            <w:tcMar>
              <w:top w:type="dxa" w:w="100"/>
              <w:left w:type="dxa" w:w="120"/>
              <w:bottom w:type="dxa" w:w="100"/>
              <w:right w:type="dxa" w:w="120"/>
            </w:tcMar>
          </w:tcPr>
          <w:p>
            <w:r>
              <w:rPr>
                <w:b/>
                <w:bCs/>
                <w:color w:val="1E3A8A"/>
                <w:sz w:val="19"/>
                <w:szCs w:val="19"/>
              </w:rPr>
              <w:t xml:space="preserve">7</w:t>
            </w:r>
          </w:p>
        </w:tc>
        <w:tc>
          <w:tcPr>
            <w:tcW w:type="pct" w:w="1250"/>
            <w:shd w:fill="FFFFFF" w:val="clear"/>
            <w:tcMar>
              <w:top w:type="dxa" w:w="100"/>
              <w:left w:type="dxa" w:w="120"/>
              <w:bottom w:type="dxa" w:w="100"/>
              <w:right w:type="dxa" w:w="120"/>
            </w:tcMar>
          </w:tcPr>
          <w:p>
            <w:r>
              <w:rPr>
                <w:b/>
                <w:bCs/>
                <w:color w:val="0284C7"/>
                <w:sz w:val="19"/>
                <w:szCs w:val="19"/>
              </w:rPr>
              <w:t xml:space="preserve">Gateway ➔ In-Memory DB</w:t>
            </w:r>
          </w:p>
        </w:tc>
        <w:tc>
          <w:tcPr>
            <w:tcW w:type="pct" w:w="1500"/>
            <w:shd w:fill="FFFFFF" w:val="clear"/>
            <w:tcMar>
              <w:top w:type="dxa" w:w="100"/>
              <w:left w:type="dxa" w:w="120"/>
              <w:bottom w:type="dxa" w:w="100"/>
              <w:right w:type="dxa" w:w="120"/>
            </w:tcMar>
          </w:tcPr>
          <w:p>
            <w:r>
              <w:rPr>
                <w:b/>
                <w:bCs/>
                <w:color w:val="1F2937"/>
                <w:sz w:val="19"/>
                <w:szCs w:val="19"/>
              </w:rPr>
              <w:t xml:space="preserve">Map.set(McdId, Record)</w:t>
            </w:r>
          </w:p>
        </w:tc>
        <w:tc>
          <w:tcPr>
            <w:tcW w:type="pct" w:w="1750"/>
            <w:shd w:fill="FFFFFF" w:val="clear"/>
            <w:tcMar>
              <w:top w:type="dxa" w:w="100"/>
              <w:left w:type="dxa" w:w="120"/>
              <w:bottom w:type="dxa" w:w="100"/>
              <w:right w:type="dxa" w:w="120"/>
            </w:tcMar>
          </w:tcPr>
          <w:p>
            <w:r>
              <w:rPr>
                <w:color w:val="1F2937"/>
                <w:sz w:val="18"/>
                <w:szCs w:val="18"/>
              </w:rPr>
              <w:t xml:space="preserve">Updates customer record with TransactID, TransactStatus: "Synced", and transactResponse.</w:t>
            </w:r>
          </w:p>
        </w:tc>
      </w:tr>
      <w:tr>
        <w:tc>
          <w:tcPr>
            <w:tcW w:type="pct" w:w="500"/>
            <w:shd w:fill="F8FAFC" w:val="clear"/>
            <w:tcMar>
              <w:top w:type="dxa" w:w="100"/>
              <w:left w:type="dxa" w:w="120"/>
              <w:bottom w:type="dxa" w:w="100"/>
              <w:right w:type="dxa" w:w="120"/>
            </w:tcMar>
          </w:tcPr>
          <w:p>
            <w:r>
              <w:rPr>
                <w:b/>
                <w:bCs/>
                <w:color w:val="1E3A8A"/>
                <w:sz w:val="19"/>
                <w:szCs w:val="19"/>
              </w:rPr>
              <w:t xml:space="preserve">8</w:t>
            </w:r>
          </w:p>
        </w:tc>
        <w:tc>
          <w:tcPr>
            <w:tcW w:type="pct" w:w="1250"/>
            <w:shd w:fill="F8FAFC" w:val="clear"/>
            <w:tcMar>
              <w:top w:type="dxa" w:w="100"/>
              <w:left w:type="dxa" w:w="120"/>
              <w:bottom w:type="dxa" w:w="100"/>
              <w:right w:type="dxa" w:w="120"/>
            </w:tcMar>
          </w:tcPr>
          <w:p>
            <w:r>
              <w:rPr>
                <w:b/>
                <w:bCs/>
                <w:color w:val="0284C7"/>
                <w:sz w:val="19"/>
                <w:szCs w:val="19"/>
              </w:rPr>
              <w:t xml:space="preserve">Gateway ➔ Storage Engine</w:t>
            </w:r>
          </w:p>
        </w:tc>
        <w:tc>
          <w:tcPr>
            <w:tcW w:type="pct" w:w="1500"/>
            <w:shd w:fill="F8FAFC" w:val="clear"/>
            <w:tcMar>
              <w:top w:type="dxa" w:w="100"/>
              <w:left w:type="dxa" w:w="120"/>
              <w:bottom w:type="dxa" w:w="100"/>
              <w:right w:type="dxa" w:w="120"/>
            </w:tcMar>
          </w:tcPr>
          <w:p>
            <w:r>
              <w:rPr>
                <w:b/>
                <w:bCs/>
                <w:color w:val="1F2937"/>
                <w:sz w:val="19"/>
                <w:szCs w:val="19"/>
              </w:rPr>
              <w:t xml:space="preserve">syncDbToFile()</w:t>
            </w:r>
          </w:p>
        </w:tc>
        <w:tc>
          <w:tcPr>
            <w:tcW w:type="pct" w:w="1750"/>
            <w:shd w:fill="F8FAFC" w:val="clear"/>
            <w:tcMar>
              <w:top w:type="dxa" w:w="100"/>
              <w:left w:type="dxa" w:w="120"/>
              <w:bottom w:type="dxa" w:w="100"/>
              <w:right w:type="dxa" w:w="120"/>
            </w:tcMar>
          </w:tcPr>
          <w:p>
            <w:r>
              <w:rPr>
                <w:color w:val="1F2937"/>
                <w:sz w:val="18"/>
                <w:szCs w:val="18"/>
              </w:rPr>
              <w:t xml:space="preserve">Atomically flushes database state to db.json and mirrors to db.backup.json.</w:t>
            </w:r>
          </w:p>
        </w:tc>
      </w:tr>
      <w:tr>
        <w:tc>
          <w:tcPr>
            <w:tcW w:type="pct" w:w="500"/>
            <w:shd w:fill="FFFFFF" w:val="clear"/>
            <w:tcMar>
              <w:top w:type="dxa" w:w="100"/>
              <w:left w:type="dxa" w:w="120"/>
              <w:bottom w:type="dxa" w:w="100"/>
              <w:right w:type="dxa" w:w="120"/>
            </w:tcMar>
          </w:tcPr>
          <w:p>
            <w:r>
              <w:rPr>
                <w:b/>
                <w:bCs/>
                <w:color w:val="1E3A8A"/>
                <w:sz w:val="19"/>
                <w:szCs w:val="19"/>
              </w:rPr>
              <w:t xml:space="preserve">9</w:t>
            </w:r>
          </w:p>
        </w:tc>
        <w:tc>
          <w:tcPr>
            <w:tcW w:type="pct" w:w="1250"/>
            <w:shd w:fill="FFFFFF" w:val="clear"/>
            <w:tcMar>
              <w:top w:type="dxa" w:w="100"/>
              <w:left w:type="dxa" w:w="120"/>
              <w:bottom w:type="dxa" w:w="100"/>
              <w:right w:type="dxa" w:w="120"/>
            </w:tcMar>
          </w:tcPr>
          <w:p>
            <w:r>
              <w:rPr>
                <w:b/>
                <w:bCs/>
                <w:color w:val="0284C7"/>
                <w:sz w:val="19"/>
                <w:szCs w:val="19"/>
              </w:rPr>
              <w:t xml:space="preserve">Gateway ➔ Client</w:t>
            </w:r>
          </w:p>
        </w:tc>
        <w:tc>
          <w:tcPr>
            <w:tcW w:type="pct" w:w="1500"/>
            <w:shd w:fill="FFFFFF" w:val="clear"/>
            <w:tcMar>
              <w:top w:type="dxa" w:w="100"/>
              <w:left w:type="dxa" w:w="120"/>
              <w:bottom w:type="dxa" w:w="100"/>
              <w:right w:type="dxa" w:w="120"/>
            </w:tcMar>
          </w:tcPr>
          <w:p>
            <w:r>
              <w:rPr>
                <w:b/>
                <w:bCs/>
                <w:color w:val="1F2937"/>
                <w:sz w:val="19"/>
                <w:szCs w:val="19"/>
              </w:rPr>
              <w:t xml:space="preserve">HTTP 201 Created Response</w:t>
            </w:r>
          </w:p>
        </w:tc>
        <w:tc>
          <w:tcPr>
            <w:tcW w:type="pct" w:w="1750"/>
            <w:shd w:fill="FFFFFF" w:val="clear"/>
            <w:tcMar>
              <w:top w:type="dxa" w:w="100"/>
              <w:left w:type="dxa" w:w="120"/>
              <w:bottom w:type="dxa" w:w="100"/>
              <w:right w:type="dxa" w:w="120"/>
            </w:tcMar>
          </w:tcPr>
          <w:p>
            <w:r>
              <w:rPr>
                <w:color w:val="1F2937"/>
                <w:sz w:val="18"/>
                <w:szCs w:val="18"/>
              </w:rPr>
              <w:t xml:space="preserve">Returns fully populated MCD record containing McdId (e.g. P6922) and TransactID: "10001905".</w:t>
            </w:r>
          </w:p>
        </w:tc>
      </w:tr>
    </w:tbl>
    <w:p>
      <w:pPr>
        <w:pStyle w:val="Heading2"/>
        <w:spacing w:after="150" w:before="300"/>
      </w:pPr>
      <w:r>
        <w:t xml:space="preserve">3.2 Sequence 2: On-Demand PersonalCode Synchronization (POST /transact/sync-customer)</w:t>
      </w:r>
    </w:p>
    <w:p>
      <w:pPr>
        <w:spacing w:after="120"/>
        <w:jc w:val="left"/>
      </w:pPr>
      <w:r>
        <w:rPr>
          <w:b w:val="false"/>
          <w:bCs w:val="false"/>
          <w:i w:val="false"/>
          <w:iCs w:val="false"/>
          <w:color w:val="1F2937"/>
          <w:sz w:val="22"/>
          <w:szCs w:val="22"/>
        </w:rPr>
        <w:t xml:space="preserve">Used by administrators or batch operators to synchronize pre-existing physical persons by their Lithuanian PersonalCode:</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903"/>
        <w:gridCol w:w="2257"/>
        <w:gridCol w:w="2708"/>
        <w:gridCol w:w="3159"/>
      </w:tblGrid>
      <w:tr>
        <w:trPr>
          <w:tblHeader/>
        </w:trPr>
        <w:tc>
          <w:tcPr>
            <w:gridSpan w:val="4"/>
            <w:shd w:fill="1E3A8A" w:val="clear"/>
            <w:tcMar>
              <w:top w:type="dxa" w:w="120"/>
              <w:left w:type="dxa" w:w="160"/>
              <w:bottom w:type="dxa" w:w="120"/>
              <w:right w:type="dxa" w:w="160"/>
            </w:tcMar>
          </w:tcPr>
          <w:p>
            <w:r>
              <w:rPr>
                <w:b/>
                <w:bCs/>
                <w:color w:val="FFFFFF"/>
                <w:sz w:val="22"/>
                <w:szCs w:val="22"/>
              </w:rPr>
              <w:t xml:space="preserve">SEQUENCE FLOW: On-Demand Customer Sync &amp; Deduplication Flow</w:t>
            </w:r>
          </w:p>
        </w:tc>
      </w:tr>
      <w:tr>
        <w:trPr>
          <w:tblHeader/>
        </w:trPr>
        <w:tc>
          <w:tcPr>
            <w:shd w:fill="1E293B" w:val="clear"/>
            <w:tcMar>
              <w:top w:type="dxa" w:w="100"/>
              <w:left w:type="dxa" w:w="120"/>
              <w:bottom w:type="dxa" w:w="100"/>
              <w:right w:type="dxa" w:w="120"/>
            </w:tcMar>
          </w:tcPr>
          <w:p>
            <w:r>
              <w:rPr>
                <w:b/>
                <w:bCs/>
                <w:color w:val="FFFFFF"/>
                <w:sz w:val="19"/>
                <w:szCs w:val="19"/>
              </w:rPr>
              <w:t xml:space="preserve">Step #</w:t>
            </w:r>
          </w:p>
        </w:tc>
        <w:tc>
          <w:tcPr>
            <w:shd w:fill="1E293B" w:val="clear"/>
            <w:tcMar>
              <w:top w:type="dxa" w:w="100"/>
              <w:left w:type="dxa" w:w="120"/>
              <w:bottom w:type="dxa" w:w="100"/>
              <w:right w:type="dxa" w:w="120"/>
            </w:tcMar>
          </w:tcPr>
          <w:p>
            <w:r>
              <w:rPr>
                <w:b/>
                <w:bCs/>
                <w:color w:val="FFFFFF"/>
                <w:sz w:val="19"/>
                <w:szCs w:val="19"/>
              </w:rPr>
              <w:t xml:space="preserve">Source ➔ Target</w:t>
            </w:r>
          </w:p>
        </w:tc>
        <w:tc>
          <w:tcPr>
            <w:shd w:fill="1E293B" w:val="clear"/>
            <w:tcMar>
              <w:top w:type="dxa" w:w="100"/>
              <w:left w:type="dxa" w:w="120"/>
              <w:bottom w:type="dxa" w:w="100"/>
              <w:right w:type="dxa" w:w="120"/>
            </w:tcMar>
          </w:tcPr>
          <w:p>
            <w:r>
              <w:rPr>
                <w:b/>
                <w:bCs/>
                <w:color w:val="FFFFFF"/>
                <w:sz w:val="19"/>
                <w:szCs w:val="19"/>
              </w:rPr>
              <w:t xml:space="preserve">Operation / Message</w:t>
            </w:r>
          </w:p>
        </w:tc>
        <w:tc>
          <w:tcPr>
            <w:shd w:fill="1E293B" w:val="clear"/>
            <w:tcMar>
              <w:top w:type="dxa" w:w="100"/>
              <w:left w:type="dxa" w:w="120"/>
              <w:bottom w:type="dxa" w:w="100"/>
              <w:right w:type="dxa" w:w="120"/>
            </w:tcMar>
          </w:tcPr>
          <w:p>
            <w:r>
              <w:rPr>
                <w:b/>
                <w:bCs/>
                <w:color w:val="FFFFFF"/>
                <w:sz w:val="19"/>
                <w:szCs w:val="19"/>
              </w:rPr>
              <w:t xml:space="preserve">Payload &amp; Protocol Details</w:t>
            </w:r>
          </w:p>
        </w:tc>
      </w:tr>
      <w:tr>
        <w:tc>
          <w:tcPr>
            <w:tcW w:type="pct" w:w="500"/>
            <w:shd w:fill="FFFFFF" w:val="clear"/>
            <w:tcMar>
              <w:top w:type="dxa" w:w="100"/>
              <w:left w:type="dxa" w:w="120"/>
              <w:bottom w:type="dxa" w:w="100"/>
              <w:right w:type="dxa" w:w="120"/>
            </w:tcMar>
          </w:tcPr>
          <w:p>
            <w:r>
              <w:rPr>
                <w:b/>
                <w:bCs/>
                <w:color w:val="1E3A8A"/>
                <w:sz w:val="19"/>
                <w:szCs w:val="19"/>
              </w:rPr>
              <w:t xml:space="preserve">1</w:t>
            </w:r>
          </w:p>
        </w:tc>
        <w:tc>
          <w:tcPr>
            <w:tcW w:type="pct" w:w="1250"/>
            <w:shd w:fill="FFFFFF" w:val="clear"/>
            <w:tcMar>
              <w:top w:type="dxa" w:w="100"/>
              <w:left w:type="dxa" w:w="120"/>
              <w:bottom w:type="dxa" w:w="100"/>
              <w:right w:type="dxa" w:w="120"/>
            </w:tcMar>
          </w:tcPr>
          <w:p>
            <w:r>
              <w:rPr>
                <w:b/>
                <w:bCs/>
                <w:color w:val="0284C7"/>
                <w:sz w:val="19"/>
                <w:szCs w:val="19"/>
              </w:rPr>
              <w:t xml:space="preserve">Admin ➔ Gateway</w:t>
            </w:r>
          </w:p>
        </w:tc>
        <w:tc>
          <w:tcPr>
            <w:tcW w:type="pct" w:w="1500"/>
            <w:shd w:fill="FFFFFF" w:val="clear"/>
            <w:tcMar>
              <w:top w:type="dxa" w:w="100"/>
              <w:left w:type="dxa" w:w="120"/>
              <w:bottom w:type="dxa" w:w="100"/>
              <w:right w:type="dxa" w:w="120"/>
            </w:tcMar>
          </w:tcPr>
          <w:p>
            <w:r>
              <w:rPr>
                <w:b/>
                <w:bCs/>
                <w:color w:val="1F2937"/>
                <w:sz w:val="19"/>
                <w:szCs w:val="19"/>
              </w:rPr>
              <w:t xml:space="preserve">POST /transact/sync-customer</w:t>
            </w:r>
          </w:p>
        </w:tc>
        <w:tc>
          <w:tcPr>
            <w:tcW w:type="pct" w:w="1750"/>
            <w:shd w:fill="FFFFFF" w:val="clear"/>
            <w:tcMar>
              <w:top w:type="dxa" w:w="100"/>
              <w:left w:type="dxa" w:w="120"/>
              <w:bottom w:type="dxa" w:w="100"/>
              <w:right w:type="dxa" w:w="120"/>
            </w:tcMar>
          </w:tcPr>
          <w:p>
            <w:r>
              <w:rPr>
                <w:color w:val="1F2937"/>
                <w:sz w:val="18"/>
                <w:szCs w:val="18"/>
              </w:rPr>
              <w:t xml:space="preserve">Payload: { personalCode: "38210150991", force: false }</w:t>
            </w:r>
          </w:p>
        </w:tc>
      </w:tr>
      <w:tr>
        <w:tc>
          <w:tcPr>
            <w:tcW w:type="pct" w:w="500"/>
            <w:shd w:fill="F8FAFC" w:val="clear"/>
            <w:tcMar>
              <w:top w:type="dxa" w:w="100"/>
              <w:left w:type="dxa" w:w="120"/>
              <w:bottom w:type="dxa" w:w="100"/>
              <w:right w:type="dxa" w:w="120"/>
            </w:tcMar>
          </w:tcPr>
          <w:p>
            <w:r>
              <w:rPr>
                <w:b/>
                <w:bCs/>
                <w:color w:val="1E3A8A"/>
                <w:sz w:val="19"/>
                <w:szCs w:val="19"/>
              </w:rPr>
              <w:t xml:space="preserve">2</w:t>
            </w:r>
          </w:p>
        </w:tc>
        <w:tc>
          <w:tcPr>
            <w:tcW w:type="pct" w:w="1250"/>
            <w:shd w:fill="F8FAFC" w:val="clear"/>
            <w:tcMar>
              <w:top w:type="dxa" w:w="100"/>
              <w:left w:type="dxa" w:w="120"/>
              <w:bottom w:type="dxa" w:w="100"/>
              <w:right w:type="dxa" w:w="120"/>
            </w:tcMar>
          </w:tcPr>
          <w:p>
            <w:r>
              <w:rPr>
                <w:b/>
                <w:bCs/>
                <w:color w:val="0284C7"/>
                <w:sz w:val="19"/>
                <w:szCs w:val="19"/>
              </w:rPr>
              <w:t xml:space="preserve">Gateway ➔ DB Map</w:t>
            </w:r>
          </w:p>
        </w:tc>
        <w:tc>
          <w:tcPr>
            <w:tcW w:type="pct" w:w="1500"/>
            <w:shd w:fill="F8FAFC" w:val="clear"/>
            <w:tcMar>
              <w:top w:type="dxa" w:w="100"/>
              <w:left w:type="dxa" w:w="120"/>
              <w:bottom w:type="dxa" w:w="100"/>
              <w:right w:type="dxa" w:w="120"/>
            </w:tcMar>
          </w:tcPr>
          <w:p>
            <w:r>
              <w:rPr>
                <w:b/>
                <w:bCs/>
                <w:color w:val="1F2937"/>
                <w:sz w:val="19"/>
                <w:szCs w:val="19"/>
              </w:rPr>
              <w:t xml:space="preserve">Find by PersonalCode</w:t>
            </w:r>
          </w:p>
        </w:tc>
        <w:tc>
          <w:tcPr>
            <w:tcW w:type="pct" w:w="1750"/>
            <w:shd w:fill="F8FAFC" w:val="clear"/>
            <w:tcMar>
              <w:top w:type="dxa" w:w="100"/>
              <w:left w:type="dxa" w:w="120"/>
              <w:bottom w:type="dxa" w:w="100"/>
              <w:right w:type="dxa" w:w="120"/>
            </w:tcMar>
          </w:tcPr>
          <w:p>
            <w:r>
              <w:rPr>
                <w:color w:val="1F2937"/>
                <w:sz w:val="18"/>
                <w:szCs w:val="18"/>
              </w:rPr>
              <w:t xml:space="preserve">Scans db.physicalPersons for matching PersonalCode. Throws 404 if not found.</w:t>
            </w:r>
          </w:p>
        </w:tc>
      </w:tr>
      <w:tr>
        <w:tc>
          <w:tcPr>
            <w:tcW w:type="pct" w:w="500"/>
            <w:shd w:fill="FFFFFF" w:val="clear"/>
            <w:tcMar>
              <w:top w:type="dxa" w:w="100"/>
              <w:left w:type="dxa" w:w="120"/>
              <w:bottom w:type="dxa" w:w="100"/>
              <w:right w:type="dxa" w:w="120"/>
            </w:tcMar>
          </w:tcPr>
          <w:p>
            <w:r>
              <w:rPr>
                <w:b/>
                <w:bCs/>
                <w:color w:val="1E3A8A"/>
                <w:sz w:val="19"/>
                <w:szCs w:val="19"/>
              </w:rPr>
              <w:t xml:space="preserve">3</w:t>
            </w:r>
          </w:p>
        </w:tc>
        <w:tc>
          <w:tcPr>
            <w:tcW w:type="pct" w:w="1250"/>
            <w:shd w:fill="FFFFFF" w:val="clear"/>
            <w:tcMar>
              <w:top w:type="dxa" w:w="100"/>
              <w:left w:type="dxa" w:w="120"/>
              <w:bottom w:type="dxa" w:w="100"/>
              <w:right w:type="dxa" w:w="120"/>
            </w:tcMar>
          </w:tcPr>
          <w:p>
            <w:r>
              <w:rPr>
                <w:b/>
                <w:bCs/>
                <w:color w:val="0284C7"/>
                <w:sz w:val="19"/>
                <w:szCs w:val="19"/>
              </w:rPr>
              <w:t xml:space="preserve">Gateway ➔ Inspector</w:t>
            </w:r>
          </w:p>
        </w:tc>
        <w:tc>
          <w:tcPr>
            <w:tcW w:type="pct" w:w="1500"/>
            <w:shd w:fill="FFFFFF" w:val="clear"/>
            <w:tcMar>
              <w:top w:type="dxa" w:w="100"/>
              <w:left w:type="dxa" w:w="120"/>
              <w:bottom w:type="dxa" w:w="100"/>
              <w:right w:type="dxa" w:w="120"/>
            </w:tcMar>
          </w:tcPr>
          <w:p>
            <w:r>
              <w:rPr>
                <w:b/>
                <w:bCs/>
                <w:color w:val="1F2937"/>
                <w:sz w:val="19"/>
                <w:szCs w:val="19"/>
              </w:rPr>
              <w:t xml:space="preserve">hasTransactId() Check</w:t>
            </w:r>
          </w:p>
        </w:tc>
        <w:tc>
          <w:tcPr>
            <w:tcW w:type="pct" w:w="1750"/>
            <w:shd w:fill="FFFFFF" w:val="clear"/>
            <w:tcMar>
              <w:top w:type="dxa" w:w="100"/>
              <w:left w:type="dxa" w:w="120"/>
              <w:bottom w:type="dxa" w:w="100"/>
              <w:right w:type="dxa" w:w="120"/>
            </w:tcMar>
          </w:tcPr>
          <w:p>
            <w:r>
              <w:rPr>
                <w:color w:val="1F2937"/>
                <w:sz w:val="18"/>
                <w:szCs w:val="18"/>
              </w:rPr>
              <w:t xml:space="preserve">Checks if record already has valid TransactID. If true and !force, returns alreadySynced: true.</w:t>
            </w:r>
          </w:p>
        </w:tc>
      </w:tr>
      <w:tr>
        <w:tc>
          <w:tcPr>
            <w:tcW w:type="pct" w:w="500"/>
            <w:shd w:fill="F8FAFC" w:val="clear"/>
            <w:tcMar>
              <w:top w:type="dxa" w:w="100"/>
              <w:left w:type="dxa" w:w="120"/>
              <w:bottom w:type="dxa" w:w="100"/>
              <w:right w:type="dxa" w:w="120"/>
            </w:tcMar>
          </w:tcPr>
          <w:p>
            <w:r>
              <w:rPr>
                <w:b/>
                <w:bCs/>
                <w:color w:val="1E3A8A"/>
                <w:sz w:val="19"/>
                <w:szCs w:val="19"/>
              </w:rPr>
              <w:t xml:space="preserve">4</w:t>
            </w:r>
          </w:p>
        </w:tc>
        <w:tc>
          <w:tcPr>
            <w:tcW w:type="pct" w:w="1250"/>
            <w:shd w:fill="F8FAFC" w:val="clear"/>
            <w:tcMar>
              <w:top w:type="dxa" w:w="100"/>
              <w:left w:type="dxa" w:w="120"/>
              <w:bottom w:type="dxa" w:w="100"/>
              <w:right w:type="dxa" w:w="120"/>
            </w:tcMar>
          </w:tcPr>
          <w:p>
            <w:r>
              <w:rPr>
                <w:b/>
                <w:bCs/>
                <w:color w:val="0284C7"/>
                <w:sz w:val="19"/>
                <w:szCs w:val="19"/>
              </w:rPr>
              <w:t xml:space="preserve">Gateway ➔ Transact API</w:t>
            </w:r>
          </w:p>
        </w:tc>
        <w:tc>
          <w:tcPr>
            <w:tcW w:type="pct" w:w="1500"/>
            <w:shd w:fill="F8FAFC" w:val="clear"/>
            <w:tcMar>
              <w:top w:type="dxa" w:w="100"/>
              <w:left w:type="dxa" w:w="120"/>
              <w:bottom w:type="dxa" w:w="100"/>
              <w:right w:type="dxa" w:w="120"/>
            </w:tcMar>
          </w:tcPr>
          <w:p>
            <w:r>
              <w:rPr>
                <w:b/>
                <w:bCs/>
                <w:color w:val="1F2937"/>
                <w:sz w:val="19"/>
                <w:szCs w:val="19"/>
              </w:rPr>
              <w:t xml:space="preserve">Call Transact (if not synced)</w:t>
            </w:r>
          </w:p>
        </w:tc>
        <w:tc>
          <w:tcPr>
            <w:tcW w:type="pct" w:w="1750"/>
            <w:shd w:fill="F8FAFC" w:val="clear"/>
            <w:tcMar>
              <w:top w:type="dxa" w:w="100"/>
              <w:left w:type="dxa" w:w="120"/>
              <w:bottom w:type="dxa" w:w="100"/>
              <w:right w:type="dxa" w:w="120"/>
            </w:tcMar>
          </w:tcPr>
          <w:p>
            <w:r>
              <w:rPr>
                <w:color w:val="1F2937"/>
                <w:sz w:val="18"/>
                <w:szCs w:val="18"/>
              </w:rPr>
              <w:t xml:space="preserve">Invokes Transact customer creation API with clean SSN and mapped metadata.</w:t>
            </w:r>
          </w:p>
        </w:tc>
      </w:tr>
      <w:tr>
        <w:tc>
          <w:tcPr>
            <w:tcW w:type="pct" w:w="500"/>
            <w:shd w:fill="FFFFFF" w:val="clear"/>
            <w:tcMar>
              <w:top w:type="dxa" w:w="100"/>
              <w:left w:type="dxa" w:w="120"/>
              <w:bottom w:type="dxa" w:w="100"/>
              <w:right w:type="dxa" w:w="120"/>
            </w:tcMar>
          </w:tcPr>
          <w:p>
            <w:r>
              <w:rPr>
                <w:b/>
                <w:bCs/>
                <w:color w:val="1E3A8A"/>
                <w:sz w:val="19"/>
                <w:szCs w:val="19"/>
              </w:rPr>
              <w:t xml:space="preserve">5</w:t>
            </w:r>
          </w:p>
        </w:tc>
        <w:tc>
          <w:tcPr>
            <w:tcW w:type="pct" w:w="1250"/>
            <w:shd w:fill="FFFFFF" w:val="clear"/>
            <w:tcMar>
              <w:top w:type="dxa" w:w="100"/>
              <w:left w:type="dxa" w:w="120"/>
              <w:bottom w:type="dxa" w:w="100"/>
              <w:right w:type="dxa" w:w="120"/>
            </w:tcMar>
          </w:tcPr>
          <w:p>
            <w:r>
              <w:rPr>
                <w:b/>
                <w:bCs/>
                <w:color w:val="0284C7"/>
                <w:sz w:val="19"/>
                <w:szCs w:val="19"/>
              </w:rPr>
              <w:t xml:space="preserve">Transact API ➔ Gateway</w:t>
            </w:r>
          </w:p>
        </w:tc>
        <w:tc>
          <w:tcPr>
            <w:tcW w:type="pct" w:w="1500"/>
            <w:shd w:fill="FFFFFF" w:val="clear"/>
            <w:tcMar>
              <w:top w:type="dxa" w:w="100"/>
              <w:left w:type="dxa" w:w="120"/>
              <w:bottom w:type="dxa" w:w="100"/>
              <w:right w:type="dxa" w:w="120"/>
            </w:tcMar>
          </w:tcPr>
          <w:p>
            <w:r>
              <w:rPr>
                <w:b/>
                <w:bCs/>
                <w:color w:val="1F2937"/>
                <w:sz w:val="19"/>
                <w:szCs w:val="19"/>
              </w:rPr>
              <w:t xml:space="preserve">Return Core Customer ID</w:t>
            </w:r>
          </w:p>
        </w:tc>
        <w:tc>
          <w:tcPr>
            <w:tcW w:type="pct" w:w="1750"/>
            <w:shd w:fill="FFFFFF" w:val="clear"/>
            <w:tcMar>
              <w:top w:type="dxa" w:w="100"/>
              <w:left w:type="dxa" w:w="120"/>
              <w:bottom w:type="dxa" w:w="100"/>
              <w:right w:type="dxa" w:w="120"/>
            </w:tcMar>
          </w:tcPr>
          <w:p>
            <w:r>
              <w:rPr>
                <w:color w:val="1F2937"/>
                <w:sz w:val="18"/>
                <w:szCs w:val="18"/>
              </w:rPr>
              <w:t xml:space="preserve">Transact assigns unique customer ID (e.g., "10001905").</w:t>
            </w:r>
          </w:p>
        </w:tc>
      </w:tr>
      <w:tr>
        <w:tc>
          <w:tcPr>
            <w:tcW w:type="pct" w:w="500"/>
            <w:shd w:fill="F8FAFC" w:val="clear"/>
            <w:tcMar>
              <w:top w:type="dxa" w:w="100"/>
              <w:left w:type="dxa" w:w="120"/>
              <w:bottom w:type="dxa" w:w="100"/>
              <w:right w:type="dxa" w:w="120"/>
            </w:tcMar>
          </w:tcPr>
          <w:p>
            <w:r>
              <w:rPr>
                <w:b/>
                <w:bCs/>
                <w:color w:val="1E3A8A"/>
                <w:sz w:val="19"/>
                <w:szCs w:val="19"/>
              </w:rPr>
              <w:t xml:space="preserve">6</w:t>
            </w:r>
          </w:p>
        </w:tc>
        <w:tc>
          <w:tcPr>
            <w:tcW w:type="pct" w:w="1250"/>
            <w:shd w:fill="F8FAFC" w:val="clear"/>
            <w:tcMar>
              <w:top w:type="dxa" w:w="100"/>
              <w:left w:type="dxa" w:w="120"/>
              <w:bottom w:type="dxa" w:w="100"/>
              <w:right w:type="dxa" w:w="120"/>
            </w:tcMar>
          </w:tcPr>
          <w:p>
            <w:r>
              <w:rPr>
                <w:b/>
                <w:bCs/>
                <w:color w:val="0284C7"/>
                <w:sz w:val="19"/>
                <w:szCs w:val="19"/>
              </w:rPr>
              <w:t xml:space="preserve">Gateway ➔ Disk Sync</w:t>
            </w:r>
          </w:p>
        </w:tc>
        <w:tc>
          <w:tcPr>
            <w:tcW w:type="pct" w:w="1500"/>
            <w:shd w:fill="F8FAFC" w:val="clear"/>
            <w:tcMar>
              <w:top w:type="dxa" w:w="100"/>
              <w:left w:type="dxa" w:w="120"/>
              <w:bottom w:type="dxa" w:w="100"/>
              <w:right w:type="dxa" w:w="120"/>
            </w:tcMar>
          </w:tcPr>
          <w:p>
            <w:r>
              <w:rPr>
                <w:b/>
                <w:bCs/>
                <w:color w:val="1F2937"/>
                <w:sz w:val="19"/>
                <w:szCs w:val="19"/>
              </w:rPr>
              <w:t xml:space="preserve">Save &amp; Persist</w:t>
            </w:r>
          </w:p>
        </w:tc>
        <w:tc>
          <w:tcPr>
            <w:tcW w:type="pct" w:w="1750"/>
            <w:shd w:fill="F8FAFC" w:val="clear"/>
            <w:tcMar>
              <w:top w:type="dxa" w:w="100"/>
              <w:left w:type="dxa" w:w="120"/>
              <w:bottom w:type="dxa" w:w="100"/>
              <w:right w:type="dxa" w:w="120"/>
            </w:tcMar>
          </w:tcPr>
          <w:p>
            <w:r>
              <w:rPr>
                <w:color w:val="1F2937"/>
                <w:sz w:val="18"/>
                <w:szCs w:val="18"/>
              </w:rPr>
              <w:t xml:space="preserve">Updates customer.TransactID and flushes state to disk atomically.</w:t>
            </w:r>
          </w:p>
        </w:tc>
      </w:tr>
      <w:tr>
        <w:tc>
          <w:tcPr>
            <w:tcW w:type="pct" w:w="500"/>
            <w:shd w:fill="FFFFFF" w:val="clear"/>
            <w:tcMar>
              <w:top w:type="dxa" w:w="100"/>
              <w:left w:type="dxa" w:w="120"/>
              <w:bottom w:type="dxa" w:w="100"/>
              <w:right w:type="dxa" w:w="120"/>
            </w:tcMar>
          </w:tcPr>
          <w:p>
            <w:r>
              <w:rPr>
                <w:b/>
                <w:bCs/>
                <w:color w:val="1E3A8A"/>
                <w:sz w:val="19"/>
                <w:szCs w:val="19"/>
              </w:rPr>
              <w:t xml:space="preserve">7</w:t>
            </w:r>
          </w:p>
        </w:tc>
        <w:tc>
          <w:tcPr>
            <w:tcW w:type="pct" w:w="1250"/>
            <w:shd w:fill="FFFFFF" w:val="clear"/>
            <w:tcMar>
              <w:top w:type="dxa" w:w="100"/>
              <w:left w:type="dxa" w:w="120"/>
              <w:bottom w:type="dxa" w:w="100"/>
              <w:right w:type="dxa" w:w="120"/>
            </w:tcMar>
          </w:tcPr>
          <w:p>
            <w:r>
              <w:rPr>
                <w:b/>
                <w:bCs/>
                <w:color w:val="0284C7"/>
                <w:sz w:val="19"/>
                <w:szCs w:val="19"/>
              </w:rPr>
              <w:t xml:space="preserve">Gateway ➔ Admin</w:t>
            </w:r>
          </w:p>
        </w:tc>
        <w:tc>
          <w:tcPr>
            <w:tcW w:type="pct" w:w="1500"/>
            <w:shd w:fill="FFFFFF" w:val="clear"/>
            <w:tcMar>
              <w:top w:type="dxa" w:w="100"/>
              <w:left w:type="dxa" w:w="120"/>
              <w:bottom w:type="dxa" w:w="100"/>
              <w:right w:type="dxa" w:w="120"/>
            </w:tcMar>
          </w:tcPr>
          <w:p>
            <w:r>
              <w:rPr>
                <w:b/>
                <w:bCs/>
                <w:color w:val="1F2937"/>
                <w:sz w:val="19"/>
                <w:szCs w:val="19"/>
              </w:rPr>
              <w:t xml:space="preserve">HTTP 200 OK Response</w:t>
            </w:r>
          </w:p>
        </w:tc>
        <w:tc>
          <w:tcPr>
            <w:tcW w:type="pct" w:w="1750"/>
            <w:shd w:fill="FFFFFF" w:val="clear"/>
            <w:tcMar>
              <w:top w:type="dxa" w:w="100"/>
              <w:left w:type="dxa" w:w="120"/>
              <w:bottom w:type="dxa" w:w="100"/>
              <w:right w:type="dxa" w:w="120"/>
            </w:tcMar>
          </w:tcPr>
          <w:p>
            <w:r>
              <w:rPr>
                <w:color w:val="1F2937"/>
                <w:sz w:val="18"/>
                <w:szCs w:val="18"/>
              </w:rPr>
              <w:t xml:space="preserve">Returns JSON with success: true, transactId, and full customer record.</w:t>
            </w:r>
          </w:p>
        </w:tc>
      </w:tr>
    </w:tbl>
    <w:p>
      <w:pPr>
        <w:pStyle w:val="Heading2"/>
        <w:spacing w:after="150" w:before="300"/>
      </w:pPr>
      <w:r>
        <w:t xml:space="preserve">3.3 Sequence 3: Web Console Dynamic Data Generation &amp; Re-Roll Workflow</w:t>
      </w:r>
    </w:p>
    <w:p>
      <w:pPr>
        <w:spacing w:after="120"/>
        <w:jc w:val="left"/>
      </w:pPr>
      <w:r>
        <w:rPr>
          <w:b w:val="false"/>
          <w:bCs w:val="false"/>
          <w:i w:val="false"/>
          <w:iCs w:val="false"/>
          <w:color w:val="1F2937"/>
          <w:sz w:val="22"/>
          <w:szCs w:val="22"/>
        </w:rPr>
        <w:t xml:space="preserve">This workflow explains how the interactive dashboard empowers operators to test without manual editing:</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903"/>
        <w:gridCol w:w="2257"/>
        <w:gridCol w:w="2708"/>
        <w:gridCol w:w="3159"/>
      </w:tblGrid>
      <w:tr>
        <w:trPr>
          <w:tblHeader/>
        </w:trPr>
        <w:tc>
          <w:tcPr>
            <w:gridSpan w:val="4"/>
            <w:shd w:fill="1E3A8A" w:val="clear"/>
            <w:tcMar>
              <w:top w:type="dxa" w:w="120"/>
              <w:left w:type="dxa" w:w="160"/>
              <w:bottom w:type="dxa" w:w="120"/>
              <w:right w:type="dxa" w:w="160"/>
            </w:tcMar>
          </w:tcPr>
          <w:p>
            <w:r>
              <w:rPr>
                <w:b/>
                <w:bCs/>
                <w:color w:val="FFFFFF"/>
                <w:sz w:val="22"/>
                <w:szCs w:val="22"/>
              </w:rPr>
              <w:t xml:space="preserve">SEQUENCE FLOW: UI Modal Randomization &amp; Submission Flow</w:t>
            </w:r>
          </w:p>
        </w:tc>
      </w:tr>
      <w:tr>
        <w:trPr>
          <w:tblHeader/>
        </w:trPr>
        <w:tc>
          <w:tcPr>
            <w:shd w:fill="1E293B" w:val="clear"/>
            <w:tcMar>
              <w:top w:type="dxa" w:w="100"/>
              <w:left w:type="dxa" w:w="120"/>
              <w:bottom w:type="dxa" w:w="100"/>
              <w:right w:type="dxa" w:w="120"/>
            </w:tcMar>
          </w:tcPr>
          <w:p>
            <w:r>
              <w:rPr>
                <w:b/>
                <w:bCs/>
                <w:color w:val="FFFFFF"/>
                <w:sz w:val="19"/>
                <w:szCs w:val="19"/>
              </w:rPr>
              <w:t xml:space="preserve">Step #</w:t>
            </w:r>
          </w:p>
        </w:tc>
        <w:tc>
          <w:tcPr>
            <w:shd w:fill="1E293B" w:val="clear"/>
            <w:tcMar>
              <w:top w:type="dxa" w:w="100"/>
              <w:left w:type="dxa" w:w="120"/>
              <w:bottom w:type="dxa" w:w="100"/>
              <w:right w:type="dxa" w:w="120"/>
            </w:tcMar>
          </w:tcPr>
          <w:p>
            <w:r>
              <w:rPr>
                <w:b/>
                <w:bCs/>
                <w:color w:val="FFFFFF"/>
                <w:sz w:val="19"/>
                <w:szCs w:val="19"/>
              </w:rPr>
              <w:t xml:space="preserve">Source ➔ Target</w:t>
            </w:r>
          </w:p>
        </w:tc>
        <w:tc>
          <w:tcPr>
            <w:shd w:fill="1E293B" w:val="clear"/>
            <w:tcMar>
              <w:top w:type="dxa" w:w="100"/>
              <w:left w:type="dxa" w:w="120"/>
              <w:bottom w:type="dxa" w:w="100"/>
              <w:right w:type="dxa" w:w="120"/>
            </w:tcMar>
          </w:tcPr>
          <w:p>
            <w:r>
              <w:rPr>
                <w:b/>
                <w:bCs/>
                <w:color w:val="FFFFFF"/>
                <w:sz w:val="19"/>
                <w:szCs w:val="19"/>
              </w:rPr>
              <w:t xml:space="preserve">Operation / Message</w:t>
            </w:r>
          </w:p>
        </w:tc>
        <w:tc>
          <w:tcPr>
            <w:shd w:fill="1E293B" w:val="clear"/>
            <w:tcMar>
              <w:top w:type="dxa" w:w="100"/>
              <w:left w:type="dxa" w:w="120"/>
              <w:bottom w:type="dxa" w:w="100"/>
              <w:right w:type="dxa" w:w="120"/>
            </w:tcMar>
          </w:tcPr>
          <w:p>
            <w:r>
              <w:rPr>
                <w:b/>
                <w:bCs/>
                <w:color w:val="FFFFFF"/>
                <w:sz w:val="19"/>
                <w:szCs w:val="19"/>
              </w:rPr>
              <w:t xml:space="preserve">Payload &amp; Protocol Details</w:t>
            </w:r>
          </w:p>
        </w:tc>
      </w:tr>
      <w:tr>
        <w:tc>
          <w:tcPr>
            <w:tcW w:type="pct" w:w="500"/>
            <w:shd w:fill="FFFFFF" w:val="clear"/>
            <w:tcMar>
              <w:top w:type="dxa" w:w="100"/>
              <w:left w:type="dxa" w:w="120"/>
              <w:bottom w:type="dxa" w:w="100"/>
              <w:right w:type="dxa" w:w="120"/>
            </w:tcMar>
          </w:tcPr>
          <w:p>
            <w:r>
              <w:rPr>
                <w:b/>
                <w:bCs/>
                <w:color w:val="1E3A8A"/>
                <w:sz w:val="19"/>
                <w:szCs w:val="19"/>
              </w:rPr>
              <w:t xml:space="preserve">1</w:t>
            </w:r>
          </w:p>
        </w:tc>
        <w:tc>
          <w:tcPr>
            <w:tcW w:type="pct" w:w="1250"/>
            <w:shd w:fill="FFFFFF" w:val="clear"/>
            <w:tcMar>
              <w:top w:type="dxa" w:w="100"/>
              <w:left w:type="dxa" w:w="120"/>
              <w:bottom w:type="dxa" w:w="100"/>
              <w:right w:type="dxa" w:w="120"/>
            </w:tcMar>
          </w:tcPr>
          <w:p>
            <w:r>
              <w:rPr>
                <w:b/>
                <w:bCs/>
                <w:color w:val="0284C7"/>
                <w:sz w:val="19"/>
                <w:szCs w:val="19"/>
              </w:rPr>
              <w:t xml:space="preserve">User ➔ Web UI</w:t>
            </w:r>
          </w:p>
        </w:tc>
        <w:tc>
          <w:tcPr>
            <w:tcW w:type="pct" w:w="1500"/>
            <w:shd w:fill="FFFFFF" w:val="clear"/>
            <w:tcMar>
              <w:top w:type="dxa" w:w="100"/>
              <w:left w:type="dxa" w:w="120"/>
              <w:bottom w:type="dxa" w:w="100"/>
              <w:right w:type="dxa" w:w="120"/>
            </w:tcMar>
          </w:tcPr>
          <w:p>
            <w:r>
              <w:rPr>
                <w:b/>
                <w:bCs/>
                <w:color w:val="1F2937"/>
                <w:sz w:val="19"/>
                <w:szCs w:val="19"/>
              </w:rPr>
              <w:t xml:space="preserve">Click "+ Add Record"</w:t>
            </w:r>
          </w:p>
        </w:tc>
        <w:tc>
          <w:tcPr>
            <w:tcW w:type="pct" w:w="1750"/>
            <w:shd w:fill="FFFFFF" w:val="clear"/>
            <w:tcMar>
              <w:top w:type="dxa" w:w="100"/>
              <w:left w:type="dxa" w:w="120"/>
              <w:bottom w:type="dxa" w:w="100"/>
              <w:right w:type="dxa" w:w="120"/>
            </w:tcMar>
          </w:tcPr>
          <w:p>
            <w:r>
              <w:rPr>
                <w:color w:val="1F2937"/>
                <w:sz w:val="18"/>
                <w:szCs w:val="18"/>
              </w:rPr>
              <w:t xml:space="preserve">Operator opens modal editor on active collection tab (physical, juridical, rep, acc).</w:t>
            </w:r>
          </w:p>
        </w:tc>
      </w:tr>
      <w:tr>
        <w:tc>
          <w:tcPr>
            <w:tcW w:type="pct" w:w="500"/>
            <w:shd w:fill="F8FAFC" w:val="clear"/>
            <w:tcMar>
              <w:top w:type="dxa" w:w="100"/>
              <w:left w:type="dxa" w:w="120"/>
              <w:bottom w:type="dxa" w:w="100"/>
              <w:right w:type="dxa" w:w="120"/>
            </w:tcMar>
          </w:tcPr>
          <w:p>
            <w:r>
              <w:rPr>
                <w:b/>
                <w:bCs/>
                <w:color w:val="1E3A8A"/>
                <w:sz w:val="19"/>
                <w:szCs w:val="19"/>
              </w:rPr>
              <w:t xml:space="preserve">2</w:t>
            </w:r>
          </w:p>
        </w:tc>
        <w:tc>
          <w:tcPr>
            <w:tcW w:type="pct" w:w="1250"/>
            <w:shd w:fill="F8FAFC" w:val="clear"/>
            <w:tcMar>
              <w:top w:type="dxa" w:w="100"/>
              <w:left w:type="dxa" w:w="120"/>
              <w:bottom w:type="dxa" w:w="100"/>
              <w:right w:type="dxa" w:w="120"/>
            </w:tcMar>
          </w:tcPr>
          <w:p>
            <w:r>
              <w:rPr>
                <w:b/>
                <w:bCs/>
                <w:color w:val="0284C7"/>
                <w:sz w:val="19"/>
                <w:szCs w:val="19"/>
              </w:rPr>
              <w:t xml:space="preserve">Web UI ➔ Generator</w:t>
            </w:r>
          </w:p>
        </w:tc>
        <w:tc>
          <w:tcPr>
            <w:tcW w:type="pct" w:w="1500"/>
            <w:shd w:fill="F8FAFC" w:val="clear"/>
            <w:tcMar>
              <w:top w:type="dxa" w:w="100"/>
              <w:left w:type="dxa" w:w="120"/>
              <w:bottom w:type="dxa" w:w="100"/>
              <w:right w:type="dxa" w:w="120"/>
            </w:tcMar>
          </w:tcPr>
          <w:p>
            <w:r>
              <w:rPr>
                <w:b/>
                <w:bCs/>
                <w:color w:val="1F2937"/>
                <w:sz w:val="19"/>
                <w:szCs w:val="19"/>
              </w:rPr>
              <w:t xml:space="preserve">openCreateModal()</w:t>
            </w:r>
          </w:p>
        </w:tc>
        <w:tc>
          <w:tcPr>
            <w:tcW w:type="pct" w:w="1750"/>
            <w:shd w:fill="F8FAFC" w:val="clear"/>
            <w:tcMar>
              <w:top w:type="dxa" w:w="100"/>
              <w:left w:type="dxa" w:w="120"/>
              <w:bottom w:type="dxa" w:w="100"/>
              <w:right w:type="dxa" w:w="120"/>
            </w:tcMar>
          </w:tcPr>
          <w:p>
            <w:r>
              <w:rPr>
                <w:color w:val="1F2937"/>
                <w:sz w:val="18"/>
                <w:szCs w:val="18"/>
              </w:rPr>
              <w:t xml:space="preserve">Calls getRandomTemplate(currentTable), which executes generateRandomPhysicalRecord().</w:t>
            </w:r>
          </w:p>
        </w:tc>
      </w:tr>
      <w:tr>
        <w:tc>
          <w:tcPr>
            <w:tcW w:type="pct" w:w="500"/>
            <w:shd w:fill="FFFFFF" w:val="clear"/>
            <w:tcMar>
              <w:top w:type="dxa" w:w="100"/>
              <w:left w:type="dxa" w:w="120"/>
              <w:bottom w:type="dxa" w:w="100"/>
              <w:right w:type="dxa" w:w="120"/>
            </w:tcMar>
          </w:tcPr>
          <w:p>
            <w:r>
              <w:rPr>
                <w:b/>
                <w:bCs/>
                <w:color w:val="1E3A8A"/>
                <w:sz w:val="19"/>
                <w:szCs w:val="19"/>
              </w:rPr>
              <w:t xml:space="preserve">3</w:t>
            </w:r>
          </w:p>
        </w:tc>
        <w:tc>
          <w:tcPr>
            <w:tcW w:type="pct" w:w="1250"/>
            <w:shd w:fill="FFFFFF" w:val="clear"/>
            <w:tcMar>
              <w:top w:type="dxa" w:w="100"/>
              <w:left w:type="dxa" w:w="120"/>
              <w:bottom w:type="dxa" w:w="100"/>
              <w:right w:type="dxa" w:w="120"/>
            </w:tcMar>
          </w:tcPr>
          <w:p>
            <w:r>
              <w:rPr>
                <w:b/>
                <w:bCs/>
                <w:color w:val="0284C7"/>
                <w:sz w:val="19"/>
                <w:szCs w:val="19"/>
              </w:rPr>
              <w:t xml:space="preserve">Generator ➔ Web UI</w:t>
            </w:r>
          </w:p>
        </w:tc>
        <w:tc>
          <w:tcPr>
            <w:tcW w:type="pct" w:w="1500"/>
            <w:shd w:fill="FFFFFF" w:val="clear"/>
            <w:tcMar>
              <w:top w:type="dxa" w:w="100"/>
              <w:left w:type="dxa" w:w="120"/>
              <w:bottom w:type="dxa" w:w="100"/>
              <w:right w:type="dxa" w:w="120"/>
            </w:tcMar>
          </w:tcPr>
          <w:p>
            <w:r>
              <w:rPr>
                <w:b/>
                <w:bCs/>
                <w:color w:val="1F2937"/>
                <w:sz w:val="19"/>
                <w:szCs w:val="19"/>
              </w:rPr>
              <w:t xml:space="preserve">Populate JSON Editor</w:t>
            </w:r>
          </w:p>
        </w:tc>
        <w:tc>
          <w:tcPr>
            <w:tcW w:type="pct" w:w="1750"/>
            <w:shd w:fill="FFFFFF" w:val="clear"/>
            <w:tcMar>
              <w:top w:type="dxa" w:w="100"/>
              <w:left w:type="dxa" w:w="120"/>
              <w:bottom w:type="dxa" w:w="100"/>
              <w:right w:type="dxa" w:w="120"/>
            </w:tcMar>
          </w:tcPr>
          <w:p>
            <w:r>
              <w:rPr>
                <w:color w:val="1F2937"/>
                <w:sz w:val="18"/>
                <w:szCs w:val="18"/>
              </w:rPr>
              <w:t xml:space="preserve">Fills editor with valid Lithuanian PersonalCode, matching DOB, SSN, phone, and name.</w:t>
            </w:r>
          </w:p>
        </w:tc>
      </w:tr>
      <w:tr>
        <w:tc>
          <w:tcPr>
            <w:tcW w:type="pct" w:w="500"/>
            <w:shd w:fill="F8FAFC" w:val="clear"/>
            <w:tcMar>
              <w:top w:type="dxa" w:w="100"/>
              <w:left w:type="dxa" w:w="120"/>
              <w:bottom w:type="dxa" w:w="100"/>
              <w:right w:type="dxa" w:w="120"/>
            </w:tcMar>
          </w:tcPr>
          <w:p>
            <w:r>
              <w:rPr>
                <w:b/>
                <w:bCs/>
                <w:color w:val="1E3A8A"/>
                <w:sz w:val="19"/>
                <w:szCs w:val="19"/>
              </w:rPr>
              <w:t xml:space="preserve">4</w:t>
            </w:r>
          </w:p>
        </w:tc>
        <w:tc>
          <w:tcPr>
            <w:tcW w:type="pct" w:w="1250"/>
            <w:shd w:fill="F8FAFC" w:val="clear"/>
            <w:tcMar>
              <w:top w:type="dxa" w:w="100"/>
              <w:left w:type="dxa" w:w="120"/>
              <w:bottom w:type="dxa" w:w="100"/>
              <w:right w:type="dxa" w:w="120"/>
            </w:tcMar>
          </w:tcPr>
          <w:p>
            <w:r>
              <w:rPr>
                <w:b/>
                <w:bCs/>
                <w:color w:val="0284C7"/>
                <w:sz w:val="19"/>
                <w:szCs w:val="19"/>
              </w:rPr>
              <w:t xml:space="preserve">User ➔ Web UI (Optional)</w:t>
            </w:r>
          </w:p>
        </w:tc>
        <w:tc>
          <w:tcPr>
            <w:tcW w:type="pct" w:w="1500"/>
            <w:shd w:fill="F8FAFC" w:val="clear"/>
            <w:tcMar>
              <w:top w:type="dxa" w:w="100"/>
              <w:left w:type="dxa" w:w="120"/>
              <w:bottom w:type="dxa" w:w="100"/>
              <w:right w:type="dxa" w:w="120"/>
            </w:tcMar>
          </w:tcPr>
          <w:p>
            <w:r>
              <w:rPr>
                <w:b/>
                <w:bCs/>
                <w:color w:val="1F2937"/>
                <w:sz w:val="19"/>
                <w:szCs w:val="19"/>
              </w:rPr>
              <w:t xml:space="preserve">Click "🎲 Randomize Data"</w:t>
            </w:r>
          </w:p>
        </w:tc>
        <w:tc>
          <w:tcPr>
            <w:tcW w:type="pct" w:w="1750"/>
            <w:shd w:fill="F8FAFC" w:val="clear"/>
            <w:tcMar>
              <w:top w:type="dxa" w:w="100"/>
              <w:left w:type="dxa" w:w="120"/>
              <w:bottom w:type="dxa" w:w="100"/>
              <w:right w:type="dxa" w:w="120"/>
            </w:tcMar>
          </w:tcPr>
          <w:p>
            <w:r>
              <w:rPr>
                <w:color w:val="1F2937"/>
                <w:sz w:val="18"/>
                <w:szCs w:val="18"/>
              </w:rPr>
              <w:t xml:space="preserve">Calls randomizeModalPayload(). Instantly re-rolls and replaces editor with fresh payload.</w:t>
            </w:r>
          </w:p>
        </w:tc>
      </w:tr>
      <w:tr>
        <w:tc>
          <w:tcPr>
            <w:tcW w:type="pct" w:w="500"/>
            <w:shd w:fill="FFFFFF" w:val="clear"/>
            <w:tcMar>
              <w:top w:type="dxa" w:w="100"/>
              <w:left w:type="dxa" w:w="120"/>
              <w:bottom w:type="dxa" w:w="100"/>
              <w:right w:type="dxa" w:w="120"/>
            </w:tcMar>
          </w:tcPr>
          <w:p>
            <w:r>
              <w:rPr>
                <w:b/>
                <w:bCs/>
                <w:color w:val="1E3A8A"/>
                <w:sz w:val="19"/>
                <w:szCs w:val="19"/>
              </w:rPr>
              <w:t xml:space="preserve">5</w:t>
            </w:r>
          </w:p>
        </w:tc>
        <w:tc>
          <w:tcPr>
            <w:tcW w:type="pct" w:w="1250"/>
            <w:shd w:fill="FFFFFF" w:val="clear"/>
            <w:tcMar>
              <w:top w:type="dxa" w:w="100"/>
              <w:left w:type="dxa" w:w="120"/>
              <w:bottom w:type="dxa" w:w="100"/>
              <w:right w:type="dxa" w:w="120"/>
            </w:tcMar>
          </w:tcPr>
          <w:p>
            <w:r>
              <w:rPr>
                <w:b/>
                <w:bCs/>
                <w:color w:val="0284C7"/>
                <w:sz w:val="19"/>
                <w:szCs w:val="19"/>
              </w:rPr>
              <w:t xml:space="preserve">User ➔ Web UI</w:t>
            </w:r>
          </w:p>
        </w:tc>
        <w:tc>
          <w:tcPr>
            <w:tcW w:type="pct" w:w="1500"/>
            <w:shd w:fill="FFFFFF" w:val="clear"/>
            <w:tcMar>
              <w:top w:type="dxa" w:w="100"/>
              <w:left w:type="dxa" w:w="120"/>
              <w:bottom w:type="dxa" w:w="100"/>
              <w:right w:type="dxa" w:w="120"/>
            </w:tcMar>
          </w:tcPr>
          <w:p>
            <w:r>
              <w:rPr>
                <w:b/>
                <w:bCs/>
                <w:color w:val="1F2937"/>
                <w:sz w:val="19"/>
                <w:szCs w:val="19"/>
              </w:rPr>
              <w:t xml:space="preserve">Click "Save Changes"</w:t>
            </w:r>
          </w:p>
        </w:tc>
        <w:tc>
          <w:tcPr>
            <w:tcW w:type="pct" w:w="1750"/>
            <w:shd w:fill="FFFFFF" w:val="clear"/>
            <w:tcMar>
              <w:top w:type="dxa" w:w="100"/>
              <w:left w:type="dxa" w:w="120"/>
              <w:bottom w:type="dxa" w:w="100"/>
              <w:right w:type="dxa" w:w="120"/>
            </w:tcMar>
          </w:tcPr>
          <w:p>
            <w:r>
              <w:rPr>
                <w:color w:val="1F2937"/>
                <w:sz w:val="18"/>
                <w:szCs w:val="18"/>
              </w:rPr>
              <w:t xml:space="preserve">Dispatches POST /admin/db/physical with randomized payload.</w:t>
            </w:r>
          </w:p>
        </w:tc>
      </w:tr>
      <w:tr>
        <w:tc>
          <w:tcPr>
            <w:tcW w:type="pct" w:w="500"/>
            <w:shd w:fill="F8FAFC" w:val="clear"/>
            <w:tcMar>
              <w:top w:type="dxa" w:w="100"/>
              <w:left w:type="dxa" w:w="120"/>
              <w:bottom w:type="dxa" w:w="100"/>
              <w:right w:type="dxa" w:w="120"/>
            </w:tcMar>
          </w:tcPr>
          <w:p>
            <w:r>
              <w:rPr>
                <w:b/>
                <w:bCs/>
                <w:color w:val="1E3A8A"/>
                <w:sz w:val="19"/>
                <w:szCs w:val="19"/>
              </w:rPr>
              <w:t xml:space="preserve">6</w:t>
            </w:r>
          </w:p>
        </w:tc>
        <w:tc>
          <w:tcPr>
            <w:tcW w:type="pct" w:w="1250"/>
            <w:shd w:fill="F8FAFC" w:val="clear"/>
            <w:tcMar>
              <w:top w:type="dxa" w:w="100"/>
              <w:left w:type="dxa" w:w="120"/>
              <w:bottom w:type="dxa" w:w="100"/>
              <w:right w:type="dxa" w:w="120"/>
            </w:tcMar>
          </w:tcPr>
          <w:p>
            <w:r>
              <w:rPr>
                <w:b/>
                <w:bCs/>
                <w:color w:val="0284C7"/>
                <w:sz w:val="19"/>
                <w:szCs w:val="19"/>
              </w:rPr>
              <w:t xml:space="preserve">Web UI ➔ Gateway</w:t>
            </w:r>
          </w:p>
        </w:tc>
        <w:tc>
          <w:tcPr>
            <w:tcW w:type="pct" w:w="1500"/>
            <w:shd w:fill="F8FAFC" w:val="clear"/>
            <w:tcMar>
              <w:top w:type="dxa" w:w="100"/>
              <w:left w:type="dxa" w:w="120"/>
              <w:bottom w:type="dxa" w:w="100"/>
              <w:right w:type="dxa" w:w="120"/>
            </w:tcMar>
          </w:tcPr>
          <w:p>
            <w:r>
              <w:rPr>
                <w:b/>
                <w:bCs/>
                <w:color w:val="1F2937"/>
                <w:sz w:val="19"/>
                <w:szCs w:val="19"/>
              </w:rPr>
              <w:t xml:space="preserve">POST /admin/db/physical</w:t>
            </w:r>
          </w:p>
        </w:tc>
        <w:tc>
          <w:tcPr>
            <w:tcW w:type="pct" w:w="1750"/>
            <w:shd w:fill="F8FAFC" w:val="clear"/>
            <w:tcMar>
              <w:top w:type="dxa" w:w="100"/>
              <w:left w:type="dxa" w:w="120"/>
              <w:bottom w:type="dxa" w:w="100"/>
              <w:right w:type="dxa" w:w="120"/>
            </w:tcMar>
          </w:tcPr>
          <w:p>
            <w:r>
              <w:rPr>
                <w:color w:val="1F2937"/>
                <w:sz w:val="18"/>
                <w:szCs w:val="18"/>
              </w:rPr>
              <w:t xml:space="preserve">Gateway validates, assigns sequence ID, provisions in Transact, and saves to db.json.</w:t>
            </w:r>
          </w:p>
        </w:tc>
      </w:tr>
      <w:tr>
        <w:tc>
          <w:tcPr>
            <w:tcW w:type="pct" w:w="500"/>
            <w:shd w:fill="FFFFFF" w:val="clear"/>
            <w:tcMar>
              <w:top w:type="dxa" w:w="100"/>
              <w:left w:type="dxa" w:w="120"/>
              <w:bottom w:type="dxa" w:w="100"/>
              <w:right w:type="dxa" w:w="120"/>
            </w:tcMar>
          </w:tcPr>
          <w:p>
            <w:r>
              <w:rPr>
                <w:b/>
                <w:bCs/>
                <w:color w:val="1E3A8A"/>
                <w:sz w:val="19"/>
                <w:szCs w:val="19"/>
              </w:rPr>
              <w:t xml:space="preserve">7</w:t>
            </w:r>
          </w:p>
        </w:tc>
        <w:tc>
          <w:tcPr>
            <w:tcW w:type="pct" w:w="1250"/>
            <w:shd w:fill="FFFFFF" w:val="clear"/>
            <w:tcMar>
              <w:top w:type="dxa" w:w="100"/>
              <w:left w:type="dxa" w:w="120"/>
              <w:bottom w:type="dxa" w:w="100"/>
              <w:right w:type="dxa" w:w="120"/>
            </w:tcMar>
          </w:tcPr>
          <w:p>
            <w:r>
              <w:rPr>
                <w:b/>
                <w:bCs/>
                <w:color w:val="0284C7"/>
                <w:sz w:val="19"/>
                <w:szCs w:val="19"/>
              </w:rPr>
              <w:t xml:space="preserve">Gateway ➔ Web UI</w:t>
            </w:r>
          </w:p>
        </w:tc>
        <w:tc>
          <w:tcPr>
            <w:tcW w:type="pct" w:w="1500"/>
            <w:shd w:fill="FFFFFF" w:val="clear"/>
            <w:tcMar>
              <w:top w:type="dxa" w:w="100"/>
              <w:left w:type="dxa" w:w="120"/>
              <w:bottom w:type="dxa" w:w="100"/>
              <w:right w:type="dxa" w:w="120"/>
            </w:tcMar>
          </w:tcPr>
          <w:p>
            <w:r>
              <w:rPr>
                <w:b/>
                <w:bCs/>
                <w:color w:val="1F2937"/>
                <w:sz w:val="19"/>
                <w:szCs w:val="19"/>
              </w:rPr>
              <w:t xml:space="preserve">HTTP 201 Created</w:t>
            </w:r>
          </w:p>
        </w:tc>
        <w:tc>
          <w:tcPr>
            <w:tcW w:type="pct" w:w="1750"/>
            <w:shd w:fill="FFFFFF" w:val="clear"/>
            <w:tcMar>
              <w:top w:type="dxa" w:w="100"/>
              <w:left w:type="dxa" w:w="120"/>
              <w:bottom w:type="dxa" w:w="100"/>
              <w:right w:type="dxa" w:w="120"/>
            </w:tcMar>
          </w:tcPr>
          <w:p>
            <w:r>
              <w:rPr>
                <w:color w:val="1F2937"/>
                <w:sz w:val="18"/>
                <w:szCs w:val="18"/>
              </w:rPr>
              <w:t xml:space="preserve">Web UI displays success toast, refreshes table, and displays green "Synced" badge.</w:t>
            </w:r>
          </w:p>
        </w:tc>
      </w:tr>
    </w:tbl>
    <w:p>
      <w:pPr>
        <w:pStyle w:val="Heading2"/>
        <w:spacing w:after="150" w:before="300"/>
      </w:pPr>
      <w:r>
        <w:t xml:space="preserve">3.4 Sequence 4: Server Startup, Sequence Recalculation &amp; Crash Recovery</w:t>
      </w:r>
    </w:p>
    <w:p>
      <w:pPr>
        <w:spacing w:after="120"/>
        <w:jc w:val="left"/>
      </w:pPr>
      <w:r>
        <w:rPr>
          <w:b w:val="false"/>
          <w:bCs w:val="false"/>
          <w:i w:val="false"/>
          <w:iCs w:val="false"/>
          <w:color w:val="1F2937"/>
          <w:sz w:val="22"/>
          <w:szCs w:val="22"/>
        </w:rPr>
        <w:t xml:space="preserve">Ensures complete data integrity and zero sequence collision upon system reboots:</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903"/>
        <w:gridCol w:w="2257"/>
        <w:gridCol w:w="2708"/>
        <w:gridCol w:w="3159"/>
      </w:tblGrid>
      <w:tr>
        <w:trPr>
          <w:tblHeader/>
        </w:trPr>
        <w:tc>
          <w:tcPr>
            <w:gridSpan w:val="4"/>
            <w:shd w:fill="1E3A8A" w:val="clear"/>
            <w:tcMar>
              <w:top w:type="dxa" w:w="120"/>
              <w:left w:type="dxa" w:w="160"/>
              <w:bottom w:type="dxa" w:w="120"/>
              <w:right w:type="dxa" w:w="160"/>
            </w:tcMar>
          </w:tcPr>
          <w:p>
            <w:r>
              <w:rPr>
                <w:b/>
                <w:bCs/>
                <w:color w:val="FFFFFF"/>
                <w:sz w:val="22"/>
                <w:szCs w:val="22"/>
              </w:rPr>
              <w:t xml:space="preserve">SEQUENCE FLOW: Startup Discovery &amp; Disaster Recovery Flow</w:t>
            </w:r>
          </w:p>
        </w:tc>
      </w:tr>
      <w:tr>
        <w:trPr>
          <w:tblHeader/>
        </w:trPr>
        <w:tc>
          <w:tcPr>
            <w:shd w:fill="1E293B" w:val="clear"/>
            <w:tcMar>
              <w:top w:type="dxa" w:w="100"/>
              <w:left w:type="dxa" w:w="120"/>
              <w:bottom w:type="dxa" w:w="100"/>
              <w:right w:type="dxa" w:w="120"/>
            </w:tcMar>
          </w:tcPr>
          <w:p>
            <w:r>
              <w:rPr>
                <w:b/>
                <w:bCs/>
                <w:color w:val="FFFFFF"/>
                <w:sz w:val="19"/>
                <w:szCs w:val="19"/>
              </w:rPr>
              <w:t xml:space="preserve">Step #</w:t>
            </w:r>
          </w:p>
        </w:tc>
        <w:tc>
          <w:tcPr>
            <w:shd w:fill="1E293B" w:val="clear"/>
            <w:tcMar>
              <w:top w:type="dxa" w:w="100"/>
              <w:left w:type="dxa" w:w="120"/>
              <w:bottom w:type="dxa" w:w="100"/>
              <w:right w:type="dxa" w:w="120"/>
            </w:tcMar>
          </w:tcPr>
          <w:p>
            <w:r>
              <w:rPr>
                <w:b/>
                <w:bCs/>
                <w:color w:val="FFFFFF"/>
                <w:sz w:val="19"/>
                <w:szCs w:val="19"/>
              </w:rPr>
              <w:t xml:space="preserve">Source ➔ Target</w:t>
            </w:r>
          </w:p>
        </w:tc>
        <w:tc>
          <w:tcPr>
            <w:shd w:fill="1E293B" w:val="clear"/>
            <w:tcMar>
              <w:top w:type="dxa" w:w="100"/>
              <w:left w:type="dxa" w:w="120"/>
              <w:bottom w:type="dxa" w:w="100"/>
              <w:right w:type="dxa" w:w="120"/>
            </w:tcMar>
          </w:tcPr>
          <w:p>
            <w:r>
              <w:rPr>
                <w:b/>
                <w:bCs/>
                <w:color w:val="FFFFFF"/>
                <w:sz w:val="19"/>
                <w:szCs w:val="19"/>
              </w:rPr>
              <w:t xml:space="preserve">Operation / Message</w:t>
            </w:r>
          </w:p>
        </w:tc>
        <w:tc>
          <w:tcPr>
            <w:shd w:fill="1E293B" w:val="clear"/>
            <w:tcMar>
              <w:top w:type="dxa" w:w="100"/>
              <w:left w:type="dxa" w:w="120"/>
              <w:bottom w:type="dxa" w:w="100"/>
              <w:right w:type="dxa" w:w="120"/>
            </w:tcMar>
          </w:tcPr>
          <w:p>
            <w:r>
              <w:rPr>
                <w:b/>
                <w:bCs/>
                <w:color w:val="FFFFFF"/>
                <w:sz w:val="19"/>
                <w:szCs w:val="19"/>
              </w:rPr>
              <w:t xml:space="preserve">Payload &amp; Protocol Details</w:t>
            </w:r>
          </w:p>
        </w:tc>
      </w:tr>
      <w:tr>
        <w:tc>
          <w:tcPr>
            <w:tcW w:type="pct" w:w="500"/>
            <w:shd w:fill="FFFFFF" w:val="clear"/>
            <w:tcMar>
              <w:top w:type="dxa" w:w="100"/>
              <w:left w:type="dxa" w:w="120"/>
              <w:bottom w:type="dxa" w:w="100"/>
              <w:right w:type="dxa" w:w="120"/>
            </w:tcMar>
          </w:tcPr>
          <w:p>
            <w:r>
              <w:rPr>
                <w:b/>
                <w:bCs/>
                <w:color w:val="1E3A8A"/>
                <w:sz w:val="19"/>
                <w:szCs w:val="19"/>
              </w:rPr>
              <w:t xml:space="preserve">1</w:t>
            </w:r>
          </w:p>
        </w:tc>
        <w:tc>
          <w:tcPr>
            <w:tcW w:type="pct" w:w="1250"/>
            <w:shd w:fill="FFFFFF" w:val="clear"/>
            <w:tcMar>
              <w:top w:type="dxa" w:w="100"/>
              <w:left w:type="dxa" w:w="120"/>
              <w:bottom w:type="dxa" w:w="100"/>
              <w:right w:type="dxa" w:w="120"/>
            </w:tcMar>
          </w:tcPr>
          <w:p>
            <w:r>
              <w:rPr>
                <w:b/>
                <w:bCs/>
                <w:color w:val="0284C7"/>
                <w:sz w:val="19"/>
                <w:szCs w:val="19"/>
              </w:rPr>
              <w:t xml:space="preserve">OS ➔ Node Process</w:t>
            </w:r>
          </w:p>
        </w:tc>
        <w:tc>
          <w:tcPr>
            <w:tcW w:type="pct" w:w="1500"/>
            <w:shd w:fill="FFFFFF" w:val="clear"/>
            <w:tcMar>
              <w:top w:type="dxa" w:w="100"/>
              <w:left w:type="dxa" w:w="120"/>
              <w:bottom w:type="dxa" w:w="100"/>
              <w:right w:type="dxa" w:w="120"/>
            </w:tcMar>
          </w:tcPr>
          <w:p>
            <w:r>
              <w:rPr>
                <w:b/>
                <w:bCs/>
                <w:color w:val="1F2937"/>
                <w:sz w:val="19"/>
                <w:szCs w:val="19"/>
              </w:rPr>
              <w:t xml:space="preserve">Process Invocation</w:t>
            </w:r>
          </w:p>
        </w:tc>
        <w:tc>
          <w:tcPr>
            <w:tcW w:type="pct" w:w="1750"/>
            <w:shd w:fill="FFFFFF" w:val="clear"/>
            <w:tcMar>
              <w:top w:type="dxa" w:w="100"/>
              <w:left w:type="dxa" w:w="120"/>
              <w:bottom w:type="dxa" w:w="100"/>
              <w:right w:type="dxa" w:w="120"/>
            </w:tcMar>
          </w:tcPr>
          <w:p>
            <w:r>
              <w:rPr>
                <w:color w:val="1F2937"/>
                <w:sz w:val="18"/>
                <w:szCs w:val="18"/>
              </w:rPr>
              <w:t xml:space="preserve">Server boots via "node server.mjs".</w:t>
            </w:r>
          </w:p>
        </w:tc>
      </w:tr>
      <w:tr>
        <w:tc>
          <w:tcPr>
            <w:tcW w:type="pct" w:w="500"/>
            <w:shd w:fill="F8FAFC" w:val="clear"/>
            <w:tcMar>
              <w:top w:type="dxa" w:w="100"/>
              <w:left w:type="dxa" w:w="120"/>
              <w:bottom w:type="dxa" w:w="100"/>
              <w:right w:type="dxa" w:w="120"/>
            </w:tcMar>
          </w:tcPr>
          <w:p>
            <w:r>
              <w:rPr>
                <w:b/>
                <w:bCs/>
                <w:color w:val="1E3A8A"/>
                <w:sz w:val="19"/>
                <w:szCs w:val="19"/>
              </w:rPr>
              <w:t xml:space="preserve">2</w:t>
            </w:r>
          </w:p>
        </w:tc>
        <w:tc>
          <w:tcPr>
            <w:tcW w:type="pct" w:w="1250"/>
            <w:shd w:fill="F8FAFC" w:val="clear"/>
            <w:tcMar>
              <w:top w:type="dxa" w:w="100"/>
              <w:left w:type="dxa" w:w="120"/>
              <w:bottom w:type="dxa" w:w="100"/>
              <w:right w:type="dxa" w:w="120"/>
            </w:tcMar>
          </w:tcPr>
          <w:p>
            <w:r>
              <w:rPr>
                <w:b/>
                <w:bCs/>
                <w:color w:val="0284C7"/>
                <w:sz w:val="19"/>
                <w:szCs w:val="19"/>
              </w:rPr>
              <w:t xml:space="preserve">Process ➔ Disk</w:t>
            </w:r>
          </w:p>
        </w:tc>
        <w:tc>
          <w:tcPr>
            <w:tcW w:type="pct" w:w="1500"/>
            <w:shd w:fill="F8FAFC" w:val="clear"/>
            <w:tcMar>
              <w:top w:type="dxa" w:w="100"/>
              <w:left w:type="dxa" w:w="120"/>
              <w:bottom w:type="dxa" w:w="100"/>
              <w:right w:type="dxa" w:w="120"/>
            </w:tcMar>
          </w:tcPr>
          <w:p>
            <w:r>
              <w:rPr>
                <w:b/>
                <w:bCs/>
                <w:color w:val="1F2937"/>
                <w:sz w:val="19"/>
                <w:szCs w:val="19"/>
              </w:rPr>
              <w:t xml:space="preserve">loadDbFromFile()</w:t>
            </w:r>
          </w:p>
        </w:tc>
        <w:tc>
          <w:tcPr>
            <w:tcW w:type="pct" w:w="1750"/>
            <w:shd w:fill="F8FAFC" w:val="clear"/>
            <w:tcMar>
              <w:top w:type="dxa" w:w="100"/>
              <w:left w:type="dxa" w:w="120"/>
              <w:bottom w:type="dxa" w:w="100"/>
              <w:right w:type="dxa" w:w="120"/>
            </w:tcMar>
          </w:tcPr>
          <w:p>
            <w:r>
              <w:rPr>
                <w:color w:val="1F2937"/>
                <w:sz w:val="18"/>
                <w:szCs w:val="18"/>
              </w:rPr>
              <w:t xml:space="preserve">Checks db.json. If valid and size &gt; 20 bytes, loads state; otherwise falls back to db.backup.json.</w:t>
            </w:r>
          </w:p>
        </w:tc>
      </w:tr>
      <w:tr>
        <w:tc>
          <w:tcPr>
            <w:tcW w:type="pct" w:w="500"/>
            <w:shd w:fill="FFFFFF" w:val="clear"/>
            <w:tcMar>
              <w:top w:type="dxa" w:w="100"/>
              <w:left w:type="dxa" w:w="120"/>
              <w:bottom w:type="dxa" w:w="100"/>
              <w:right w:type="dxa" w:w="120"/>
            </w:tcMar>
          </w:tcPr>
          <w:p>
            <w:r>
              <w:rPr>
                <w:b/>
                <w:bCs/>
                <w:color w:val="1E3A8A"/>
                <w:sz w:val="19"/>
                <w:szCs w:val="19"/>
              </w:rPr>
              <w:t xml:space="preserve">3</w:t>
            </w:r>
          </w:p>
        </w:tc>
        <w:tc>
          <w:tcPr>
            <w:tcW w:type="pct" w:w="1250"/>
            <w:shd w:fill="FFFFFF" w:val="clear"/>
            <w:tcMar>
              <w:top w:type="dxa" w:w="100"/>
              <w:left w:type="dxa" w:w="120"/>
              <w:bottom w:type="dxa" w:w="100"/>
              <w:right w:type="dxa" w:w="120"/>
            </w:tcMar>
          </w:tcPr>
          <w:p>
            <w:r>
              <w:rPr>
                <w:b/>
                <w:bCs/>
                <w:color w:val="0284C7"/>
                <w:sz w:val="19"/>
                <w:szCs w:val="19"/>
              </w:rPr>
              <w:t xml:space="preserve">Process ➔ Memory Map</w:t>
            </w:r>
          </w:p>
        </w:tc>
        <w:tc>
          <w:tcPr>
            <w:tcW w:type="pct" w:w="1500"/>
            <w:shd w:fill="FFFFFF" w:val="clear"/>
            <w:tcMar>
              <w:top w:type="dxa" w:w="100"/>
              <w:left w:type="dxa" w:w="120"/>
              <w:bottom w:type="dxa" w:w="100"/>
              <w:right w:type="dxa" w:w="120"/>
            </w:tcMar>
          </w:tcPr>
          <w:p>
            <w:r>
              <w:rPr>
                <w:b/>
                <w:bCs/>
                <w:color w:val="1F2937"/>
                <w:sz w:val="19"/>
                <w:szCs w:val="19"/>
              </w:rPr>
              <w:t xml:space="preserve">Hydrate Maps</w:t>
            </w:r>
          </w:p>
        </w:tc>
        <w:tc>
          <w:tcPr>
            <w:tcW w:type="pct" w:w="1750"/>
            <w:shd w:fill="FFFFFF" w:val="clear"/>
            <w:tcMar>
              <w:top w:type="dxa" w:w="100"/>
              <w:left w:type="dxa" w:w="120"/>
              <w:bottom w:type="dxa" w:w="100"/>
              <w:right w:type="dxa" w:w="120"/>
            </w:tcMar>
          </w:tcPr>
          <w:p>
            <w:r>
              <w:rPr>
                <w:color w:val="1F2937"/>
                <w:sz w:val="18"/>
                <w:szCs w:val="18"/>
              </w:rPr>
              <w:t xml:space="preserve">Populates db.physicalPersons, db.juridicalPersons, representatives, accumulated.</w:t>
            </w:r>
          </w:p>
        </w:tc>
      </w:tr>
      <w:tr>
        <w:tc>
          <w:tcPr>
            <w:tcW w:type="pct" w:w="500"/>
            <w:shd w:fill="F8FAFC" w:val="clear"/>
            <w:tcMar>
              <w:top w:type="dxa" w:w="100"/>
              <w:left w:type="dxa" w:w="120"/>
              <w:bottom w:type="dxa" w:w="100"/>
              <w:right w:type="dxa" w:w="120"/>
            </w:tcMar>
          </w:tcPr>
          <w:p>
            <w:r>
              <w:rPr>
                <w:b/>
                <w:bCs/>
                <w:color w:val="1E3A8A"/>
                <w:sz w:val="19"/>
                <w:szCs w:val="19"/>
              </w:rPr>
              <w:t xml:space="preserve">4</w:t>
            </w:r>
          </w:p>
        </w:tc>
        <w:tc>
          <w:tcPr>
            <w:tcW w:type="pct" w:w="1250"/>
            <w:shd w:fill="F8FAFC" w:val="clear"/>
            <w:tcMar>
              <w:top w:type="dxa" w:w="100"/>
              <w:left w:type="dxa" w:w="120"/>
              <w:bottom w:type="dxa" w:w="100"/>
              <w:right w:type="dxa" w:w="120"/>
            </w:tcMar>
          </w:tcPr>
          <w:p>
            <w:r>
              <w:rPr>
                <w:b/>
                <w:bCs/>
                <w:color w:val="0284C7"/>
                <w:sz w:val="19"/>
                <w:szCs w:val="19"/>
              </w:rPr>
              <w:t xml:space="preserve">Process ➔ Analyzer</w:t>
            </w:r>
          </w:p>
        </w:tc>
        <w:tc>
          <w:tcPr>
            <w:tcW w:type="pct" w:w="1500"/>
            <w:shd w:fill="F8FAFC" w:val="clear"/>
            <w:tcMar>
              <w:top w:type="dxa" w:w="100"/>
              <w:left w:type="dxa" w:w="120"/>
              <w:bottom w:type="dxa" w:w="100"/>
              <w:right w:type="dxa" w:w="120"/>
            </w:tcMar>
          </w:tcPr>
          <w:p>
            <w:r>
              <w:rPr>
                <w:b/>
                <w:bCs/>
                <w:color w:val="1F2937"/>
                <w:sz w:val="19"/>
                <w:szCs w:val="19"/>
              </w:rPr>
              <w:t xml:space="preserve">recalculateSequenceCounters()</w:t>
            </w:r>
          </w:p>
        </w:tc>
        <w:tc>
          <w:tcPr>
            <w:tcW w:type="pct" w:w="1750"/>
            <w:shd w:fill="F8FAFC" w:val="clear"/>
            <w:tcMar>
              <w:top w:type="dxa" w:w="100"/>
              <w:left w:type="dxa" w:w="120"/>
              <w:bottom w:type="dxa" w:w="100"/>
              <w:right w:type="dxa" w:w="120"/>
            </w:tcMar>
          </w:tcPr>
          <w:p>
            <w:r>
              <w:rPr>
                <w:color w:val="1F2937"/>
                <w:sz w:val="18"/>
                <w:szCs w:val="18"/>
              </w:rPr>
              <w:t xml:space="preserve">Scans all existing IDs across all maps (e.g. P6922). Sets sequence counters to max(ID)+1.</w:t>
            </w:r>
          </w:p>
        </w:tc>
      </w:tr>
      <w:tr>
        <w:tc>
          <w:tcPr>
            <w:tcW w:type="pct" w:w="500"/>
            <w:shd w:fill="FFFFFF" w:val="clear"/>
            <w:tcMar>
              <w:top w:type="dxa" w:w="100"/>
              <w:left w:type="dxa" w:w="120"/>
              <w:bottom w:type="dxa" w:w="100"/>
              <w:right w:type="dxa" w:w="120"/>
            </w:tcMar>
          </w:tcPr>
          <w:p>
            <w:r>
              <w:rPr>
                <w:b/>
                <w:bCs/>
                <w:color w:val="1E3A8A"/>
                <w:sz w:val="19"/>
                <w:szCs w:val="19"/>
              </w:rPr>
              <w:t xml:space="preserve">5</w:t>
            </w:r>
          </w:p>
        </w:tc>
        <w:tc>
          <w:tcPr>
            <w:tcW w:type="pct" w:w="1250"/>
            <w:shd w:fill="FFFFFF" w:val="clear"/>
            <w:tcMar>
              <w:top w:type="dxa" w:w="100"/>
              <w:left w:type="dxa" w:w="120"/>
              <w:bottom w:type="dxa" w:w="100"/>
              <w:right w:type="dxa" w:w="120"/>
            </w:tcMar>
          </w:tcPr>
          <w:p>
            <w:r>
              <w:rPr>
                <w:b/>
                <w:bCs/>
                <w:color w:val="0284C7"/>
                <w:sz w:val="19"/>
                <w:szCs w:val="19"/>
              </w:rPr>
              <w:t xml:space="preserve">Process ➔ Network</w:t>
            </w:r>
          </w:p>
        </w:tc>
        <w:tc>
          <w:tcPr>
            <w:tcW w:type="pct" w:w="1500"/>
            <w:shd w:fill="FFFFFF" w:val="clear"/>
            <w:tcMar>
              <w:top w:type="dxa" w:w="100"/>
              <w:left w:type="dxa" w:w="120"/>
              <w:bottom w:type="dxa" w:w="100"/>
              <w:right w:type="dxa" w:w="120"/>
            </w:tcMar>
          </w:tcPr>
          <w:p>
            <w:r>
              <w:rPr>
                <w:b/>
                <w:bCs/>
                <w:color w:val="1F2937"/>
                <w:sz w:val="19"/>
                <w:szCs w:val="19"/>
              </w:rPr>
              <w:t xml:space="preserve">Listen on Port 3000</w:t>
            </w:r>
          </w:p>
        </w:tc>
        <w:tc>
          <w:tcPr>
            <w:tcW w:type="pct" w:w="1750"/>
            <w:shd w:fill="FFFFFF" w:val="clear"/>
            <w:tcMar>
              <w:top w:type="dxa" w:w="100"/>
              <w:left w:type="dxa" w:w="120"/>
              <w:bottom w:type="dxa" w:w="100"/>
              <w:right w:type="dxa" w:w="120"/>
            </w:tcMar>
          </w:tcPr>
          <w:p>
            <w:r>
              <w:rPr>
                <w:color w:val="1F2937"/>
                <w:sz w:val="18"/>
                <w:szCs w:val="18"/>
              </w:rPr>
              <w:t xml:space="preserve">Binds HTTP listener and logs system readiness to console.</w:t>
            </w:r>
          </w:p>
        </w:tc>
      </w:tr>
    </w:tbl>
    <w:p>
      <w:pPr>
        <w:pStyle w:val="Heading1"/>
        <w:spacing w:after="200" w:before="400"/>
      </w:pPr>
      <w:r>
        <w:t xml:space="preserve">4. Data Architecture &amp; Database Schemas</w:t>
      </w:r>
    </w:p>
    <w:p>
      <w:pPr>
        <w:spacing w:after="120"/>
        <w:jc w:val="left"/>
      </w:pPr>
      <w:r>
        <w:rPr>
          <w:b w:val="false"/>
          <w:bCs w:val="false"/>
          <w:i w:val="false"/>
          <w:iCs w:val="false"/>
          <w:color w:val="1F2937"/>
          <w:sz w:val="22"/>
          <w:szCs w:val="22"/>
        </w:rPr>
        <w:t xml:space="preserve">The application maintains 4 core banking domain entities. Below are the definitive schema definitions:</w:t>
      </w:r>
    </w:p>
    <w:p>
      <w:pPr>
        <w:pStyle w:val="Heading2"/>
        <w:spacing w:after="150" w:before="300"/>
      </w:pPr>
      <w:r>
        <w:t xml:space="preserve">4.1 Physical Persons Collection (db.physicalPersons)</w:t>
      </w:r>
    </w:p>
    <w:p>
      <w:pPr>
        <w:spacing w:after="120"/>
        <w:jc w:val="left"/>
      </w:pPr>
      <w:r>
        <w:rPr>
          <w:b w:val="false"/>
          <w:bCs w:val="false"/>
          <w:i w:val="false"/>
          <w:iCs w:val="false"/>
          <w:color w:val="1F2937"/>
          <w:sz w:val="22"/>
          <w:szCs w:val="22"/>
        </w:rPr>
        <w:t xml:space="preserve">Primary entity representing retail banking individual prospects and existing customers. Keyed by McdId (e.g., P1001, P6922):</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"McdId": "P6922",</w:t>
            </w:r>
          </w:p>
          <w:p>
            <w:pPr>
              <w:spacing w:after="40"/>
            </w:pPr>
            <w:r>
              <w:rPr>
                <w:rFonts w:ascii="Consolas" w:cs="Consolas" w:eastAsia="Consolas" w:hAnsi="Consolas"/>
                <w:color w:val="0F172A"/>
                <w:sz w:val="19"/>
                <w:szCs w:val="19"/>
              </w:rPr>
              <w:t xml:space="preserve">  "FirstName": "Saulius",</w:t>
            </w:r>
          </w:p>
          <w:p>
            <w:pPr>
              <w:spacing w:after="40"/>
            </w:pPr>
            <w:r>
              <w:rPr>
                <w:rFonts w:ascii="Consolas" w:cs="Consolas" w:eastAsia="Consolas" w:hAnsi="Consolas"/>
                <w:color w:val="0F172A"/>
                <w:sz w:val="19"/>
                <w:szCs w:val="19"/>
              </w:rPr>
              <w:t xml:space="preserve">  "MiddleName": null,</w:t>
            </w:r>
          </w:p>
          <w:p>
            <w:pPr>
              <w:spacing w:after="40"/>
            </w:pPr>
            <w:r>
              <w:rPr>
                <w:rFonts w:ascii="Consolas" w:cs="Consolas" w:eastAsia="Consolas" w:hAnsi="Consolas"/>
                <w:color w:val="0F172A"/>
                <w:sz w:val="19"/>
                <w:szCs w:val="19"/>
              </w:rPr>
              <w:t xml:space="preserve">  "LastName": "Urbonas",</w:t>
            </w:r>
          </w:p>
          <w:p>
            <w:pPr>
              <w:spacing w:after="40"/>
            </w:pPr>
            <w:r>
              <w:rPr>
                <w:rFonts w:ascii="Consolas" w:cs="Consolas" w:eastAsia="Consolas" w:hAnsi="Consolas"/>
                <w:color w:val="0F172A"/>
                <w:sz w:val="19"/>
                <w:szCs w:val="19"/>
              </w:rPr>
              <w:t xml:space="preserve">  "PersonalCode": "38210150991",</w:t>
            </w:r>
          </w:p>
          <w:p>
            <w:pPr>
              <w:spacing w:after="40"/>
            </w:pPr>
            <w:r>
              <w:rPr>
                <w:rFonts w:ascii="Consolas" w:cs="Consolas" w:eastAsia="Consolas" w:hAnsi="Consolas"/>
                <w:color w:val="0F172A"/>
                <w:sz w:val="19"/>
                <w:szCs w:val="19"/>
              </w:rPr>
              <w:t xml:space="preserve">  "Ssn": "616-41-1561",</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"Gender": "MALE",</w:t>
            </w:r>
          </w:p>
          <w:p>
            <w:pPr>
              <w:spacing w:after="40"/>
            </w:pPr>
            <w:r>
              <w:rPr>
                <w:rFonts w:ascii="Consolas" w:cs="Consolas" w:eastAsia="Consolas" w:hAnsi="Consolas"/>
                <w:color w:val="0F172A"/>
                <w:sz w:val="19"/>
                <w:szCs w:val="19"/>
              </w:rPr>
              <w:t xml:space="preserve">  "Status": "Prospect",</w:t>
            </w:r>
          </w:p>
          <w:p>
            <w:pPr>
              <w:spacing w:after="40"/>
            </w:pPr>
            <w:r>
              <w:rPr>
                <w:rFonts w:ascii="Consolas" w:cs="Consolas" w:eastAsia="Consolas" w:hAnsi="Consolas"/>
                <w:color w:val="0F172A"/>
                <w:sz w:val="19"/>
                <w:szCs w:val="19"/>
              </w:rPr>
              <w:t xml:space="preserve">  "TransactID": "10001905",</w:t>
            </w:r>
          </w:p>
          <w:p>
            <w:pPr>
              <w:spacing w:after="40"/>
            </w:pPr>
            <w:r>
              <w:rPr>
                <w:rFonts w:ascii="Consolas" w:cs="Consolas" w:eastAsia="Consolas" w:hAnsi="Consolas"/>
                <w:color w:val="0F172A"/>
                <w:sz w:val="19"/>
                <w:szCs w:val="19"/>
              </w:rPr>
              <w:t xml:space="preserve">  "TransactId": "10001905",</w:t>
            </w:r>
          </w:p>
          <w:p>
            <w:pPr>
              <w:spacing w:after="40"/>
            </w:pPr>
            <w:r>
              <w:rPr>
                <w:rFonts w:ascii="Consolas" w:cs="Consolas" w:eastAsia="Consolas" w:hAnsi="Consolas"/>
                <w:color w:val="0F172A"/>
                <w:sz w:val="19"/>
                <w:szCs w:val="19"/>
              </w:rPr>
              <w:t xml:space="preserve">  "TransactStatus": "Synced",</w:t>
            </w:r>
          </w:p>
          <w:p>
            <w:pPr>
              <w:spacing w:after="40"/>
            </w:pPr>
            <w:r>
              <w:rPr>
                <w:rFonts w:ascii="Consolas" w:cs="Consolas" w:eastAsia="Consolas" w:hAnsi="Consolas"/>
                <w:color w:val="0F172A"/>
                <w:sz w:val="19"/>
                <w:szCs w:val="19"/>
              </w:rPr>
              <w:t xml:space="preserve">  "TransactSyncDate": "2026-10-02T10:58:57.270Z",</w:t>
            </w:r>
          </w:p>
          <w:p>
            <w:pPr>
              <w:spacing w:after="40"/>
            </w:pPr>
            <w:r>
              <w:rPr>
                <w:rFonts w:ascii="Consolas" w:cs="Consolas" w:eastAsia="Consolas" w:hAnsi="Consolas"/>
                <w:color w:val="0F172A"/>
                <w:sz w:val="19"/>
                <w:szCs w:val="19"/>
              </w:rPr>
              <w:t xml:space="preserve">  "DateOfBirth": "1982-10-15",</w:t>
            </w:r>
          </w:p>
          <w:p>
            <w:pPr>
              <w:spacing w:after="40"/>
            </w:pPr>
            <w:r>
              <w:rPr>
                <w:rFonts w:ascii="Consolas" w:cs="Consolas" w:eastAsia="Consolas" w:hAnsi="Consolas"/>
                <w:color w:val="0F172A"/>
                <w:sz w:val="19"/>
                <w:szCs w:val="19"/>
              </w:rPr>
              <w:t xml:space="preserve">  "DateOfDeath": null,</w:t>
            </w:r>
          </w:p>
          <w:p>
            <w:pPr>
              <w:spacing w:after="40"/>
            </w:pPr>
            <w:r>
              <w:rPr>
                <w:rFonts w:ascii="Consolas" w:cs="Consolas" w:eastAsia="Consolas" w:hAnsi="Consolas"/>
                <w:color w:val="0F172A"/>
                <w:sz w:val="19"/>
                <w:szCs w:val="19"/>
              </w:rPr>
              <w:t xml:space="preserve">  "BirthCountryCode": "LT",</w:t>
            </w:r>
          </w:p>
          <w:p>
            <w:pPr>
              <w:spacing w:after="40"/>
            </w:pPr>
            <w:r>
              <w:rPr>
                <w:rFonts w:ascii="Consolas" w:cs="Consolas" w:eastAsia="Consolas" w:hAnsi="Consolas"/>
                <w:color w:val="0F172A"/>
                <w:sz w:val="19"/>
                <w:szCs w:val="19"/>
              </w:rPr>
              <w:t xml:space="preserve">  "BirthCity": "Vilnius",</w:t>
            </w:r>
          </w:p>
          <w:p>
            <w:pPr>
              <w:spacing w:after="40"/>
            </w:pPr>
            <w:r>
              <w:rPr>
                <w:rFonts w:ascii="Consolas" w:cs="Consolas" w:eastAsia="Consolas" w:hAnsi="Consolas"/>
                <w:color w:val="0F172A"/>
                <w:sz w:val="19"/>
                <w:szCs w:val="19"/>
              </w:rPr>
              <w:t xml:space="preserve">  "LanguageCode": "lt",</w:t>
            </w:r>
          </w:p>
          <w:p>
            <w:pPr>
              <w:spacing w:after="40"/>
            </w:pPr>
            <w:r>
              <w:rPr>
                <w:rFonts w:ascii="Consolas" w:cs="Consolas" w:eastAsia="Consolas" w:hAnsi="Consolas"/>
                <w:color w:val="0F172A"/>
                <w:sz w:val="19"/>
                <w:szCs w:val="19"/>
              </w:rPr>
              <w:t xml:space="preserve">  "PrimaryEmail": "saulius.urbonas@imone.lt",</w:t>
            </w:r>
          </w:p>
          <w:p>
            <w:pPr>
              <w:spacing w:after="40"/>
            </w:pPr>
            <w:r>
              <w:rPr>
                <w:rFonts w:ascii="Consolas" w:cs="Consolas" w:eastAsia="Consolas" w:hAnsi="Consolas"/>
                <w:color w:val="0F172A"/>
                <w:sz w:val="19"/>
                <w:szCs w:val="19"/>
              </w:rPr>
              <w:t xml:space="preserve">  "PrimaryEmailVerified": false,</w:t>
            </w:r>
          </w:p>
          <w:p>
            <w:pPr>
              <w:spacing w:after="40"/>
            </w:pPr>
            <w:r>
              <w:rPr>
                <w:rFonts w:ascii="Consolas" w:cs="Consolas" w:eastAsia="Consolas" w:hAnsi="Consolas"/>
                <w:color w:val="0F172A"/>
                <w:sz w:val="19"/>
                <w:szCs w:val="19"/>
              </w:rPr>
              <w:t xml:space="preserve">  "SecondaryEmail": null,</w:t>
            </w:r>
          </w:p>
          <w:p>
            <w:pPr>
              <w:spacing w:after="40"/>
            </w:pPr>
            <w:r>
              <w:rPr>
                <w:rFonts w:ascii="Consolas" w:cs="Consolas" w:eastAsia="Consolas" w:hAnsi="Consolas"/>
                <w:color w:val="0F172A"/>
                <w:sz w:val="19"/>
                <w:szCs w:val="19"/>
              </w:rPr>
              <w:t xml:space="preserve">  "PrimaryPhoneNumber": "+37061188223",</w:t>
            </w:r>
          </w:p>
          <w:p>
            <w:pPr>
              <w:spacing w:after="40"/>
            </w:pPr>
            <w:r>
              <w:rPr>
                <w:rFonts w:ascii="Consolas" w:cs="Consolas" w:eastAsia="Consolas" w:hAnsi="Consolas"/>
                <w:color w:val="0F172A"/>
                <w:sz w:val="19"/>
                <w:szCs w:val="19"/>
              </w:rPr>
              <w:t xml:space="preserve">  "PrimaryPhoneNumberVerified": false,</w:t>
            </w:r>
          </w:p>
          <w:p>
            <w:pPr>
              <w:spacing w:after="40"/>
            </w:pPr>
            <w:r>
              <w:rPr>
                <w:rFonts w:ascii="Consolas" w:cs="Consolas" w:eastAsia="Consolas" w:hAnsi="Consolas"/>
                <w:color w:val="0F172A"/>
                <w:sz w:val="19"/>
                <w:szCs w:val="19"/>
              </w:rPr>
              <w:t xml:space="preserve">  "SecondaryPhoneNumber": null,</w:t>
            </w:r>
          </w:p>
          <w:p>
            <w:pPr>
              <w:spacing w:after="40"/>
            </w:pPr>
            <w:r>
              <w:rPr>
                <w:rFonts w:ascii="Consolas" w:cs="Consolas" w:eastAsia="Consolas" w:hAnsi="Consolas"/>
                <w:color w:val="0F172A"/>
                <w:sz w:val="19"/>
                <w:szCs w:val="19"/>
              </w:rPr>
              <w:t xml:space="preserve">  "RegistrationAddress": {</w:t>
            </w:r>
          </w:p>
          <w:p>
            <w:pPr>
              <w:spacing w:after="40"/>
            </w:pPr>
            <w:r>
              <w:rPr>
                <w:rFonts w:ascii="Consolas" w:cs="Consolas" w:eastAsia="Consolas" w:hAnsi="Consolas"/>
                <w:color w:val="0F172A"/>
                <w:sz w:val="19"/>
                <w:szCs w:val="19"/>
              </w:rPr>
              <w:t xml:space="preserve">    "city": "Vilnius",</w:t>
            </w:r>
          </w:p>
          <w:p>
            <w:pPr>
              <w:spacing w:after="40"/>
            </w:pPr>
            <w:r>
              <w:rPr>
                <w:rFonts w:ascii="Consolas" w:cs="Consolas" w:eastAsia="Consolas" w:hAnsi="Consolas"/>
                <w:color w:val="0F172A"/>
                <w:sz w:val="19"/>
                <w:szCs w:val="19"/>
              </w:rPr>
              <w:t xml:space="preserve">    "street": "Vokieciu g. 14-2",</w:t>
            </w:r>
          </w:p>
          <w:p>
            <w:pPr>
              <w:spacing w:after="40"/>
            </w:pPr>
            <w:r>
              <w:rPr>
                <w:rFonts w:ascii="Consolas" w:cs="Consolas" w:eastAsia="Consolas" w:hAnsi="Consolas"/>
                <w:color w:val="0F172A"/>
                <w:sz w:val="19"/>
                <w:szCs w:val="19"/>
              </w:rPr>
              <w:t xml:space="preserve">    "postCode": "01130",</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w:t>
            </w:r>
          </w:p>
          <w:p>
            <w:pPr>
              <w:spacing w:after="40"/>
            </w:pPr>
            <w:r>
              <w:rPr>
                <w:rFonts w:ascii="Consolas" w:cs="Consolas" w:eastAsia="Consolas" w:hAnsi="Consolas"/>
                <w:color w:val="0F172A"/>
                <w:sz w:val="19"/>
                <w:szCs w:val="19"/>
              </w:rPr>
              <w:t xml:space="preserve">  "ResidenceAddress": null,</w:t>
            </w:r>
          </w:p>
          <w:p>
            <w:pPr>
              <w:spacing w:after="40"/>
            </w:pPr>
            <w:r>
              <w:rPr>
                <w:rFonts w:ascii="Consolas" w:cs="Consolas" w:eastAsia="Consolas" w:hAnsi="Consolas"/>
                <w:color w:val="0F172A"/>
                <w:sz w:val="19"/>
                <w:szCs w:val="19"/>
              </w:rPr>
              <w:t xml:space="preserve">  "CorrespondenceAddress": { "city": "Vilnius", "street": "Vokieciu g. 14-2", "postCode": "01130" },</w:t>
            </w:r>
          </w:p>
          <w:p>
            <w:pPr>
              <w:spacing w:after="40"/>
            </w:pPr>
            <w:r>
              <w:rPr>
                <w:rFonts w:ascii="Consolas" w:cs="Consolas" w:eastAsia="Consolas" w:hAnsi="Consolas"/>
                <w:color w:val="0F172A"/>
                <w:sz w:val="19"/>
                <w:szCs w:val="19"/>
              </w:rPr>
              <w:t xml:space="preserve">  "Consents": { "ConsentOffers": true, "ConsentProfiling": false, "ConsentPartnersOffers": false },</w:t>
            </w:r>
          </w:p>
          <w:p>
            <w:pPr>
              <w:spacing w:after="40"/>
            </w:pPr>
            <w:r>
              <w:rPr>
                <w:rFonts w:ascii="Consolas" w:cs="Consolas" w:eastAsia="Consolas" w:hAnsi="Consolas"/>
                <w:color w:val="0F172A"/>
                <w:sz w:val="19"/>
                <w:szCs w:val="19"/>
              </w:rPr>
              <w:t xml:space="preserve">  "Nationalities": ["LT"],</w:t>
            </w:r>
          </w:p>
          <w:p>
            <w:pPr>
              <w:spacing w:after="40"/>
            </w:pPr>
            <w:r>
              <w:rPr>
                <w:rFonts w:ascii="Consolas" w:cs="Consolas" w:eastAsia="Consolas" w:hAnsi="Consolas"/>
                <w:color w:val="0F172A"/>
                <w:sz w:val="19"/>
                <w:szCs w:val="19"/>
              </w:rPr>
              <w:t xml:space="preserve">  "IdDocuments": [],</w:t>
            </w:r>
          </w:p>
          <w:p>
            <w:pPr>
              <w:spacing w:after="40"/>
            </w:pPr>
            <w:r>
              <w:rPr>
                <w:rFonts w:ascii="Consolas" w:cs="Consolas" w:eastAsia="Consolas" w:hAnsi="Consolas"/>
                <w:color w:val="0F172A"/>
                <w:sz w:val="19"/>
                <w:szCs w:val="19"/>
              </w:rPr>
              <w:t xml:space="preserve">  "OndatoCheckValid": true,</w:t>
            </w:r>
          </w:p>
          <w:p>
            <w:pPr>
              <w:spacing w:after="40"/>
            </w:pPr>
            <w:r>
              <w:rPr>
                <w:rFonts w:ascii="Consolas" w:cs="Consolas" w:eastAsia="Consolas" w:hAnsi="Consolas"/>
                <w:color w:val="0F172A"/>
                <w:sz w:val="19"/>
                <w:szCs w:val="19"/>
              </w:rPr>
              <w:t xml:space="preserve">  "AmlScreening": { "AmlResult": "PASSED", "SmaApprovalStatus": "APPROVED" },</w:t>
            </w:r>
          </w:p>
          <w:p>
            <w:pPr>
              <w:spacing w:after="40"/>
            </w:pPr>
            <w:r>
              <w:rPr>
                <w:rFonts w:ascii="Consolas" w:cs="Consolas" w:eastAsia="Consolas" w:hAnsi="Consolas"/>
                <w:color w:val="0F172A"/>
                <w:sz w:val="19"/>
                <w:szCs w:val="19"/>
              </w:rPr>
              <w:t xml:space="preserve">  "Kyc": { "IsKycRequired": false, "ExpirationDate": "2027-01-01" },</w:t>
            </w:r>
          </w:p>
          <w:p>
            <w:pPr>
              <w:spacing w:after="40"/>
            </w:pPr>
            <w:r>
              <w:rPr>
                <w:rFonts w:ascii="Consolas" w:cs="Consolas" w:eastAsia="Consolas" w:hAnsi="Consolas"/>
                <w:color w:val="0F172A"/>
                <w:sz w:val="19"/>
                <w:szCs w:val="19"/>
              </w:rPr>
              <w:t xml:space="preserve">  "SelectedProducts": [{ "ProductCategory": "ACCOUNTS", "ProductId": "STANDARD" }],</w:t>
            </w:r>
          </w:p>
          <w:p>
            <w:pPr>
              <w:spacing w:after="40"/>
            </w:pPr>
            <w:r>
              <w:rPr>
                <w:rFonts w:ascii="Consolas" w:cs="Consolas" w:eastAsia="Consolas" w:hAnsi="Consolas"/>
                <w:color w:val="0F172A"/>
                <w:sz w:val="19"/>
                <w:szCs w:val="19"/>
              </w:rPr>
              <w:t xml:space="preserve">  "IsMinor": false,</w:t>
            </w:r>
          </w:p>
          <w:p>
            <w:pPr>
              <w:spacing w:after="40"/>
            </w:pPr>
            <w:r>
              <w:rPr>
                <w:rFonts w:ascii="Consolas" w:cs="Consolas" w:eastAsia="Consolas" w:hAnsi="Consolas"/>
                <w:color w:val="0F172A"/>
                <w:sz w:val="19"/>
                <w:szCs w:val="19"/>
              </w:rPr>
              <w:t xml:space="preserve">  "guardianMcdId": null,</w:t>
            </w:r>
          </w:p>
          <w:p>
            <w:pPr>
              <w:spacing w:after="40"/>
            </w:pPr>
            <w:r>
              <w:rPr>
                <w:rFonts w:ascii="Consolas" w:cs="Consolas" w:eastAsia="Consolas" w:hAnsi="Consolas"/>
                <w:color w:val="0F172A"/>
                <w:sz w:val="19"/>
                <w:szCs w:val="19"/>
              </w:rPr>
              <w:t xml:space="preserve">  "coapplicantMcdId": null,</w:t>
            </w:r>
          </w:p>
          <w:p>
            <w:pPr>
              <w:spacing w:after="40"/>
            </w:pPr>
            <w:r>
              <w:rPr>
                <w:rFonts w:ascii="Consolas" w:cs="Consolas" w:eastAsia="Consolas" w:hAnsi="Consolas"/>
                <w:color w:val="0F172A"/>
                <w:sz w:val="19"/>
                <w:szCs w:val="19"/>
              </w:rPr>
              <w:t xml:space="preserve">  "transactResponse": { "header": { "id": "10001905", "status": "success" }, "body": { ... } }</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4.2 Juridical Persons Collection (db.juridicalPersons)</w:t>
      </w:r>
    </w:p>
    <w:p>
      <w:pPr>
        <w:spacing w:after="120"/>
        <w:jc w:val="left"/>
      </w:pPr>
      <w:r>
        <w:rPr>
          <w:b w:val="false"/>
          <w:bCs w:val="false"/>
          <w:i w:val="false"/>
          <w:iCs w:val="false"/>
          <w:color w:val="1F2937"/>
          <w:sz w:val="22"/>
          <w:szCs w:val="22"/>
        </w:rPr>
        <w:t xml:space="preserve">Represents corporate entities, business prospects, and enterprises. Keyed by McdId (e.g., J2001):</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"McdId": "J2001",</w:t>
            </w:r>
          </w:p>
          <w:p>
            <w:pPr>
              <w:spacing w:after="40"/>
            </w:pPr>
            <w:r>
              <w:rPr>
                <w:rFonts w:ascii="Consolas" w:cs="Consolas" w:eastAsia="Consolas" w:hAnsi="Consolas"/>
                <w:color w:val="0F172A"/>
                <w:sz w:val="19"/>
                <w:szCs w:val="19"/>
              </w:rPr>
              <w:t xml:space="preserve">  "FullName": "UAB Baltic Solutions Group",</w:t>
            </w:r>
          </w:p>
          <w:p>
            <w:pPr>
              <w:spacing w:after="40"/>
            </w:pPr>
            <w:r>
              <w:rPr>
                <w:rFonts w:ascii="Consolas" w:cs="Consolas" w:eastAsia="Consolas" w:hAnsi="Consolas"/>
                <w:color w:val="0F172A"/>
                <w:sz w:val="19"/>
                <w:szCs w:val="19"/>
              </w:rPr>
              <w:t xml:space="preserve">  "CompanyCode": "305123456",</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"Status": "Prospect",</w:t>
            </w:r>
          </w:p>
          <w:p>
            <w:pPr>
              <w:spacing w:after="40"/>
            </w:pPr>
            <w:r>
              <w:rPr>
                <w:rFonts w:ascii="Consolas" w:cs="Consolas" w:eastAsia="Consolas" w:hAnsi="Consolas"/>
                <w:color w:val="0F172A"/>
                <w:sz w:val="19"/>
                <w:szCs w:val="19"/>
              </w:rPr>
              <w:t xml:space="preserve">  "TransactId": "TX-CORP-101",</w:t>
            </w:r>
          </w:p>
          <w:p>
            <w:pPr>
              <w:spacing w:after="40"/>
            </w:pPr>
            <w:r>
              <w:rPr>
                <w:rFonts w:ascii="Consolas" w:cs="Consolas" w:eastAsia="Consolas" w:hAnsi="Consolas"/>
                <w:color w:val="0F172A"/>
                <w:sz w:val="19"/>
                <w:szCs w:val="19"/>
              </w:rPr>
              <w:t xml:space="preserve">  "PrimaryEmail": "info@balticsolutions.lt",</w:t>
            </w:r>
          </w:p>
          <w:p>
            <w:pPr>
              <w:spacing w:after="40"/>
            </w:pPr>
            <w:r>
              <w:rPr>
                <w:rFonts w:ascii="Consolas" w:cs="Consolas" w:eastAsia="Consolas" w:hAnsi="Consolas"/>
                <w:color w:val="0F172A"/>
                <w:sz w:val="19"/>
                <w:szCs w:val="19"/>
              </w:rPr>
              <w:t xml:space="preserve">  "PrimaryPhoneNumber": "+37052123456",</w:t>
            </w:r>
          </w:p>
          <w:p>
            <w:pPr>
              <w:spacing w:after="40"/>
            </w:pPr>
            <w:r>
              <w:rPr>
                <w:rFonts w:ascii="Consolas" w:cs="Consolas" w:eastAsia="Consolas" w:hAnsi="Consolas"/>
                <w:color w:val="0F172A"/>
                <w:sz w:val="19"/>
                <w:szCs w:val="19"/>
              </w:rPr>
              <w:t xml:space="preserve">  "RepresentativeMcdId": "R3001",</w:t>
            </w:r>
          </w:p>
          <w:p>
            <w:pPr>
              <w:spacing w:after="40"/>
            </w:pPr>
            <w:r>
              <w:rPr>
                <w:rFonts w:ascii="Consolas" w:cs="Consolas" w:eastAsia="Consolas" w:hAnsi="Consolas"/>
                <w:color w:val="0F172A"/>
                <w:sz w:val="19"/>
                <w:szCs w:val="19"/>
              </w:rPr>
              <w:t xml:space="preserve">  "RegistrationAddress": {</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"city": "Vilnius",</w:t>
            </w:r>
          </w:p>
          <w:p>
            <w:pPr>
              <w:spacing w:after="40"/>
            </w:pPr>
            <w:r>
              <w:rPr>
                <w:rFonts w:ascii="Consolas" w:cs="Consolas" w:eastAsia="Consolas" w:hAnsi="Consolas"/>
                <w:color w:val="0F172A"/>
                <w:sz w:val="19"/>
                <w:szCs w:val="19"/>
              </w:rPr>
              <w:t xml:space="preserve">    "street": "Gedimino pr. 28",</w:t>
            </w:r>
          </w:p>
          <w:p>
            <w:pPr>
              <w:spacing w:after="40"/>
            </w:pPr>
            <w:r>
              <w:rPr>
                <w:rFonts w:ascii="Consolas" w:cs="Consolas" w:eastAsia="Consolas" w:hAnsi="Consolas"/>
                <w:color w:val="0F172A"/>
                <w:sz w:val="19"/>
                <w:szCs w:val="19"/>
              </w:rPr>
              <w:t xml:space="preserve">    "postCode": "LT-01104"</w:t>
            </w:r>
          </w:p>
          <w:p>
            <w:pPr>
              <w:spacing w:after="40"/>
            </w:pPr>
            <w:r>
              <w:rPr>
                <w:rFonts w:ascii="Consolas" w:cs="Consolas" w:eastAsia="Consolas" w:hAnsi="Consolas"/>
                <w:color w:val="0F172A"/>
                <w:sz w:val="19"/>
                <w:szCs w:val="19"/>
              </w:rPr>
              <w:t xml:space="preserve">  },</w:t>
            </w:r>
          </w:p>
          <w:p>
            <w:pPr>
              <w:spacing w:after="40"/>
            </w:pPr>
            <w:r>
              <w:rPr>
                <w:rFonts w:ascii="Consolas" w:cs="Consolas" w:eastAsia="Consolas" w:hAnsi="Consolas"/>
                <w:color w:val="0F172A"/>
                <w:sz w:val="19"/>
                <w:szCs w:val="19"/>
              </w:rPr>
              <w:t xml:space="preserve">  "SelectedProducts": [{ "ProductCategory": "BUSINESS_ACCOUNTS", "ProductId": "SME_CORPORATE_PACKAGE" }]</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4.3 Representatives Collection (db.representatives)</w:t>
      </w:r>
    </w:p>
    <w:p>
      <w:pPr>
        <w:spacing w:after="120"/>
        <w:jc w:val="left"/>
      </w:pPr>
      <w:r>
        <w:rPr>
          <w:b w:val="false"/>
          <w:bCs w:val="false"/>
          <w:i w:val="false"/>
          <w:iCs w:val="false"/>
          <w:color w:val="1F2937"/>
          <w:sz w:val="22"/>
          <w:szCs w:val="22"/>
        </w:rPr>
        <w:t xml:space="preserve">Represents legal directors, signatories, and authorized representatives acting on behalf of corporate entities. Keyed by McdId (e.g., R3001):</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"McdId": "R3001",</w:t>
            </w:r>
          </w:p>
          <w:p>
            <w:pPr>
              <w:spacing w:after="40"/>
            </w:pPr>
            <w:r>
              <w:rPr>
                <w:rFonts w:ascii="Consolas" w:cs="Consolas" w:eastAsia="Consolas" w:hAnsi="Consolas"/>
                <w:color w:val="0F172A"/>
                <w:sz w:val="19"/>
                <w:szCs w:val="19"/>
              </w:rPr>
              <w:t xml:space="preserve">  "FirstName": "Vytautas",</w:t>
            </w:r>
          </w:p>
          <w:p>
            <w:pPr>
              <w:spacing w:after="40"/>
            </w:pPr>
            <w:r>
              <w:rPr>
                <w:rFonts w:ascii="Consolas" w:cs="Consolas" w:eastAsia="Consolas" w:hAnsi="Consolas"/>
                <w:color w:val="0F172A"/>
                <w:sz w:val="19"/>
                <w:szCs w:val="19"/>
              </w:rPr>
              <w:t xml:space="preserve">  "LastName": "Petrauskas",</w:t>
            </w:r>
          </w:p>
          <w:p>
            <w:pPr>
              <w:spacing w:after="40"/>
            </w:pPr>
            <w:r>
              <w:rPr>
                <w:rFonts w:ascii="Consolas" w:cs="Consolas" w:eastAsia="Consolas" w:hAnsi="Consolas"/>
                <w:color w:val="0F172A"/>
                <w:sz w:val="19"/>
                <w:szCs w:val="19"/>
              </w:rPr>
              <w:t xml:space="preserve">  "PersonalCode": "37905050005",</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"Gender": "MALE",</w:t>
            </w:r>
          </w:p>
          <w:p>
            <w:pPr>
              <w:spacing w:after="40"/>
            </w:pPr>
            <w:r>
              <w:rPr>
                <w:rFonts w:ascii="Consolas" w:cs="Consolas" w:eastAsia="Consolas" w:hAnsi="Consolas"/>
                <w:color w:val="0F172A"/>
                <w:sz w:val="19"/>
                <w:szCs w:val="19"/>
              </w:rPr>
              <w:t xml:space="preserve">  "DateOfBirth": "1979-05-05",</w:t>
            </w:r>
          </w:p>
          <w:p>
            <w:pPr>
              <w:spacing w:after="40"/>
            </w:pPr>
            <w:r>
              <w:rPr>
                <w:rFonts w:ascii="Consolas" w:cs="Consolas" w:eastAsia="Consolas" w:hAnsi="Consolas"/>
                <w:color w:val="0F172A"/>
                <w:sz w:val="19"/>
                <w:szCs w:val="19"/>
              </w:rPr>
              <w:t xml:space="preserve">  "PrimaryEmail": "v.petrauskas@baltiantech.lt",</w:t>
            </w:r>
          </w:p>
          <w:p>
            <w:pPr>
              <w:spacing w:after="40"/>
            </w:pPr>
            <w:r>
              <w:rPr>
                <w:rFonts w:ascii="Consolas" w:cs="Consolas" w:eastAsia="Consolas" w:hAnsi="Consolas"/>
                <w:color w:val="0F172A"/>
                <w:sz w:val="19"/>
                <w:szCs w:val="19"/>
              </w:rPr>
              <w:t xml:space="preserve">  "PrimaryPhoneNumber": "+37068899000",</w:t>
            </w:r>
          </w:p>
          <w:p>
            <w:pPr>
              <w:spacing w:after="40"/>
            </w:pPr>
            <w:r>
              <w:rPr>
                <w:rFonts w:ascii="Consolas" w:cs="Consolas" w:eastAsia="Consolas" w:hAnsi="Consolas"/>
                <w:color w:val="0F172A"/>
                <w:sz w:val="19"/>
                <w:szCs w:val="19"/>
              </w:rPr>
              <w:t xml:space="preserve">  "Status": "Existing"</w:t>
            </w:r>
          </w:p>
          <w:p>
            <w:pPr>
              <w:spacing w:after="40"/>
            </w:pPr>
            <w:r>
              <w:rPr>
                <w:rFonts w:ascii="Consolas" w:cs="Consolas" w:eastAsia="Consolas" w:hAnsi="Consolas"/>
                <w:color w:val="0F172A"/>
                <w:sz w:val="19"/>
                <w:szCs w:val="19"/>
              </w:rPr>
              <w:t xml:space="preserve">}</w:t>
            </w:r>
          </w:p>
        </w:tc>
      </w:tr>
    </w:tbl>
    <w:p>
      <w:pPr>
        <w:pStyle w:val="Heading2"/>
        <w:spacing w:after="150" w:before="300"/>
      </w:pPr>
      <w:r>
        <w:t xml:space="preserve">4.4 Accumulated Juridical Persons Collection (db.accumulatedJuridicalPersons)</w:t>
      </w:r>
    </w:p>
    <w:p>
      <w:pPr>
        <w:spacing w:after="120"/>
        <w:jc w:val="left"/>
      </w:pPr>
      <w:r>
        <w:rPr>
          <w:b w:val="false"/>
          <w:bCs w:val="false"/>
          <w:i w:val="false"/>
          <w:iCs w:val="false"/>
          <w:color w:val="1F2937"/>
          <w:sz w:val="22"/>
          <w:szCs w:val="22"/>
        </w:rPr>
        <w:t xml:space="preserve">Represents companies in the process of incorporation seeking temporary capital accumulation accounts. Keyed by McdId (e.g., A4001):</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"McdId": "A4001",</w:t>
            </w:r>
          </w:p>
          <w:p>
            <w:pPr>
              <w:spacing w:after="40"/>
            </w:pPr>
            <w:r>
              <w:rPr>
                <w:rFonts w:ascii="Consolas" w:cs="Consolas" w:eastAsia="Consolas" w:hAnsi="Consolas"/>
                <w:color w:val="0F172A"/>
                <w:sz w:val="19"/>
                <w:szCs w:val="19"/>
              </w:rPr>
              <w:t xml:space="preserve">  "FullName": "UAB Naujas Startas",</w:t>
            </w:r>
          </w:p>
          <w:p>
            <w:pPr>
              <w:spacing w:after="40"/>
            </w:pPr>
            <w:r>
              <w:rPr>
                <w:rFonts w:ascii="Consolas" w:cs="Consolas" w:eastAsia="Consolas" w:hAnsi="Consolas"/>
                <w:color w:val="0F172A"/>
                <w:sz w:val="19"/>
                <w:szCs w:val="19"/>
              </w:rPr>
              <w:t xml:space="preserve">  "CompanyCode": "EST-998877",</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  "Status": "Prospect",</w:t>
            </w:r>
          </w:p>
          <w:p>
            <w:pPr>
              <w:spacing w:after="40"/>
            </w:pPr>
            <w:r>
              <w:rPr>
                <w:rFonts w:ascii="Consolas" w:cs="Consolas" w:eastAsia="Consolas" w:hAnsi="Consolas"/>
                <w:color w:val="0F172A"/>
                <w:sz w:val="19"/>
                <w:szCs w:val="19"/>
              </w:rPr>
              <w:t xml:space="preserve">  "TransactId": "TX-ACC-001",</w:t>
            </w:r>
          </w:p>
          <w:p>
            <w:pPr>
              <w:spacing w:after="40"/>
            </w:pPr>
            <w:r>
              <w:rPr>
                <w:rFonts w:ascii="Consolas" w:cs="Consolas" w:eastAsia="Consolas" w:hAnsi="Consolas"/>
                <w:color w:val="0F172A"/>
                <w:sz w:val="19"/>
                <w:szCs w:val="19"/>
              </w:rPr>
              <w:t xml:space="preserve">  "RepresentativeMcdId": "R3001",</w:t>
            </w:r>
          </w:p>
          <w:p>
            <w:pPr>
              <w:spacing w:after="40"/>
            </w:pPr>
            <w:r>
              <w:rPr>
                <w:rFonts w:ascii="Consolas" w:cs="Consolas" w:eastAsia="Consolas" w:hAnsi="Consolas"/>
                <w:color w:val="0F172A"/>
                <w:sz w:val="19"/>
                <w:szCs w:val="19"/>
              </w:rPr>
              <w:t xml:space="preserve">  "phoneNumber": "+37067711223"</w:t>
            </w:r>
          </w:p>
          <w:p>
            <w:pPr>
              <w:spacing w:after="40"/>
            </w:pPr>
            <w:r>
              <w:rPr>
                <w:rFonts w:ascii="Consolas" w:cs="Consolas" w:eastAsia="Consolas" w:hAnsi="Consolas"/>
                <w:color w:val="0F172A"/>
                <w:sz w:val="19"/>
                <w:szCs w:val="19"/>
              </w:rPr>
              <w:t xml:space="preserve">}</w:t>
            </w:r>
          </w:p>
        </w:tc>
      </w:tr>
    </w:tbl>
    <w:p>
      <w:pPr>
        <w:pStyle w:val="Heading1"/>
        <w:spacing w:after="200" w:before="400"/>
      </w:pPr>
      <w:r>
        <w:t xml:space="preserve">5. Complete Technical API Specification</w:t>
      </w:r>
    </w:p>
    <w:p>
      <w:pPr>
        <w:spacing w:after="120"/>
        <w:jc w:val="left"/>
      </w:pPr>
      <w:r>
        <w:rPr>
          <w:b w:val="false"/>
          <w:bCs w:val="false"/>
          <w:i w:val="false"/>
          <w:iCs w:val="false"/>
          <w:color w:val="1F2937"/>
          <w:sz w:val="22"/>
          <w:szCs w:val="22"/>
        </w:rPr>
        <w:t xml:space="preserve">The server exposes 24 production REST endpoints. Every endpoint is detailed below with methods, query parameters, payloads, and response contracts:</w:t>
      </w:r>
    </w:p>
    <w:p>
      <w:pPr>
        <w:pStyle w:val="Heading2"/>
        <w:spacing w:after="150" w:before="300"/>
      </w:pPr>
      <w:r>
        <w:t xml:space="preserve">5.1 Health &amp; Metadata Endpoints</w:t>
      </w:r>
    </w:p>
    <w:p>
      <w:pPr>
        <w:pStyle w:val="Heading3"/>
        <w:spacing w:after="100" w:before="200"/>
      </w:pPr>
      <w:r>
        <w:t xml:space="preserve">GET /health</w:t>
      </w:r>
    </w:p>
    <w:p>
      <w:pPr>
        <w:spacing w:after="120"/>
        <w:jc w:val="left"/>
      </w:pPr>
      <w:r>
        <w:rPr>
          <w:b w:val="false"/>
          <w:bCs w:val="false"/>
          <w:i w:val="false"/>
          <w:iCs w:val="false"/>
          <w:color w:val="1F2937"/>
          <w:sz w:val="22"/>
          <w:szCs w:val="22"/>
        </w:rPr>
        <w:t xml:space="preserve">Performs a system liveness and readiness probe, returning the count of loaded records across all collections.</w:t>
      </w:r>
    </w:p>
    <w:p>
      <w:pPr>
        <w:pStyle w:val="ListParagraph"/>
        <w:numPr>
          <w:ilvl w:val="0"/>
          <w:numId w:val="1"/>
        </w:numPr>
        <w:spacing w:after="80"/>
      </w:pPr>
      <w:r>
        <w:rPr>
          <w:color w:val="1F2937"/>
          <w:sz w:val="22"/>
          <w:szCs w:val="22"/>
        </w:rPr>
        <w:t xml:space="preserve">Status: 200 OK</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 "status": "UP", "timestamp": "2026-10-02T11:00:00.000Z", "records": { "physical": 7, "juridical": 1, "representatives": 1, "accumulated": 1 } }</w:t>
            </w:r>
          </w:p>
        </w:tc>
      </w:tr>
    </w:tbl>
    <w:p>
      <w:pPr>
        <w:pStyle w:val="Heading3"/>
        <w:spacing w:after="100" w:before="200"/>
      </w:pPr>
      <w:r>
        <w:t xml:space="preserve">GET /openapi.json</w:t>
      </w:r>
    </w:p>
    <w:p>
      <w:pPr>
        <w:spacing w:after="120"/>
        <w:jc w:val="left"/>
      </w:pPr>
      <w:r>
        <w:rPr>
          <w:b w:val="false"/>
          <w:bCs w:val="false"/>
          <w:i w:val="false"/>
          <w:iCs w:val="false"/>
          <w:color w:val="1F2937"/>
          <w:sz w:val="22"/>
          <w:szCs w:val="22"/>
        </w:rPr>
        <w:t xml:space="preserve">Returns the fully compliant OpenAPI 3.0.0 specification defining all schemas, endpoints, and data types.</w:t>
      </w:r>
    </w:p>
    <w:p>
      <w:pPr>
        <w:pStyle w:val="ListParagraph"/>
        <w:numPr>
          <w:ilvl w:val="0"/>
          <w:numId w:val="1"/>
        </w:numPr>
        <w:spacing w:after="80"/>
      </w:pPr>
      <w:r>
        <w:rPr>
          <w:color w:val="1F2937"/>
          <w:sz w:val="22"/>
          <w:szCs w:val="22"/>
        </w:rPr>
        <w:t xml:space="preserve">Status: 200 OK | Content-Type: application/json</w:t>
      </w:r>
    </w:p>
    <w:p>
      <w:pPr>
        <w:pStyle w:val="Heading3"/>
        <w:spacing w:after="100" w:before="200"/>
      </w:pPr>
      <w:r>
        <w:t xml:space="preserve">GET /docs</w:t>
      </w:r>
    </w:p>
    <w:p>
      <w:pPr>
        <w:spacing w:after="120"/>
        <w:jc w:val="left"/>
      </w:pPr>
      <w:r>
        <w:rPr>
          <w:b w:val="false"/>
          <w:bCs w:val="false"/>
          <w:i w:val="false"/>
          <w:iCs w:val="false"/>
          <w:color w:val="1F2937"/>
          <w:sz w:val="22"/>
          <w:szCs w:val="22"/>
        </w:rPr>
        <w:t xml:space="preserve">Renders Swagger UI interactive API documentation directly in the browser.</w:t>
      </w:r>
    </w:p>
    <w:p>
      <w:pPr>
        <w:pStyle w:val="ListParagraph"/>
        <w:numPr>
          <w:ilvl w:val="0"/>
          <w:numId w:val="1"/>
        </w:numPr>
        <w:spacing w:after="80"/>
      </w:pPr>
      <w:r>
        <w:rPr>
          <w:color w:val="1F2937"/>
          <w:sz w:val="22"/>
          <w:szCs w:val="22"/>
        </w:rPr>
        <w:t xml:space="preserve">Status: 200 OK | Content-Type: text/html</w:t>
      </w:r>
    </w:p>
    <w:p>
      <w:pPr>
        <w:pStyle w:val="Heading2"/>
        <w:spacing w:after="150" w:before="300"/>
      </w:pPr>
      <w:r>
        <w:t xml:space="preserve">5.2 Physical Persons Endpoints</w:t>
      </w:r>
    </w:p>
    <w:p>
      <w:pPr>
        <w:pStyle w:val="Heading3"/>
        <w:spacing w:after="100" w:before="200"/>
      </w:pPr>
      <w:r>
        <w:t xml:space="preserve">GET /persons/physical</w:t>
      </w:r>
    </w:p>
    <w:p>
      <w:pPr>
        <w:spacing w:after="120"/>
        <w:jc w:val="left"/>
      </w:pPr>
      <w:r>
        <w:rPr>
          <w:b w:val="false"/>
          <w:bCs w:val="false"/>
          <w:i w:val="false"/>
          <w:iCs w:val="false"/>
          <w:color w:val="1F2937"/>
          <w:sz w:val="22"/>
          <w:szCs w:val="22"/>
        </w:rPr>
        <w:t xml:space="preserve">Search and filter physical persons in the database.</w:t>
      </w:r>
    </w:p>
    <w:p>
      <w:pPr>
        <w:pStyle w:val="ListParagraph"/>
        <w:numPr>
          <w:ilvl w:val="0"/>
          <w:numId w:val="1"/>
        </w:numPr>
        <w:spacing w:after="80"/>
      </w:pPr>
      <w:r>
        <w:rPr>
          <w:color w:val="1F2937"/>
          <w:sz w:val="22"/>
          <w:szCs w:val="22"/>
        </w:rPr>
        <w:t xml:space="preserve">Query Params: FirstName, LastName, PersonalCode, CountryCode, IsJunior (boolean)</w:t>
      </w:r>
    </w:p>
    <w:p>
      <w:pPr>
        <w:pStyle w:val="ListParagraph"/>
        <w:numPr>
          <w:ilvl w:val="0"/>
          <w:numId w:val="1"/>
        </w:numPr>
        <w:spacing w:after="80"/>
      </w:pPr>
      <w:r>
        <w:rPr>
          <w:color w:val="1F2937"/>
          <w:sz w:val="22"/>
          <w:szCs w:val="22"/>
        </w:rPr>
        <w:t xml:space="preserve">Status: 200 OK | Returns Array of Physical Persons</w:t>
      </w:r>
    </w:p>
    <w:p>
      <w:pPr>
        <w:pStyle w:val="Heading3"/>
        <w:spacing w:after="100" w:before="200"/>
      </w:pPr>
      <w:r>
        <w:t xml:space="preserve">POST /persons/physical</w:t>
      </w:r>
    </w:p>
    <w:p>
      <w:pPr>
        <w:spacing w:after="120"/>
        <w:jc w:val="left"/>
      </w:pPr>
      <w:r>
        <w:rPr>
          <w:b w:val="false"/>
          <w:bCs w:val="false"/>
          <w:i w:val="false"/>
          <w:iCs w:val="false"/>
          <w:color w:val="1F2937"/>
          <w:sz w:val="22"/>
          <w:szCs w:val="22"/>
        </w:rPr>
        <w:t xml:space="preserve">Creates a new physical person prospect. Automatically triggers Temenos Transact customer provisioning unless customer already has a TransactID. Supports both PascalCase and camelCase properties.</w:t>
      </w:r>
    </w:p>
    <w:p>
      <w:pPr>
        <w:pStyle w:val="ListParagraph"/>
        <w:numPr>
          <w:ilvl w:val="0"/>
          <w:numId w:val="1"/>
        </w:numPr>
        <w:spacing w:after="80"/>
      </w:pPr>
      <w:r>
        <w:rPr>
          <w:color w:val="1F2937"/>
          <w:sz w:val="22"/>
          <w:szCs w:val="22"/>
        </w:rPr>
        <w:t xml:space="preserve">Status: 201 Created | Returns Created Physical Person with TransactID and transactResponse</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 Request Body Example:</w:t>
            </w:r>
          </w:p>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"FirstName": "Lukas",</w:t>
            </w:r>
          </w:p>
          <w:p>
            <w:pPr>
              <w:spacing w:after="40"/>
            </w:pPr>
            <w:r>
              <w:rPr>
                <w:rFonts w:ascii="Consolas" w:cs="Consolas" w:eastAsia="Consolas" w:hAnsi="Consolas"/>
                <w:color w:val="0F172A"/>
                <w:sz w:val="19"/>
                <w:szCs w:val="19"/>
              </w:rPr>
              <w:t xml:space="preserve">  "LastName": "Kazlauskas",</w:t>
            </w:r>
          </w:p>
          <w:p>
            <w:pPr>
              <w:spacing w:after="40"/>
            </w:pPr>
            <w:r>
              <w:rPr>
                <w:rFonts w:ascii="Consolas" w:cs="Consolas" w:eastAsia="Consolas" w:hAnsi="Consolas"/>
                <w:color w:val="0F172A"/>
                <w:sz w:val="19"/>
                <w:szCs w:val="19"/>
              </w:rPr>
              <w:t xml:space="preserve">  "PersonalCode": "50203151234",</w:t>
            </w:r>
          </w:p>
          <w:p>
            <w:pPr>
              <w:spacing w:after="40"/>
            </w:pPr>
            <w:r>
              <w:rPr>
                <w:rFonts w:ascii="Consolas" w:cs="Consolas" w:eastAsia="Consolas" w:hAnsi="Consolas"/>
                <w:color w:val="0F172A"/>
                <w:sz w:val="19"/>
                <w:szCs w:val="19"/>
              </w:rPr>
              <w:t xml:space="preserve">  "DateOfBirth": "2002-03-15",</w:t>
            </w:r>
          </w:p>
          <w:p>
            <w:pPr>
              <w:spacing w:after="40"/>
            </w:pPr>
            <w:r>
              <w:rPr>
                <w:rFonts w:ascii="Consolas" w:cs="Consolas" w:eastAsia="Consolas" w:hAnsi="Consolas"/>
                <w:color w:val="0F172A"/>
                <w:sz w:val="19"/>
                <w:szCs w:val="19"/>
              </w:rPr>
              <w:t xml:space="preserve">  "PrimaryEmail": "lukas.kazlauskas@example.lt",</w:t>
            </w:r>
          </w:p>
          <w:p>
            <w:pPr>
              <w:spacing w:after="40"/>
            </w:pPr>
            <w:r>
              <w:rPr>
                <w:rFonts w:ascii="Consolas" w:cs="Consolas" w:eastAsia="Consolas" w:hAnsi="Consolas"/>
                <w:color w:val="0F172A"/>
                <w:sz w:val="19"/>
                <w:szCs w:val="19"/>
              </w:rPr>
              <w:t xml:space="preserve">  "PrimaryPhoneNumber": "+37061234567",</w:t>
            </w:r>
          </w:p>
          <w:p>
            <w:pPr>
              <w:spacing w:after="40"/>
            </w:pPr>
            <w:r>
              <w:rPr>
                <w:rFonts w:ascii="Consolas" w:cs="Consolas" w:eastAsia="Consolas" w:hAnsi="Consolas"/>
                <w:color w:val="0F172A"/>
                <w:sz w:val="19"/>
                <w:szCs w:val="19"/>
              </w:rPr>
              <w:t xml:space="preserve">  "CountryCode": "LT"</w:t>
            </w:r>
          </w:p>
          <w:p>
            <w:pPr>
              <w:spacing w:after="40"/>
            </w:pPr>
            <w:r>
              <w:rPr>
                <w:rFonts w:ascii="Consolas" w:cs="Consolas" w:eastAsia="Consolas" w:hAnsi="Consolas"/>
                <w:color w:val="0F172A"/>
                <w:sz w:val="19"/>
                <w:szCs w:val="19"/>
              </w:rPr>
              <w:t xml:space="preserve">}</w:t>
            </w:r>
          </w:p>
        </w:tc>
      </w:tr>
    </w:tbl>
    <w:p>
      <w:pPr>
        <w:pStyle w:val="Heading3"/>
        <w:spacing w:after="100" w:before="200"/>
      </w:pPr>
      <w:r>
        <w:t xml:space="preserve">GET /persons/physical/:id</w:t>
      </w:r>
    </w:p>
    <w:p>
      <w:pPr>
        <w:spacing w:after="120"/>
        <w:jc w:val="left"/>
      </w:pPr>
      <w:r>
        <w:rPr>
          <w:b w:val="false"/>
          <w:bCs w:val="false"/>
          <w:i w:val="false"/>
          <w:iCs w:val="false"/>
          <w:color w:val="1F2937"/>
          <w:sz w:val="22"/>
          <w:szCs w:val="22"/>
        </w:rPr>
        <w:t xml:space="preserve">Retrieves complete physical person entity by MCD ID (e.g., P1001, P6922). Returns 404 if not found.</w:t>
      </w:r>
    </w:p>
    <w:p>
      <w:pPr>
        <w:pStyle w:val="Heading3"/>
        <w:spacing w:after="100" w:before="200"/>
      </w:pPr>
      <w:r>
        <w:t xml:space="preserve">PUT /persons/physical/:id</w:t>
      </w:r>
    </w:p>
    <w:p>
      <w:pPr>
        <w:spacing w:after="120"/>
        <w:jc w:val="left"/>
      </w:pPr>
      <w:r>
        <w:rPr>
          <w:b w:val="false"/>
          <w:bCs w:val="false"/>
          <w:i w:val="false"/>
          <w:iCs w:val="false"/>
          <w:color w:val="1F2937"/>
          <w:sz w:val="22"/>
          <w:szCs w:val="22"/>
        </w:rPr>
        <w:t xml:space="preserve">Updates existing physical person attributes. Persists changes immediately to db.json.</w:t>
      </w:r>
    </w:p>
    <w:p>
      <w:pPr>
        <w:pStyle w:val="Heading3"/>
        <w:spacing w:after="100" w:before="200"/>
      </w:pPr>
      <w:r>
        <w:t xml:space="preserve">POST /persons/physical/:id/consent</w:t>
      </w:r>
    </w:p>
    <w:p>
      <w:pPr>
        <w:spacing w:after="120"/>
        <w:jc w:val="left"/>
      </w:pPr>
      <w:r>
        <w:rPr>
          <w:b w:val="false"/>
          <w:bCs w:val="false"/>
          <w:i w:val="false"/>
          <w:iCs w:val="false"/>
          <w:color w:val="1F2937"/>
          <w:sz w:val="22"/>
          <w:szCs w:val="22"/>
        </w:rPr>
        <w:t xml:space="preserve">Records customer consents for marketing offers, automated profiling, and third-party partners.</w:t>
      </w:r>
    </w:p>
    <w:p>
      <w:pPr>
        <w:pStyle w:val="Heading3"/>
        <w:spacing w:after="100" w:before="200"/>
      </w:pPr>
      <w:r>
        <w:t xml:space="preserve">GET /persons/physical/:id/children</w:t>
      </w:r>
    </w:p>
    <w:p>
      <w:pPr>
        <w:spacing w:after="120"/>
        <w:jc w:val="left"/>
      </w:pPr>
      <w:r>
        <w:rPr>
          <w:b w:val="false"/>
          <w:bCs w:val="false"/>
          <w:i w:val="false"/>
          <w:iCs w:val="false"/>
          <w:color w:val="1F2937"/>
          <w:sz w:val="22"/>
          <w:szCs w:val="22"/>
        </w:rPr>
        <w:t xml:space="preserve">Retrieves all registered child accounts and dependents associated with the adult applicant.</w:t>
      </w:r>
    </w:p>
    <w:p>
      <w:pPr>
        <w:pStyle w:val="Heading3"/>
        <w:spacing w:after="100" w:before="200"/>
      </w:pPr>
      <w:r>
        <w:t xml:space="preserve">GET /persons/physical/:id/potentialGuardians</w:t>
      </w:r>
    </w:p>
    <w:p>
      <w:pPr>
        <w:spacing w:after="120"/>
        <w:jc w:val="left"/>
      </w:pPr>
      <w:r>
        <w:rPr>
          <w:b w:val="false"/>
          <w:bCs w:val="false"/>
          <w:i w:val="false"/>
          <w:iCs w:val="false"/>
          <w:color w:val="1F2937"/>
          <w:sz w:val="22"/>
          <w:szCs w:val="22"/>
        </w:rPr>
        <w:t xml:space="preserve">Returns candidate adult guardians eligible to sponsor minor banking accounts.</w:t>
      </w:r>
    </w:p>
    <w:p>
      <w:pPr>
        <w:pStyle w:val="Heading3"/>
        <w:spacing w:after="100" w:before="200"/>
      </w:pPr>
      <w:r>
        <w:t xml:space="preserve">PUT /persons/physical/:childId/guardian/:guardianId</w:t>
      </w:r>
    </w:p>
    <w:p>
      <w:pPr>
        <w:spacing w:after="120"/>
        <w:jc w:val="left"/>
      </w:pPr>
      <w:r>
        <w:rPr>
          <w:b w:val="false"/>
          <w:bCs w:val="false"/>
          <w:i w:val="false"/>
          <w:iCs w:val="false"/>
          <w:color w:val="1F2937"/>
          <w:sz w:val="22"/>
          <w:szCs w:val="22"/>
        </w:rPr>
        <w:t xml:space="preserve">Assigns a verified legal guardian to a minor physical person account.</w:t>
      </w:r>
    </w:p>
    <w:p>
      <w:pPr>
        <w:pStyle w:val="Heading3"/>
        <w:spacing w:after="100" w:before="200"/>
      </w:pPr>
      <w:r>
        <w:t xml:space="preserve">PUT /persons/physical/:applicantId/coapplicant/:coapplicantId</w:t>
      </w:r>
    </w:p>
    <w:p>
      <w:pPr>
        <w:spacing w:after="120"/>
        <w:jc w:val="left"/>
      </w:pPr>
      <w:r>
        <w:rPr>
          <w:b w:val="false"/>
          <w:bCs w:val="false"/>
          <w:i w:val="false"/>
          <w:iCs w:val="false"/>
          <w:color w:val="1F2937"/>
          <w:sz w:val="22"/>
          <w:szCs w:val="22"/>
        </w:rPr>
        <w:t xml:space="preserve">Links a secondary co-applicant to an existing retail onboarding application.</w:t>
      </w:r>
    </w:p>
    <w:p>
      <w:pPr>
        <w:pStyle w:val="Heading3"/>
        <w:spacing w:after="100" w:before="200"/>
      </w:pPr>
      <w:r>
        <w:t xml:space="preserve">GET /persons/physical/by-personal-code/:code</w:t>
      </w:r>
    </w:p>
    <w:p>
      <w:pPr>
        <w:spacing w:after="120"/>
        <w:jc w:val="left"/>
      </w:pPr>
      <w:r>
        <w:rPr>
          <w:b w:val="false"/>
          <w:bCs w:val="false"/>
          <w:i w:val="false"/>
          <w:iCs w:val="false"/>
          <w:color w:val="1F2937"/>
          <w:sz w:val="22"/>
          <w:szCs w:val="22"/>
        </w:rPr>
        <w:t xml:space="preserve">Fast lookup route retrieving a physical person by their 11-digit Lithuanian PersonalCode.</w:t>
      </w:r>
    </w:p>
    <w:p>
      <w:pPr>
        <w:pStyle w:val="Heading2"/>
        <w:spacing w:after="150" w:before="300"/>
      </w:pPr>
      <w:r>
        <w:t xml:space="preserve">5.3 Core Banking Synchronization Route</w:t>
      </w:r>
    </w:p>
    <w:p>
      <w:pPr>
        <w:pStyle w:val="Heading3"/>
        <w:spacing w:after="100" w:before="200"/>
      </w:pPr>
      <w:r>
        <w:t xml:space="preserve">POST /transact/sync-customer</w:t>
      </w:r>
    </w:p>
    <w:p>
      <w:pPr>
        <w:spacing w:after="120"/>
        <w:jc w:val="left"/>
      </w:pPr>
      <w:r>
        <w:rPr>
          <w:b w:val="false"/>
          <w:bCs w:val="false"/>
          <w:i w:val="false"/>
          <w:iCs w:val="false"/>
          <w:color w:val="1F2937"/>
          <w:sz w:val="22"/>
          <w:szCs w:val="22"/>
        </w:rPr>
        <w:t xml:space="preserve">On-demand manual synchronization endpoint that looks up customer by PersonalCode, verifies existing TransactID status, invokes Temenos Transact customer API, and saves assigned core banking ID.</w:t>
      </w:r>
    </w:p>
    <w:p>
      <w:pPr>
        <w:pStyle w:val="ListParagraph"/>
        <w:numPr>
          <w:ilvl w:val="0"/>
          <w:numId w:val="1"/>
        </w:numPr>
        <w:spacing w:after="80"/>
      </w:pPr>
      <w:r>
        <w:rPr>
          <w:color w:val="1F2937"/>
          <w:sz w:val="22"/>
          <w:szCs w:val="22"/>
        </w:rPr>
        <w:t xml:space="preserve">Request Body: { "personalCode": "38210150991", "force": false }</w:t>
      </w:r>
    </w:p>
    <w:p>
      <w:pPr>
        <w:pStyle w:val="ListParagraph"/>
        <w:numPr>
          <w:ilvl w:val="0"/>
          <w:numId w:val="1"/>
        </w:numPr>
        <w:spacing w:after="80"/>
      </w:pPr>
      <w:r>
        <w:rPr>
          <w:color w:val="1F2937"/>
          <w:sz w:val="22"/>
          <w:szCs w:val="22"/>
        </w:rPr>
        <w:t xml:space="preserve">Status: 200 OK | Returns { success: true, transactId: "10001905", customer: { ... } }</w:t>
      </w:r>
    </w:p>
    <w:p>
      <w:pPr>
        <w:pStyle w:val="ListParagraph"/>
        <w:numPr>
          <w:ilvl w:val="0"/>
          <w:numId w:val="1"/>
        </w:numPr>
        <w:spacing w:after="80"/>
      </w:pPr>
      <w:r>
        <w:rPr>
          <w:color w:val="1F2937"/>
          <w:sz w:val="22"/>
          <w:szCs w:val="22"/>
        </w:rPr>
        <w:t xml:space="preserve">Idempotency Behavior: If customer already has TransactID and force is false, returns { alreadySynced: true } without invoking Transact.</w:t>
      </w:r>
    </w:p>
    <w:p>
      <w:pPr>
        <w:pStyle w:val="Heading2"/>
        <w:spacing w:after="150" w:before="300"/>
      </w:pPr>
      <w:r>
        <w:t xml:space="preserve">5.4 Juridical &amp; Corporate Endpoints</w:t>
      </w:r>
    </w:p>
    <w:p>
      <w:pPr>
        <w:pStyle w:val="Heading3"/>
        <w:spacing w:after="100" w:before="200"/>
      </w:pPr>
      <w:r>
        <w:t xml:space="preserve">GET /persons/juridical</w:t>
      </w:r>
    </w:p>
    <w:p>
      <w:pPr>
        <w:spacing w:after="120"/>
        <w:jc w:val="left"/>
      </w:pPr>
      <w:r>
        <w:rPr>
          <w:b w:val="false"/>
          <w:bCs w:val="false"/>
          <w:i w:val="false"/>
          <w:iCs w:val="false"/>
          <w:color w:val="1F2937"/>
          <w:sz w:val="22"/>
          <w:szCs w:val="22"/>
        </w:rPr>
        <w:t xml:space="preserve">Lists corporate entities. Filterable by CompanyCode query parameter.</w:t>
      </w:r>
    </w:p>
    <w:p>
      <w:pPr>
        <w:pStyle w:val="Heading3"/>
        <w:spacing w:after="100" w:before="200"/>
      </w:pPr>
      <w:r>
        <w:t xml:space="preserve">PUT /persons/juridical</w:t>
      </w:r>
    </w:p>
    <w:p>
      <w:pPr>
        <w:spacing w:after="120"/>
        <w:jc w:val="left"/>
      </w:pPr>
      <w:r>
        <w:rPr>
          <w:b w:val="false"/>
          <w:bCs w:val="false"/>
          <w:i w:val="false"/>
          <w:iCs w:val="false"/>
          <w:color w:val="1F2937"/>
          <w:sz w:val="22"/>
          <w:szCs w:val="22"/>
        </w:rPr>
        <w:t xml:space="preserve">Ensures (upserts) a juridical person prospect by CompanyCode.</w:t>
      </w:r>
    </w:p>
    <w:p>
      <w:pPr>
        <w:pStyle w:val="Heading3"/>
        <w:spacing w:after="100" w:before="200"/>
      </w:pPr>
      <w:r>
        <w:t xml:space="preserve">GET /persons/juridical/:id</w:t>
      </w:r>
    </w:p>
    <w:p>
      <w:pPr>
        <w:spacing w:after="120"/>
        <w:jc w:val="left"/>
      </w:pPr>
      <w:r>
        <w:rPr>
          <w:b w:val="false"/>
          <w:bCs w:val="false"/>
          <w:i w:val="false"/>
          <w:iCs w:val="false"/>
          <w:color w:val="1F2937"/>
          <w:sz w:val="22"/>
          <w:szCs w:val="22"/>
        </w:rPr>
        <w:t xml:space="preserve">Retrieves corporate entity details by MCD ID (e.g., J2001).</w:t>
      </w:r>
    </w:p>
    <w:p>
      <w:pPr>
        <w:pStyle w:val="Heading3"/>
        <w:spacing w:after="100" w:before="200"/>
      </w:pPr>
      <w:r>
        <w:t xml:space="preserve">PUT /persons/juridical/:id</w:t>
      </w:r>
    </w:p>
    <w:p>
      <w:pPr>
        <w:spacing w:after="120"/>
        <w:jc w:val="left"/>
      </w:pPr>
      <w:r>
        <w:rPr>
          <w:b w:val="false"/>
          <w:bCs w:val="false"/>
          <w:i w:val="false"/>
          <w:iCs w:val="false"/>
          <w:color w:val="1F2937"/>
          <w:sz w:val="22"/>
          <w:szCs w:val="22"/>
        </w:rPr>
        <w:t xml:space="preserve">Updates corporate entity registration attributes.</w:t>
      </w:r>
    </w:p>
    <w:p>
      <w:pPr>
        <w:pStyle w:val="Heading3"/>
        <w:spacing w:after="100" w:before="200"/>
      </w:pPr>
      <w:r>
        <w:t xml:space="preserve">POST /persons/juridical/:id/consent</w:t>
      </w:r>
    </w:p>
    <w:p>
      <w:pPr>
        <w:spacing w:after="120"/>
        <w:jc w:val="left"/>
      </w:pPr>
      <w:r>
        <w:rPr>
          <w:b w:val="false"/>
          <w:bCs w:val="false"/>
          <w:i w:val="false"/>
          <w:iCs w:val="false"/>
          <w:color w:val="1F2937"/>
          <w:sz w:val="22"/>
          <w:szCs w:val="22"/>
        </w:rPr>
        <w:t xml:space="preserve">Records corporate GDPR and marketing preferences.</w:t>
      </w:r>
    </w:p>
    <w:p>
      <w:pPr>
        <w:pStyle w:val="Heading3"/>
        <w:spacing w:after="100" w:before="200"/>
      </w:pPr>
      <w:r>
        <w:t xml:space="preserve">GET /persons/juridical/:id/representatives/:repId</w:t>
      </w:r>
    </w:p>
    <w:p>
      <w:pPr>
        <w:spacing w:after="120"/>
        <w:jc w:val="left"/>
      </w:pPr>
      <w:r>
        <w:rPr>
          <w:b w:val="false"/>
          <w:bCs w:val="false"/>
          <w:i w:val="false"/>
          <w:iCs w:val="false"/>
          <w:color w:val="1F2937"/>
          <w:sz w:val="22"/>
          <w:szCs w:val="22"/>
        </w:rPr>
        <w:t xml:space="preserve">Retrieves specific corporate director/signatory representation details.</w:t>
      </w:r>
    </w:p>
    <w:p>
      <w:pPr>
        <w:pStyle w:val="Heading2"/>
        <w:spacing w:after="150" w:before="300"/>
      </w:pPr>
      <w:r>
        <w:t xml:space="preserve">5.5 Accumulated Capital &amp; Entity Transformation Endpoints</w:t>
      </w:r>
    </w:p>
    <w:p>
      <w:pPr>
        <w:pStyle w:val="Heading3"/>
        <w:spacing w:after="100" w:before="200"/>
      </w:pPr>
      <w:r>
        <w:t xml:space="preserve">PUT /persons/juridical/accumulated</w:t>
      </w:r>
    </w:p>
    <w:p>
      <w:pPr>
        <w:spacing w:after="120"/>
        <w:jc w:val="left"/>
      </w:pPr>
      <w:r>
        <w:rPr>
          <w:b w:val="false"/>
          <w:bCs w:val="false"/>
          <w:i w:val="false"/>
          <w:iCs w:val="false"/>
          <w:color w:val="1F2937"/>
          <w:sz w:val="22"/>
          <w:szCs w:val="22"/>
        </w:rPr>
        <w:t xml:space="preserve">Creates or updates an accumulated juridical person opening a temporary share capital accumulation account.</w:t>
      </w:r>
    </w:p>
    <w:p>
      <w:pPr>
        <w:pStyle w:val="Heading3"/>
        <w:spacing w:after="100" w:before="200"/>
      </w:pPr>
      <w:r>
        <w:t xml:space="preserve">GET /persons/juridical/accumulated</w:t>
      </w:r>
    </w:p>
    <w:p>
      <w:pPr>
        <w:spacing w:after="120"/>
        <w:jc w:val="left"/>
      </w:pPr>
      <w:r>
        <w:rPr>
          <w:b w:val="false"/>
          <w:bCs w:val="false"/>
          <w:i w:val="false"/>
          <w:iCs w:val="false"/>
          <w:color w:val="1F2937"/>
          <w:sz w:val="22"/>
          <w:szCs w:val="22"/>
        </w:rPr>
        <w:t xml:space="preserve">Lists all accumulated juridical entities awaiting official enterprise registry incorporation.</w:t>
      </w:r>
    </w:p>
    <w:p>
      <w:pPr>
        <w:pStyle w:val="Heading3"/>
        <w:spacing w:after="100" w:before="200"/>
      </w:pPr>
      <w:r>
        <w:t xml:space="preserve">POST /persons/juridical/:id/transformFromAccumulated</w:t>
      </w:r>
    </w:p>
    <w:p>
      <w:pPr>
        <w:spacing w:after="120"/>
        <w:jc w:val="left"/>
      </w:pPr>
      <w:r>
        <w:rPr>
          <w:b w:val="false"/>
          <w:bCs w:val="false"/>
          <w:i w:val="false"/>
          <w:iCs w:val="false"/>
          <w:color w:val="1F2937"/>
          <w:sz w:val="22"/>
          <w:szCs w:val="22"/>
        </w:rPr>
        <w:t xml:space="preserve">Converts a temporary accumulated enterprise (A4001) into a fully fledged juridical person (J2001) upon official state registration.</w:t>
      </w:r>
    </w:p>
    <w:p>
      <w:pPr>
        <w:pStyle w:val="Heading2"/>
        <w:spacing w:after="150" w:before="300"/>
      </w:pPr>
      <w:r>
        <w:t xml:space="preserve">5.6 Legal Representatives Endpoints</w:t>
      </w:r>
    </w:p>
    <w:p>
      <w:pPr>
        <w:pStyle w:val="Heading3"/>
        <w:spacing w:after="100" w:before="200"/>
      </w:pPr>
      <w:r>
        <w:t xml:space="preserve">GET /persons/representatives</w:t>
      </w:r>
    </w:p>
    <w:p>
      <w:pPr>
        <w:spacing w:after="120"/>
        <w:jc w:val="left"/>
      </w:pPr>
      <w:r>
        <w:rPr>
          <w:b w:val="false"/>
          <w:bCs w:val="false"/>
          <w:i w:val="false"/>
          <w:iCs w:val="false"/>
          <w:color w:val="1F2937"/>
          <w:sz w:val="22"/>
          <w:szCs w:val="22"/>
        </w:rPr>
        <w:t xml:space="preserve">Lists all authorized legal representatives across registered companies.</w:t>
      </w:r>
    </w:p>
    <w:p>
      <w:pPr>
        <w:pStyle w:val="Heading3"/>
        <w:spacing w:after="100" w:before="200"/>
      </w:pPr>
      <w:r>
        <w:t xml:space="preserve">GET /persons/representatives/:id</w:t>
      </w:r>
    </w:p>
    <w:p>
      <w:pPr>
        <w:spacing w:after="120"/>
        <w:jc w:val="left"/>
      </w:pPr>
      <w:r>
        <w:rPr>
          <w:b w:val="false"/>
          <w:bCs w:val="false"/>
          <w:i w:val="false"/>
          <w:iCs w:val="false"/>
          <w:color w:val="1F2937"/>
          <w:sz w:val="22"/>
          <w:szCs w:val="22"/>
        </w:rPr>
        <w:t xml:space="preserve">Retrieves representative profile and document identity data (e.g., R3001).</w:t>
      </w:r>
    </w:p>
    <w:p>
      <w:pPr>
        <w:pStyle w:val="Heading3"/>
        <w:spacing w:after="100" w:before="200"/>
      </w:pPr>
      <w:r>
        <w:t xml:space="preserve">PUT /persons/representatives/:id</w:t>
      </w:r>
    </w:p>
    <w:p>
      <w:pPr>
        <w:spacing w:after="120"/>
        <w:jc w:val="left"/>
      </w:pPr>
      <w:r>
        <w:rPr>
          <w:b w:val="false"/>
          <w:bCs w:val="false"/>
          <w:i w:val="false"/>
          <w:iCs w:val="false"/>
          <w:color w:val="1F2937"/>
          <w:sz w:val="22"/>
          <w:szCs w:val="22"/>
        </w:rPr>
        <w:t xml:space="preserve">Updates representative contact, address, or compliance details.</w:t>
      </w:r>
    </w:p>
    <w:p>
      <w:pPr>
        <w:pStyle w:val="Heading2"/>
        <w:spacing w:after="150" w:before="300"/>
      </w:pPr>
      <w:r>
        <w:t xml:space="preserve">5.7 Database Administration Endpoints</w:t>
      </w:r>
    </w:p>
    <w:p>
      <w:pPr>
        <w:pStyle w:val="Heading3"/>
        <w:spacing w:after="100" w:before="200"/>
      </w:pPr>
      <w:r>
        <w:t xml:space="preserve">GET /admin/db</w:t>
      </w:r>
    </w:p>
    <w:p>
      <w:pPr>
        <w:spacing w:after="120"/>
        <w:jc w:val="left"/>
      </w:pPr>
      <w:r>
        <w:rPr>
          <w:b w:val="false"/>
          <w:bCs w:val="false"/>
          <w:i w:val="false"/>
          <w:iCs w:val="false"/>
          <w:color w:val="1F2937"/>
          <w:sz w:val="22"/>
          <w:szCs w:val="22"/>
        </w:rPr>
        <w:t xml:space="preserve">Returns full JSON database dump across all 4 collections.</w:t>
      </w:r>
    </w:p>
    <w:p>
      <w:pPr>
        <w:pStyle w:val="Heading3"/>
        <w:spacing w:after="100" w:before="200"/>
      </w:pPr>
      <w:r>
        <w:t xml:space="preserve">POST /admin/db/reset</w:t>
      </w:r>
    </w:p>
    <w:p>
      <w:pPr>
        <w:spacing w:after="120"/>
        <w:jc w:val="left"/>
      </w:pPr>
      <w:r>
        <w:rPr>
          <w:b w:val="false"/>
          <w:bCs w:val="false"/>
          <w:i w:val="false"/>
          <w:iCs w:val="false"/>
          <w:color w:val="1F2937"/>
          <w:sz w:val="22"/>
          <w:szCs w:val="22"/>
        </w:rPr>
        <w:t xml:space="preserve">Resets in-memory and disk database state back to standard seed baseline.</w:t>
      </w:r>
    </w:p>
    <w:p>
      <w:pPr>
        <w:pStyle w:val="Heading3"/>
        <w:spacing w:after="100" w:before="200"/>
      </w:pPr>
      <w:r>
        <w:t xml:space="preserve">POST /admin/db/:collection</w:t>
      </w:r>
    </w:p>
    <w:p>
      <w:pPr>
        <w:spacing w:after="120"/>
        <w:jc w:val="left"/>
      </w:pPr>
      <w:r>
        <w:rPr>
          <w:b w:val="false"/>
          <w:bCs w:val="false"/>
          <w:i w:val="false"/>
          <w:iCs w:val="false"/>
          <w:color w:val="1F2937"/>
          <w:sz w:val="22"/>
          <w:szCs w:val="22"/>
        </w:rPr>
        <w:t xml:space="preserve">Direct browser UI endpoint to add a new record to any collection. For physical persons, automatically invokes Transact synchronization.</w:t>
      </w:r>
    </w:p>
    <w:p>
      <w:pPr>
        <w:pStyle w:val="Heading3"/>
        <w:spacing w:after="100" w:before="200"/>
      </w:pPr>
      <w:r>
        <w:t xml:space="preserve">PUT /admin/db/:collection/:id</w:t>
      </w:r>
    </w:p>
    <w:p>
      <w:pPr>
        <w:spacing w:after="120"/>
        <w:jc w:val="left"/>
      </w:pPr>
      <w:r>
        <w:rPr>
          <w:b w:val="false"/>
          <w:bCs w:val="false"/>
          <w:i w:val="false"/>
          <w:iCs w:val="false"/>
          <w:color w:val="1F2937"/>
          <w:sz w:val="22"/>
          <w:szCs w:val="22"/>
        </w:rPr>
        <w:t xml:space="preserve">Direct browser UI endpoint to update any record by collection and ID.</w:t>
      </w:r>
    </w:p>
    <w:p>
      <w:pPr>
        <w:pStyle w:val="Heading3"/>
        <w:spacing w:after="100" w:before="200"/>
      </w:pPr>
      <w:r>
        <w:t xml:space="preserve">DELETE /admin/db/:collection/:id</w:t>
      </w:r>
    </w:p>
    <w:p>
      <w:pPr>
        <w:spacing w:after="120"/>
        <w:jc w:val="left"/>
      </w:pPr>
      <w:r>
        <w:rPr>
          <w:b w:val="false"/>
          <w:bCs w:val="false"/>
          <w:i w:val="false"/>
          <w:iCs w:val="false"/>
          <w:color w:val="1F2937"/>
          <w:sz w:val="22"/>
          <w:szCs w:val="22"/>
        </w:rPr>
        <w:t xml:space="preserve">Direct browser UI endpoint to delete any record by collection and ID.</w:t>
      </w:r>
    </w:p>
    <w:p>
      <w:pPr>
        <w:pStyle w:val="Heading1"/>
        <w:spacing w:after="200" w:before="400"/>
      </w:pPr>
      <w:r>
        <w:t xml:space="preserve">6. Web Management Console &amp; Dynamic Randomizer</w:t>
      </w:r>
    </w:p>
    <w:p>
      <w:pPr>
        <w:spacing w:after="120"/>
        <w:jc w:val="left"/>
      </w:pPr>
      <w:r>
        <w:rPr>
          <w:b w:val="false"/>
          <w:bCs w:val="false"/>
          <w:i w:val="false"/>
          <w:iCs w:val="false"/>
          <w:color w:val="1F2937"/>
          <w:sz w:val="22"/>
          <w:szCs w:val="22"/>
        </w:rPr>
        <w:t xml:space="preserve">The MCD Infinity API Server embeds a modern, responsive Single-Page Application (SPA) web dashboard accessible directly at `http://localhost:3000/`.</w:t>
      </w:r>
    </w:p>
    <w:p>
      <w:pPr>
        <w:pStyle w:val="Heading2"/>
        <w:spacing w:after="150" w:before="300"/>
      </w:pPr>
      <w:r>
        <w:t xml:space="preserve">6.1 Web Dashboard Features</w:t>
      </w:r>
    </w:p>
    <w:p>
      <w:pPr>
        <w:pStyle w:val="ListParagraph"/>
        <w:numPr>
          <w:ilvl w:val="0"/>
          <w:numId w:val="1"/>
        </w:numPr>
        <w:spacing w:after="80"/>
      </w:pPr>
      <w:r>
        <w:rPr>
          <w:b/>
          <w:bCs/>
          <w:color w:val="1F2937"/>
          <w:sz w:val="22"/>
          <w:szCs w:val="22"/>
        </w:rPr>
        <w:t xml:space="preserve">Statistics: </w:t>
      </w:r>
      <w:r>
        <w:rPr>
          <w:color w:val="1F2937"/>
          <w:sz w:val="22"/>
          <w:szCs w:val="22"/>
        </w:rPr>
        <w:t xml:space="preserve">Live Collection Counters: Real-time badges displaying exact count of physical, juridical, representative, and accumulated entities.</w:t>
      </w:r>
    </w:p>
    <w:p>
      <w:pPr>
        <w:pStyle w:val="ListParagraph"/>
        <w:numPr>
          <w:ilvl w:val="0"/>
          <w:numId w:val="1"/>
        </w:numPr>
        <w:spacing w:after="80"/>
      </w:pPr>
      <w:r>
        <w:rPr>
          <w:b/>
          <w:bCs/>
          <w:color w:val="1F2937"/>
          <w:sz w:val="22"/>
          <w:szCs w:val="22"/>
        </w:rPr>
        <w:t xml:space="preserve">Data Grid: </w:t>
      </w:r>
      <w:r>
        <w:rPr>
          <w:color w:val="1F2937"/>
          <w:sz w:val="22"/>
          <w:szCs w:val="22"/>
        </w:rPr>
        <w:t xml:space="preserve">Interactive Data Table: Responsive tabular view displaying McdId, Full Name, PersonalCode/CompanyCode, Status, TransactID, and Action buttons.</w:t>
      </w:r>
    </w:p>
    <w:p>
      <w:pPr>
        <w:pStyle w:val="ListParagraph"/>
        <w:numPr>
          <w:ilvl w:val="0"/>
          <w:numId w:val="1"/>
        </w:numPr>
        <w:spacing w:after="80"/>
      </w:pPr>
      <w:r>
        <w:rPr>
          <w:b/>
          <w:bCs/>
          <w:color w:val="1F2937"/>
          <w:sz w:val="22"/>
          <w:szCs w:val="22"/>
        </w:rPr>
        <w:t xml:space="preserve">Core Sync: </w:t>
      </w:r>
      <w:r>
        <w:rPr>
          <w:color w:val="1F2937"/>
          <w:sz w:val="22"/>
          <w:szCs w:val="22"/>
        </w:rPr>
        <w:t xml:space="preserve">Quick Transact Sync: One-click lightning bolt button on table rows to instantly synchronize any physical person with Temenos Transact.</w:t>
      </w:r>
    </w:p>
    <w:p>
      <w:pPr>
        <w:pStyle w:val="ListParagraph"/>
        <w:numPr>
          <w:ilvl w:val="0"/>
          <w:numId w:val="1"/>
        </w:numPr>
        <w:spacing w:after="80"/>
      </w:pPr>
      <w:r>
        <w:rPr>
          <w:b/>
          <w:bCs/>
          <w:color w:val="1F2937"/>
          <w:sz w:val="22"/>
          <w:szCs w:val="22"/>
        </w:rPr>
        <w:t xml:space="preserve">Inspector: </w:t>
      </w:r>
      <w:r>
        <w:rPr>
          <w:color w:val="1F2937"/>
          <w:sz w:val="22"/>
          <w:szCs w:val="22"/>
        </w:rPr>
        <w:t xml:space="preserve">In-Place Modal JSON Editor: Full JSON editor with syntax error detection to view, modify, and save records in real time.</w:t>
      </w:r>
    </w:p>
    <w:p>
      <w:pPr>
        <w:pStyle w:val="Heading2"/>
        <w:spacing w:after="150" w:before="300"/>
      </w:pPr>
      <w:r>
        <w:t xml:space="preserve">6.2 Dynamic Random Data Generation &amp; Re-Roll (🎲 Randomize Data)</w:t>
      </w:r>
    </w:p>
    <w:p>
      <w:pPr>
        <w:spacing w:after="120"/>
        <w:jc w:val="left"/>
      </w:pPr>
      <w:r>
        <w:rPr>
          <w:b w:val="false"/>
          <w:bCs w:val="false"/>
          <w:i w:val="false"/>
          <w:iCs w:val="false"/>
          <w:color w:val="1F2937"/>
          <w:sz w:val="22"/>
          <w:szCs w:val="22"/>
        </w:rPr>
        <w:t xml:space="preserve">To accelerate local development and testing, clicking "+ Add Record" generates fresh, realistic payloads tailored to the active table tab:</w:t>
      </w:r>
    </w:p>
    <w:p>
      <w:pPr>
        <w:pStyle w:val="ListParagraph"/>
        <w:numPr>
          <w:ilvl w:val="0"/>
          <w:numId w:val="1"/>
        </w:numPr>
        <w:spacing w:after="80"/>
      </w:pPr>
      <w:r>
        <w:rPr>
          <w:b/>
          <w:bCs/>
          <w:color w:val="1F2937"/>
          <w:sz w:val="22"/>
          <w:szCs w:val="22"/>
        </w:rPr>
        <w:t xml:space="preserve">Physical Persons: </w:t>
      </w:r>
      <w:r>
        <w:rPr>
          <w:color w:val="1F2937"/>
          <w:sz w:val="22"/>
          <w:szCs w:val="22"/>
        </w:rPr>
        <w:t xml:space="preserve">Valid Lithuanian 11-digit PersonalCode matching century, birth year, month, and day.</w:t>
      </w:r>
    </w:p>
    <w:p>
      <w:pPr>
        <w:pStyle w:val="ListParagraph"/>
        <w:numPr>
          <w:ilvl w:val="0"/>
          <w:numId w:val="1"/>
        </w:numPr>
        <w:spacing w:after="80"/>
      </w:pPr>
      <w:r>
        <w:rPr>
          <w:b/>
          <w:bCs/>
          <w:color w:val="1F2937"/>
          <w:sz w:val="22"/>
          <w:szCs w:val="22"/>
        </w:rPr>
        <w:t xml:space="preserve">Demographics: </w:t>
      </w:r>
      <w:r>
        <w:rPr>
          <w:color w:val="1F2937"/>
          <w:sz w:val="22"/>
          <w:szCs w:val="22"/>
        </w:rPr>
        <w:t xml:space="preserve">Matching DateOfBirth (1975–2003) and authentic Lithuanian first and last names (e.g., Mantas Kazlauskas, Emilija Paulauskaitė).</w:t>
      </w:r>
    </w:p>
    <w:p>
      <w:pPr>
        <w:pStyle w:val="ListParagraph"/>
        <w:numPr>
          <w:ilvl w:val="0"/>
          <w:numId w:val="1"/>
        </w:numPr>
        <w:spacing w:after="80"/>
      </w:pPr>
      <w:r>
        <w:rPr>
          <w:b/>
          <w:bCs/>
          <w:color w:val="1F2937"/>
          <w:sz w:val="22"/>
          <w:szCs w:val="22"/>
        </w:rPr>
        <w:t xml:space="preserve">Contact &amp; Address: </w:t>
      </w:r>
      <w:r>
        <w:rPr>
          <w:color w:val="1F2937"/>
          <w:sz w:val="22"/>
          <w:szCs w:val="22"/>
        </w:rPr>
        <w:t xml:space="preserve">Valid Lithuanian mobile phone (+3706XXXXXXX), corresponding email address, and real Vilnius street addresses (Gedimino pr., Konstitucijos pr., etc.).</w:t>
      </w:r>
    </w:p>
    <w:p>
      <w:pPr>
        <w:pStyle w:val="ListParagraph"/>
        <w:numPr>
          <w:ilvl w:val="0"/>
          <w:numId w:val="1"/>
        </w:numPr>
        <w:spacing w:after="80"/>
      </w:pPr>
      <w:r>
        <w:rPr>
          <w:b/>
          <w:bCs/>
          <w:color w:val="1F2937"/>
          <w:sz w:val="22"/>
          <w:szCs w:val="22"/>
        </w:rPr>
        <w:t xml:space="preserve">Identity / SSN: </w:t>
      </w:r>
      <w:r>
        <w:rPr>
          <w:color w:val="1F2937"/>
          <w:sz w:val="22"/>
          <w:szCs w:val="22"/>
        </w:rPr>
        <w:t xml:space="preserve">Authentic random SSN in clean 9-digit format XXX-XX-XXXX.</w:t>
      </w:r>
    </w:p>
    <w:p>
      <w:pPr>
        <w:pStyle w:val="ListParagraph"/>
        <w:numPr>
          <w:ilvl w:val="0"/>
          <w:numId w:val="1"/>
        </w:numPr>
        <w:spacing w:after="80"/>
      </w:pPr>
      <w:r>
        <w:rPr>
          <w:b/>
          <w:bCs/>
          <w:color w:val="1F2937"/>
          <w:sz w:val="22"/>
          <w:szCs w:val="22"/>
        </w:rPr>
        <w:t xml:space="preserve">Re-roll Feature: </w:t>
      </w:r>
      <w:r>
        <w:rPr>
          <w:color w:val="1F2937"/>
          <w:sz w:val="22"/>
          <w:szCs w:val="22"/>
        </w:rPr>
        <w:t xml:space="preserve">An interactive "🎲 Randomize Data" button directly inside the modal allows operators to re-roll new data with one click.</w:t>
      </w:r>
    </w:p>
    <w:p>
      <w:pPr>
        <w:pStyle w:val="Heading1"/>
        <w:spacing w:after="200" w:before="400"/>
      </w:pPr>
      <w:r>
        <w:t xml:space="preserve">7. Operations, Deployment &amp; Automated Testing</w:t>
      </w:r>
    </w:p>
    <w:p>
      <w:pPr>
        <w:pStyle w:val="Heading2"/>
        <w:spacing w:after="150" w:before="300"/>
      </w:pPr>
      <w:r>
        <w:t xml:space="preserve">7.1 Configuration &amp; Environment Variables</w:t>
      </w:r>
    </w:p>
    <w:tbl>
      <w:tblPr>
        <w:tblW w:type="pct" w:w="5000"/>
        <w:tblBorders>
          <w:top w:val="single" w:color="E2E8F0" w:sz="4"/>
          <w:left w:val="single" w:color="E2E8F0" w:sz="4"/>
          <w:bottom w:val="single" w:color="E2E8F0" w:sz="4"/>
          <w:right w:val="single" w:color="E2E8F0" w:sz="4"/>
          <w:insideH w:val="single" w:color="E2E8F0" w:sz="4"/>
          <w:insideV w:val="single" w:color="E2E8F0" w:sz="4"/>
        </w:tblBorders>
      </w:tblPr>
      <w:tblGrid>
        <w:gridCol w:w="2257"/>
        <w:gridCol w:w="4062"/>
        <w:gridCol w:w="2708"/>
      </w:tblGrid>
      <w:tr>
        <w:trPr>
          <w:tblHeader/>
        </w:trPr>
        <w:tc>
          <w:tcPr>
            <w:tcW w:type="pct" w:w="1250"/>
            <w:shd w:fill="1E293B" w:val="clear"/>
            <w:tcMar>
              <w:top w:type="dxa" w:w="120"/>
              <w:left w:type="dxa" w:w="140"/>
              <w:bottom w:type="dxa" w:w="120"/>
              <w:right w:type="dxa" w:w="140"/>
            </w:tcMar>
          </w:tcPr>
          <w:p>
            <w:r>
              <w:rPr>
                <w:b/>
                <w:bCs/>
                <w:color w:val="FFFFFF"/>
                <w:sz w:val="20"/>
                <w:szCs w:val="20"/>
              </w:rPr>
              <w:t xml:space="preserve">Environment Variable</w:t>
            </w:r>
          </w:p>
        </w:tc>
        <w:tc>
          <w:tcPr>
            <w:tcW w:type="pct" w:w="2250"/>
            <w:shd w:fill="1E293B" w:val="clear"/>
            <w:tcMar>
              <w:top w:type="dxa" w:w="120"/>
              <w:left w:type="dxa" w:w="140"/>
              <w:bottom w:type="dxa" w:w="120"/>
              <w:right w:type="dxa" w:w="140"/>
            </w:tcMar>
          </w:tcPr>
          <w:p>
            <w:r>
              <w:rPr>
                <w:b/>
                <w:bCs/>
                <w:color w:val="FFFFFF"/>
                <w:sz w:val="20"/>
                <w:szCs w:val="20"/>
              </w:rPr>
              <w:t xml:space="preserve">Default Value</w:t>
            </w:r>
          </w:p>
        </w:tc>
        <w:tc>
          <w:tcPr>
            <w:tcW w:type="pct" w:w="1500"/>
            <w:shd w:fill="1E293B" w:val="clear"/>
            <w:tcMar>
              <w:top w:type="dxa" w:w="120"/>
              <w:left w:type="dxa" w:w="140"/>
              <w:bottom w:type="dxa" w:w="120"/>
              <w:right w:type="dxa" w:w="140"/>
            </w:tcMar>
          </w:tcPr>
          <w:p>
            <w:r>
              <w:rPr>
                <w:b/>
                <w:bCs/>
                <w:color w:val="FFFFFF"/>
                <w:sz w:val="20"/>
                <w:szCs w:val="20"/>
              </w:rPr>
              <w:t xml:space="preserve">Description</w:t>
            </w:r>
          </w:p>
        </w:tc>
      </w:tr>
      <w:tr>
        <w:tc>
          <w:tcPr>
            <w:tcW w:type="pct" w:w="1250"/>
            <w:shd w:fill="FFFFFF" w:val="clear"/>
            <w:tcMar>
              <w:top w:type="dxa" w:w="100"/>
              <w:left w:type="dxa" w:w="140"/>
              <w:bottom w:type="dxa" w:w="100"/>
              <w:right w:type="dxa" w:w="140"/>
            </w:tcMar>
          </w:tcPr>
          <w:p>
            <w:r>
              <w:rPr>
                <w:color w:val="1F2937"/>
                <w:sz w:val="20"/>
                <w:szCs w:val="20"/>
              </w:rPr>
              <w:t xml:space="preserve">PORT</w:t>
            </w:r>
          </w:p>
        </w:tc>
        <w:tc>
          <w:tcPr>
            <w:tcW w:type="pct" w:w="2250"/>
            <w:shd w:fill="FFFFFF" w:val="clear"/>
            <w:tcMar>
              <w:top w:type="dxa" w:w="100"/>
              <w:left w:type="dxa" w:w="140"/>
              <w:bottom w:type="dxa" w:w="100"/>
              <w:right w:type="dxa" w:w="140"/>
            </w:tcMar>
          </w:tcPr>
          <w:p>
            <w:r>
              <w:rPr>
                <w:color w:val="1F2937"/>
                <w:sz w:val="20"/>
                <w:szCs w:val="20"/>
              </w:rPr>
              <w:t xml:space="preserve">3000</w:t>
            </w:r>
          </w:p>
        </w:tc>
        <w:tc>
          <w:tcPr>
            <w:tcW w:type="pct" w:w="1500"/>
            <w:shd w:fill="FFFFFF" w:val="clear"/>
            <w:tcMar>
              <w:top w:type="dxa" w:w="100"/>
              <w:left w:type="dxa" w:w="140"/>
              <w:bottom w:type="dxa" w:w="100"/>
              <w:right w:type="dxa" w:w="140"/>
            </w:tcMar>
          </w:tcPr>
          <w:p>
            <w:r>
              <w:rPr>
                <w:color w:val="1F2937"/>
                <w:sz w:val="20"/>
                <w:szCs w:val="20"/>
              </w:rPr>
              <w:t xml:space="preserve">Local HTTP port to bind the server.</w:t>
            </w:r>
          </w:p>
        </w:tc>
      </w:tr>
      <w:tr>
        <w:tc>
          <w:tcPr>
            <w:tcW w:type="pct" w:w="1250"/>
            <w:shd w:fill="F8FAFC" w:val="clear"/>
            <w:tcMar>
              <w:top w:type="dxa" w:w="100"/>
              <w:left w:type="dxa" w:w="140"/>
              <w:bottom w:type="dxa" w:w="100"/>
              <w:right w:type="dxa" w:w="140"/>
            </w:tcMar>
          </w:tcPr>
          <w:p>
            <w:r>
              <w:rPr>
                <w:color w:val="1F2937"/>
                <w:sz w:val="20"/>
                <w:szCs w:val="20"/>
              </w:rPr>
              <w:t xml:space="preserve">TRANSACT_API_URL</w:t>
            </w:r>
          </w:p>
        </w:tc>
        <w:tc>
          <w:tcPr>
            <w:tcW w:type="pct" w:w="2250"/>
            <w:shd w:fill="F8FAFC" w:val="clear"/>
            <w:tcMar>
              <w:top w:type="dxa" w:w="100"/>
              <w:left w:type="dxa" w:w="140"/>
              <w:bottom w:type="dxa" w:w="100"/>
              <w:right w:type="dxa" w:w="140"/>
            </w:tcMar>
          </w:tcPr>
          <w:p>
            <w:r>
              <w:rPr>
                <w:color w:val="1F2937"/>
                <w:sz w:val="20"/>
                <w:szCs w:val="20"/>
              </w:rPr>
              <w:t xml:space="preserve">http://192.168.1.157:8085/irf-provider-container/api/v5.1.0/party/customers</w:t>
            </w:r>
          </w:p>
        </w:tc>
        <w:tc>
          <w:tcPr>
            <w:tcW w:type="pct" w:w="1500"/>
            <w:shd w:fill="F8FAFC" w:val="clear"/>
            <w:tcMar>
              <w:top w:type="dxa" w:w="100"/>
              <w:left w:type="dxa" w:w="140"/>
              <w:bottom w:type="dxa" w:w="100"/>
              <w:right w:type="dxa" w:w="140"/>
            </w:tcMar>
          </w:tcPr>
          <w:p>
            <w:r>
              <w:rPr>
                <w:color w:val="1F2937"/>
                <w:sz w:val="20"/>
                <w:szCs w:val="20"/>
              </w:rPr>
              <w:t xml:space="preserve">Temenos Transact customer creation endpoint.</w:t>
            </w:r>
          </w:p>
        </w:tc>
      </w:tr>
      <w:tr>
        <w:tc>
          <w:tcPr>
            <w:tcW w:type="pct" w:w="1250"/>
            <w:shd w:fill="FFFFFF" w:val="clear"/>
            <w:tcMar>
              <w:top w:type="dxa" w:w="100"/>
              <w:left w:type="dxa" w:w="140"/>
              <w:bottom w:type="dxa" w:w="100"/>
              <w:right w:type="dxa" w:w="140"/>
            </w:tcMar>
          </w:tcPr>
          <w:p>
            <w:r>
              <w:rPr>
                <w:color w:val="1F2937"/>
                <w:sz w:val="20"/>
                <w:szCs w:val="20"/>
              </w:rPr>
              <w:t xml:space="preserve">TRANSACT_BEARER_TOKEN</w:t>
            </w:r>
          </w:p>
        </w:tc>
        <w:tc>
          <w:tcPr>
            <w:tcW w:type="pct" w:w="2250"/>
            <w:shd w:fill="FFFFFF" w:val="clear"/>
            <w:tcMar>
              <w:top w:type="dxa" w:w="100"/>
              <w:left w:type="dxa" w:w="140"/>
              <w:bottom w:type="dxa" w:w="100"/>
              <w:right w:type="dxa" w:w="140"/>
            </w:tcMar>
          </w:tcPr>
          <w:p>
            <w:r>
              <w:rPr>
                <w:color w:val="1F2937"/>
                <w:sz w:val="20"/>
                <w:szCs w:val="20"/>
              </w:rPr>
              <w:t xml:space="preserve">[Configured JWT Token]</w:t>
            </w:r>
          </w:p>
        </w:tc>
        <w:tc>
          <w:tcPr>
            <w:tcW w:type="pct" w:w="1500"/>
            <w:shd w:fill="FFFFFF" w:val="clear"/>
            <w:tcMar>
              <w:top w:type="dxa" w:w="100"/>
              <w:left w:type="dxa" w:w="140"/>
              <w:bottom w:type="dxa" w:w="100"/>
              <w:right w:type="dxa" w:w="140"/>
            </w:tcMar>
          </w:tcPr>
          <w:p>
            <w:r>
              <w:rPr>
                <w:color w:val="1F2937"/>
                <w:sz w:val="20"/>
                <w:szCs w:val="20"/>
              </w:rPr>
              <w:t xml:space="preserve">OAuth2 JWT bearer token for Transact authentication.</w:t>
            </w:r>
          </w:p>
        </w:tc>
      </w:tr>
      <w:tr>
        <w:tc>
          <w:tcPr>
            <w:tcW w:type="pct" w:w="1250"/>
            <w:shd w:fill="F8FAFC" w:val="clear"/>
            <w:tcMar>
              <w:top w:type="dxa" w:w="100"/>
              <w:left w:type="dxa" w:w="140"/>
              <w:bottom w:type="dxa" w:w="100"/>
              <w:right w:type="dxa" w:w="140"/>
            </w:tcMar>
          </w:tcPr>
          <w:p>
            <w:r>
              <w:rPr>
                <w:color w:val="1F2937"/>
                <w:sz w:val="20"/>
                <w:szCs w:val="20"/>
              </w:rPr>
              <w:t xml:space="preserve">TRANSACT_COOKIE</w:t>
            </w:r>
          </w:p>
        </w:tc>
        <w:tc>
          <w:tcPr>
            <w:tcW w:type="pct" w:w="2250"/>
            <w:shd w:fill="F8FAFC" w:val="clear"/>
            <w:tcMar>
              <w:top w:type="dxa" w:w="100"/>
              <w:left w:type="dxa" w:w="140"/>
              <w:bottom w:type="dxa" w:w="100"/>
              <w:right w:type="dxa" w:w="140"/>
            </w:tcMar>
          </w:tcPr>
          <w:p>
            <w:r>
              <w:rPr>
                <w:color w:val="1F2937"/>
                <w:sz w:val="20"/>
                <w:szCs w:val="20"/>
              </w:rPr>
              <w:t xml:space="preserve">ApplicationGatewayAffinity=...;ApplicationGatewayAffinityCORS=...</w:t>
            </w:r>
          </w:p>
        </w:tc>
        <w:tc>
          <w:tcPr>
            <w:tcW w:type="pct" w:w="1500"/>
            <w:shd w:fill="F8FAFC" w:val="clear"/>
            <w:tcMar>
              <w:top w:type="dxa" w:w="100"/>
              <w:left w:type="dxa" w:w="140"/>
              <w:bottom w:type="dxa" w:w="100"/>
              <w:right w:type="dxa" w:w="140"/>
            </w:tcMar>
          </w:tcPr>
          <w:p>
            <w:r>
              <w:rPr>
                <w:color w:val="1F2937"/>
                <w:sz w:val="20"/>
                <w:szCs w:val="20"/>
              </w:rPr>
              <w:t xml:space="preserve">Sticky session cookies for Azure Application Gateway routing.</w:t>
            </w:r>
          </w:p>
        </w:tc>
      </w:tr>
      <w:tr>
        <w:tc>
          <w:tcPr>
            <w:tcW w:type="pct" w:w="1250"/>
            <w:shd w:fill="FFFFFF" w:val="clear"/>
            <w:tcMar>
              <w:top w:type="dxa" w:w="100"/>
              <w:left w:type="dxa" w:w="140"/>
              <w:bottom w:type="dxa" w:w="100"/>
              <w:right w:type="dxa" w:w="140"/>
            </w:tcMar>
          </w:tcPr>
          <w:p>
            <w:r>
              <w:rPr>
                <w:color w:val="1F2937"/>
                <w:sz w:val="20"/>
                <w:szCs w:val="20"/>
              </w:rPr>
              <w:t xml:space="preserve">MOCK_TRANSACT</w:t>
            </w:r>
          </w:p>
        </w:tc>
        <w:tc>
          <w:tcPr>
            <w:tcW w:type="pct" w:w="2250"/>
            <w:shd w:fill="FFFFFF" w:val="clear"/>
            <w:tcMar>
              <w:top w:type="dxa" w:w="100"/>
              <w:left w:type="dxa" w:w="140"/>
              <w:bottom w:type="dxa" w:w="100"/>
              <w:right w:type="dxa" w:w="140"/>
            </w:tcMar>
          </w:tcPr>
          <w:p>
            <w:r>
              <w:rPr>
                <w:color w:val="1F2937"/>
                <w:sz w:val="20"/>
                <w:szCs w:val="20"/>
              </w:rPr>
              <w:t xml:space="preserve">false</w:t>
            </w:r>
          </w:p>
        </w:tc>
        <w:tc>
          <w:tcPr>
            <w:tcW w:type="pct" w:w="1500"/>
            <w:shd w:fill="FFFFFF" w:val="clear"/>
            <w:tcMar>
              <w:top w:type="dxa" w:w="100"/>
              <w:left w:type="dxa" w:w="140"/>
              <w:bottom w:type="dxa" w:w="100"/>
              <w:right w:type="dxa" w:w="140"/>
            </w:tcMar>
          </w:tcPr>
          <w:p>
            <w:r>
              <w:rPr>
                <w:color w:val="1F2937"/>
                <w:sz w:val="20"/>
                <w:szCs w:val="20"/>
              </w:rPr>
              <w:t xml:space="preserve">Set to "true" to simulate Transact responses offline without network access.</w:t>
            </w:r>
          </w:p>
        </w:tc>
      </w:tr>
    </w:tbl>
    <w:p>
      <w:pPr>
        <w:pStyle w:val="Heading2"/>
        <w:spacing w:after="150" w:before="300"/>
      </w:pPr>
      <w:r>
        <w:t xml:space="preserve">7.2 Running Locally</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 Navigate to project directory</w:t>
            </w:r>
          </w:p>
          <w:p>
            <w:pPr>
              <w:spacing w:after="40"/>
            </w:pPr>
            <w:r>
              <w:rPr>
                <w:rFonts w:ascii="Consolas" w:cs="Consolas" w:eastAsia="Consolas" w:hAnsi="Consolas"/>
                <w:color w:val="0F172A"/>
                <w:sz w:val="19"/>
                <w:szCs w:val="19"/>
              </w:rPr>
              <w:t xml:space="preserve">cd /Users/aliadil/.gemini/antigravity/scratch/mcd-infinity-app</w:t>
            </w:r>
          </w:p>
          <w:p>
            <w:pPr>
              <w:spacing w:after="40"/>
            </w:pPr>
            <w:r>
              <w:rPr>
                <w:rFonts w:ascii="Consolas" w:cs="Consolas" w:eastAsia="Consolas" w:hAnsi="Consolas"/>
                <w:color w:val="0F172A"/>
                <w:sz w:val="19"/>
                <w:szCs w:val="19"/>
              </w:rPr>
              <w:t xml:space="preserve"/>
            </w:r>
          </w:p>
          <w:p>
            <w:pPr>
              <w:spacing w:after="40"/>
            </w:pPr>
            <w:r>
              <w:rPr>
                <w:rFonts w:ascii="Consolas" w:cs="Consolas" w:eastAsia="Consolas" w:hAnsi="Consolas"/>
                <w:color w:val="0F172A"/>
                <w:sz w:val="19"/>
                <w:szCs w:val="19"/>
              </w:rPr>
              <w:t xml:space="preserve"># Start server</w:t>
            </w:r>
          </w:p>
          <w:p>
            <w:pPr>
              <w:spacing w:after="40"/>
            </w:pPr>
            <w:r>
              <w:rPr>
                <w:rFonts w:ascii="Consolas" w:cs="Consolas" w:eastAsia="Consolas" w:hAnsi="Consolas"/>
                <w:color w:val="0F172A"/>
                <w:sz w:val="19"/>
                <w:szCs w:val="19"/>
              </w:rPr>
              <w:t xml:space="preserve">node server.mjs</w:t>
            </w:r>
          </w:p>
          <w:p>
            <w:pPr>
              <w:spacing w:after="40"/>
            </w:pPr>
            <w:r>
              <w:rPr>
                <w:rFonts w:ascii="Consolas" w:cs="Consolas" w:eastAsia="Consolas" w:hAnsi="Consolas"/>
                <w:color w:val="0F172A"/>
                <w:sz w:val="19"/>
                <w:szCs w:val="19"/>
              </w:rPr>
              <w:t xml:space="preserve"/>
            </w:r>
          </w:p>
          <w:p>
            <w:pPr>
              <w:spacing w:after="40"/>
            </w:pPr>
            <w:r>
              <w:rPr>
                <w:rFonts w:ascii="Consolas" w:cs="Consolas" w:eastAsia="Consolas" w:hAnsi="Consolas"/>
                <w:color w:val="0F172A"/>
                <w:sz w:val="19"/>
                <w:szCs w:val="19"/>
              </w:rPr>
              <w:t xml:space="preserve"># Run automated in-process test suite (36 tests)</w:t>
            </w:r>
          </w:p>
          <w:p>
            <w:pPr>
              <w:spacing w:after="40"/>
            </w:pPr>
            <w:r>
              <w:rPr>
                <w:rFonts w:ascii="Consolas" w:cs="Consolas" w:eastAsia="Consolas" w:hAnsi="Consolas"/>
                <w:color w:val="0F172A"/>
                <w:sz w:val="19"/>
                <w:szCs w:val="19"/>
              </w:rPr>
              <w:t xml:space="preserve">node test-runner.mjs</w:t>
            </w:r>
          </w:p>
        </w:tc>
      </w:tr>
    </w:tbl>
    <w:p>
      <w:pPr>
        <w:pStyle w:val="Heading2"/>
        <w:spacing w:after="150" w:before="300"/>
      </w:pPr>
      <w:r>
        <w:t xml:space="preserve">7.3 Automated Test Suite (36/36 Passing)</w:t>
      </w:r>
    </w:p>
    <w:p>
      <w:pPr>
        <w:spacing w:after="120"/>
        <w:jc w:val="left"/>
      </w:pPr>
      <w:r>
        <w:rPr>
          <w:b w:val="false"/>
          <w:bCs w:val="false"/>
          <w:i w:val="false"/>
          <w:iCs w:val="false"/>
          <w:color w:val="1F2937"/>
          <w:sz w:val="22"/>
          <w:szCs w:val="22"/>
        </w:rPr>
        <w:t xml:space="preserve">The project includes an in-process test runner (`test-runner.mjs`) covering all 24 routes, direct database edits, duplicate Transact prevention, error handling, and mock fallbacks:</w:t>
      </w:r>
    </w:p>
    <w:tbl>
      <w:tblPr>
        <w:tblW w:type="pct" w:w="5000"/>
        <w:tblBorders>
          <w:top w:val="single" w:color="10B981" w:sz="4"/>
          <w:left w:val="single" w:color="10B981" w:sz="24"/>
          <w:bottom w:val="single" w:color="10B981" w:sz="4"/>
          <w:right w:val="single" w:color="10B981" w:sz="4"/>
          <w:insideH w:val="single" w:color="auto" w:sz="4"/>
          <w:insideV w:val="single" w:color="auto" w:sz="4"/>
        </w:tblBorders>
      </w:tblPr>
      <w:tblGrid>
        <w:gridCol w:w="9026"/>
      </w:tblGrid>
      <w:tr>
        <w:tc>
          <w:tcPr>
            <w:shd w:fill="ECFDF5" w:val="clear"/>
            <w:tcMar>
              <w:top w:type="dxa" w:w="140"/>
              <w:left w:type="dxa" w:w="180"/>
              <w:bottom w:type="dxa" w:w="140"/>
              <w:right w:type="dxa" w:w="180"/>
            </w:tcMar>
          </w:tcPr>
          <w:p>
            <w:pPr>
              <w:spacing w:after="60"/>
            </w:pPr>
            <w:r>
              <w:rPr>
                <w:b/>
                <w:bCs/>
                <w:color w:val="047857"/>
                <w:sz w:val="22"/>
                <w:szCs w:val="22"/>
              </w:rPr>
              <w:t xml:space="preserve">TEST SUITE VERIFICATION REPORT</w:t>
            </w:r>
          </w:p>
          <w:p>
            <w:pPr>
              <w:spacing w:after="0"/>
            </w:pPr>
            <w:r>
              <w:rPr>
                <w:color w:val="1F2937"/>
                <w:sz w:val="21"/>
                <w:szCs w:val="21"/>
              </w:rPr>
              <w:t xml:space="preserve">Total Test Suites: 36
Passing: 36 (100%)
Failed: 0
Database Preservation: Automated snapshot and restore verified (db.json integrity preserved across all runs)
Execution Time: ~3 seconds</w:t>
            </w:r>
          </w:p>
        </w:tc>
      </w:tr>
    </w:tbl>
    <w:p>
      <w:pPr>
        <w:pStyle w:val="Heading2"/>
        <w:spacing w:after="150" w:before="300"/>
      </w:pPr>
      <w:r>
        <w:t xml:space="preserve">7.4 Cloud Deployment (Vercel &amp; Docker)</w:t>
      </w:r>
    </w:p>
    <w:p>
      <w:pPr>
        <w:spacing w:after="120"/>
        <w:jc w:val="left"/>
      </w:pPr>
      <w:r>
        <w:rPr>
          <w:b w:val="false"/>
          <w:bCs w:val="false"/>
          <w:i w:val="false"/>
          <w:iCs w:val="false"/>
          <w:color w:val="1F2937"/>
          <w:sz w:val="22"/>
          <w:szCs w:val="22"/>
        </w:rPr>
        <w:t xml:space="preserve">The project includes a ready-to-deploy `vercel.json` configuration file:</w:t>
      </w:r>
    </w:p>
    <w:tbl>
      <w:tblPr>
        <w:tblW w:type="pct" w:w="5000"/>
        <w:tblBorders>
          <w:top w:val="single" w:color="CBD5E1" w:sz="6"/>
          <w:left w:val="single" w:color="0284C7" w:sz="18"/>
          <w:bottom w:val="single" w:color="CBD5E1" w:sz="6"/>
          <w:right w:val="single" w:color="CBD5E1" w:sz="6"/>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40"/>
            </w:pPr>
            <w:r>
              <w:rPr>
                <w:rFonts w:ascii="Consolas" w:cs="Consolas" w:eastAsia="Consolas" w:hAnsi="Consolas"/>
                <w:color w:val="0F172A"/>
                <w:sz w:val="19"/>
                <w:szCs w:val="19"/>
              </w:rPr>
              <w:t xml:space="preserve">{</w:t>
            </w:r>
          </w:p>
          <w:p>
            <w:pPr>
              <w:spacing w:after="40"/>
            </w:pPr>
            <w:r>
              <w:rPr>
                <w:rFonts w:ascii="Consolas" w:cs="Consolas" w:eastAsia="Consolas" w:hAnsi="Consolas"/>
                <w:color w:val="0F172A"/>
                <w:sz w:val="19"/>
                <w:szCs w:val="19"/>
              </w:rPr>
              <w:t xml:space="preserve">  "version": 2,</w:t>
            </w:r>
          </w:p>
          <w:p>
            <w:pPr>
              <w:spacing w:after="40"/>
            </w:pPr>
            <w:r>
              <w:rPr>
                <w:rFonts w:ascii="Consolas" w:cs="Consolas" w:eastAsia="Consolas" w:hAnsi="Consolas"/>
                <w:color w:val="0F172A"/>
                <w:sz w:val="19"/>
                <w:szCs w:val="19"/>
              </w:rPr>
              <w:t xml:space="preserve">  "builds": [{ "src": "server.mjs", "use": "@vercel/node" }],</w:t>
            </w:r>
          </w:p>
          <w:p>
            <w:pPr>
              <w:spacing w:after="40"/>
            </w:pPr>
            <w:r>
              <w:rPr>
                <w:rFonts w:ascii="Consolas" w:cs="Consolas" w:eastAsia="Consolas" w:hAnsi="Consolas"/>
                <w:color w:val="0F172A"/>
                <w:sz w:val="19"/>
                <w:szCs w:val="19"/>
              </w:rPr>
              <w:t xml:space="preserve">  "routes": [{ "src": "/(.*)", "dest": "server.mjs" }]</w:t>
            </w:r>
          </w:p>
          <w:p>
            <w:pPr>
              <w:spacing w:after="40"/>
            </w:pPr>
            <w:r>
              <w:rPr>
                <w:rFonts w:ascii="Consolas" w:cs="Consolas" w:eastAsia="Consolas" w:hAnsi="Consolas"/>
                <w:color w:val="0F172A"/>
                <w:sz w:val="19"/>
                <w:szCs w:val="19"/>
              </w:rPr>
              <w:t xml:space="preserve">}</w:t>
            </w:r>
          </w:p>
        </w:tc>
      </w:tr>
    </w:tbl>
    <w:p>
      <w:pPr>
        <w:spacing w:after="120"/>
        <w:jc w:val="left"/>
      </w:pPr>
      <w:r>
        <w:rPr>
          <w:b w:val="false"/>
          <w:bCs w:val="false"/>
          <w:i w:val="false"/>
          <w:iCs w:val="false"/>
          <w:color w:val="1F2937"/>
          <w:sz w:val="22"/>
          <w:szCs w:val="22"/>
        </w:rPr>
        <w:t xml:space="preserve">Deploy directly to Vercel via GitHub integration or CLI (`vercel --prod`). For Docker, use standard `node:20-alpine` base image.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MCD Infinity API — Technical Documentation &amp;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 Infinity API &amp; Temenos Transact Core Banking Integration Documentation</dc:title>
  <dc:creator>Antigravity AI</dc:creator>
  <dc:description>Complete technical architecture, sequence diagrams, data schemas, and API documentation</dc:description>
  <cp:lastModifiedBy>Un-named</cp:lastModifiedBy>
  <cp:revision>1</cp:revision>
  <dcterms:created xsi:type="dcterms:W3CDTF">2026-10-02T11:22:23.634Z</dcterms:created>
  <dcterms:modified xsi:type="dcterms:W3CDTF">2026-10-02T11:22:23.635Z</dcterms:modified>
</cp:coreProperties>
</file>

<file path=docProps/custom.xml><?xml version="1.0" encoding="utf-8"?>
<Properties xmlns="http://schemas.openxmlformats.org/officeDocument/2006/custom-properties" xmlns:vt="http://schemas.openxmlformats.org/officeDocument/2006/docPropsVTypes"/>
</file>