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spacing w:after="160"/>
        <w:jc w:val="center"/>
        <w:bidi w:val="1"/>
      </w:pPr>
      <w:r>
        <w:rPr>
          <w:rFonts w:ascii="B Nazanin" w:hAnsi="B Nazanin" w:eastAsia="B Nazanin" w:cs="B Nazanin"/>
          <w:b/>
          <w:sz w:val="36"/>
          <w:rtl w:val="1"/>
        </w:rPr>
        <w:t>فصل اول: کلیات پژوهش</w:t>
      </w:r>
    </w:p>
    <w:p>
      <w:pPr>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sz w:val="30"/>
          <w:rtl w:val="1"/>
        </w:rPr>
        <w:t>۱-۷. ساختار پایان‌نامه</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