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openxmlformats.org/officeDocument/2006/math" xmlns:w="http://schemas.openxmlformats.org/wordprocessingml/2006/main" ns1:Ignorable="w14 wp14">
  <w:body>
    <w:p>
      <w:pPr>
        <w:spacing w:after="160"/>
        <w:jc w:val="center"/>
        <w:bidi w:val="1"/>
      </w:pPr>
      <w:r>
        <w:drawing>
          <ns2:inline>
            <ns2:extent cx="1152000" cy="1070400"/>
            <ns2:docPr id="1" name="Picture 1"/>
            <ns2:cNvGraphicFramePr>
              <ns3:graphicFrameLocks noChangeAspect="1"/>
            </ns2:cNvGraphicFramePr>
            <ns3:graphic>
              <ns3:graphicData uri="http://schemas.openxmlformats.org/drawingml/2006/picture">
                <ns4:pic>
                  <ns4:nvPicPr>
                    <ns4:cNvPr id="0" name="Qom_University_logo.png"/>
                    <ns4:cNvPicPr/>
                  </ns4:nvPicPr>
                  <ns4:blipFill>
                    <ns3:blip ns5:embed="rId9"/>
                    <ns3:stretch>
                      <ns3:fillRect/>
                    </ns3:stretch>
                  </ns4:blipFill>
                  <ns4:spPr>
                    <ns3:xfrm>
                      <ns3:off x="0" y="0"/>
                      <ns3:ext cx="1152000" cy="1070400"/>
                    </ns3:xfrm>
                    <ns3:prstGeom prst="rect"/>
                  </ns4:spPr>
                </ns4:pic>
              </ns3:graphicData>
            </ns3:graphic>
          </ns2: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فنی و مهندسی، گروه مهندسی کامپیوتر</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شهریور ۱۴۰۵</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ممیزی هم‌پوشانی معنایی نیز انجام شد و پس از حذف ۱۳۱ پرسش آزمونِ دارای شباهت بالا با داده آموزش، مجموعه آزمون پالایش‌شده به ۱۴۷۰ پرسش رسید. ارقام کمیِ گزارش‌شده حاصل ارزیابی اولیه‌اند و اعتبار نهایی آن‌ها به ارزیابی مجدد همه مدل‌ها بر این مجموعه وابسته است.</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f>
                <ns6:num>
                  <ns6:r>
                    <ns6:rPr>
                      <w:rFonts w:ascii="Cambria Math" w:hAnsi="Cambria Math" w:eastAsia="Cambria Math" w:cs="Cambria Math"/>
                    </ns6:rPr>
                    <ns6:t>q · d</ns6:t>
                  </ns6:r>
                </ns6:num>
                <ns6:den>
                  <ns6:d>
                    <ns6:dPr>
                      <ns6:begChr ns6:val="‖"/>
                      <ns6:endChr ns6:val="‖"/>
                    </ns6:dPr>
                    <ns6:e>
                      <ns6:r>
                        <ns6:rPr>
                          <w:rFonts w:ascii="Cambria Math" w:hAnsi="Cambria Math" w:eastAsia="Cambria Math" w:cs="Cambria Math"/>
                        </ns6:rPr>
                        <ns6:t>q</ns6:t>
                      </ns6:r>
                    </ns6:e>
                  </ns6:d>
                  <ns6:r>
                    <ns6:rPr>
                      <w:rFonts w:ascii="Cambria Math" w:hAnsi="Cambria Math" w:eastAsia="Cambria Math" w:cs="Cambria Math"/>
                    </ns6:rPr>
                    <ns6:t> × </ns6:t>
                  </ns6:r>
                  <ns6:d>
                    <ns6:dPr>
                      <ns6:begChr ns6:val="‖"/>
                      <ns6:endChr ns6:val="‖"/>
                    </ns6:dPr>
                    <ns6:e>
                      <ns6:r>
                        <ns6:rPr>
                          <w:rFonts w:ascii="Cambria Math" w:hAnsi="Cambria Math" w:eastAsia="Cambria Math" w:cs="Cambria Math"/>
                        </ns6:rPr>
                        <ns6:t>d</ns6:t>
                      </ns6:r>
                    </ns6:e>
                  </ns6:d>
                </ns6:den>
              </ns6:f>
            </ns6: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r>
                <ns6:rPr>
                  <w:rFonts w:ascii="Cambria Math" w:hAnsi="Cambria Math" w:eastAsia="Cambria Math" w:cs="Cambria Math"/>
                </ns6:rPr>
                <ns6:t>q · d</ns6:t>
              </ns6:r>
            </ns6: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&gt; 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p>
                <ns6:e>
                  <ns6:r>
                    <ns6:rPr>
                      <w:rFonts w:ascii="Cambria Math" w:hAnsi="Cambria Math" w:eastAsia="Cambria Math" w:cs="Cambria Math"/>
                    </ns6:rPr>
                    <ns6:t>d</ns6:t>
                  </ns6:r>
                </ns6:e>
                <ns6:sup>
                  <ns6:r>
                    <ns6:rPr>
                      <w:rFonts w:ascii="Cambria Math" w:hAnsi="Cambria Math" w:eastAsia="Cambria Math" w:cs="Cambria Math"/>
                    </ns6:rPr>
                    <ns6:t>−</ns6:t>
                  </ns6:r>
                </ns6:sup>
              </ns6:sSup>
              <ns6:r>
                <ns6:rPr>
                  <w:rFonts w:ascii="Cambria Math" w:hAnsi="Cambria Math" w:eastAsia="Cambria Math" w:cs="Cambria Math"/>
                </ns6:rPr>
                <ns6:t>)</ns6:t>
              </ns6:r>
            </ns6: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Recall@k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r>
                <ns6:rPr>
                  <w:rFonts w:ascii="Cambria Math" w:hAnsi="Cambria Math" w:eastAsia="Cambria Math" w:cs="Cambria Math"/>
                </ns6:rPr>
                <ns6:t> I[rank(q) ≤ k]</ns6:t>
              </ns6:r>
            </ns6: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f>
                <ns6:num>
                  <ns6:r>
                    <ns6:rPr>
                      <w:rFonts w:ascii="Cambria Math" w:hAnsi="Cambria Math" w:eastAsia="Cambria Math" w:cs="Cambria Math"/>
                    </ns6:rPr>
                    <ns6:t>1</ns6:t>
                  </ns6:r>
                </ns6:num>
                <ns6:den>
                  <ns6:r>
                    <ns6:rPr>
                      <w:rFonts w:ascii="Cambria Math" w:hAnsi="Cambria Math" w:eastAsia="Cambria Math" w:cs="Cambria Math"/>
                    </ns6:rPr>
                    <ns6:t>rank(q)</ns6:t>
                  </ns6:r>
                </ns6:den>
              </ns6:f>
              <ns6:r>
                <ns6:rPr>
                  <w:rFonts w:ascii="Cambria Math" w:hAnsi="Cambria Math" w:eastAsia="Cambria Math" w:cs="Cambria Math"/>
                </ns6:rPr>
                <ns6:t> I[rank(q) ≤ 10]</ns6:t>
              </ns6:r>
            </ns6: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به‌صورت پرسش‌های نزدیک یا پاسخ‌های مشترک رخ می‌دهد. این تکرارها می‌توانند وزن برخی موضوع‌ها را در آموزش افزایش دهند، نشت میان آموزش و آزمون ایجاد کنند و ارزیابی رتبه‌بندی را مبهم سازند. جزئیات کنترل آن‌ها در بخش‌های ۳-۳-۷ و ۳-۴-۴ ارائه شده است.</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با وجود واقع‌گرایی پرسش‌ها و تنوع موضوعی، به پالایش نظام‌مند نیاز داشت. بنابراین، پالایش داده بخشی از روش پژوهش است و corpus کنترل‌شده حاصل از آن، مبنای ساخت داده آموزش و ارزیابی منصفانه را فراهم می‌کند.</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این پژوهش، پاسخ‌های تکراری در corpus آزمون یکتا شدند و نمونه‌های آزمون با داده آموزش مقایسه شدند تا پاسخ یکسان در هر دو بخش قرار نگیرد. این کنترل، هم از نشت مستقیم پاسخ جلوگیری می‌کند و هم ابهام ناشی از چند شناسه برای یک پاسخ را در محاسبه رتبه از میان می‌برد.</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pPr>
        <w:pStyle w:val="Heading3"/>
        <w:spacing w:after="160"/>
        <w:jc w:val="right"/>
        <w:bidi w:val="1"/>
      </w:pPr>
      <w:r>
        <w:rPr>
          <w:rtl w:val="1"/>
        </w:rPr>
        <w:t>۳-۴-۵. ممیزی هم‌پوشانی معنایی و حذف نشت داده</w:t>
      </w:r>
    </w:p>
    <w:p>
      <w:pPr>
        <w:spacing w:after="160"/>
        <w:jc w:val="right"/>
        <w:bidi w:val="1"/>
      </w:pPr>
      <w:r>
        <w:rPr>
          <w:rtl w:val="1"/>
        </w:rPr>
        <w:t>پس از تفکیک اولیه داده‌های آموزش و آزمون، برای کنترل نشت ناشی از پرسش‌های تکراری یا بازنویسی‌شده، ممیزی هم‌پوشانی معنایی انجام شد. برای این منظور، بردار dense همه پرسش‌های آموزش و آزمون با مدل پایه BGE-M3 ساخته و پس از نرمال‌سازی L2، شباهت کسینوسی میان هر پرسش آزمون و پرسش‌های آموزش محاسبه شد. از آن‌جا که بردارها نرمال‌سازی شده بودند، ضرب داخلی آن‌ها معادل شباهت کسینوسی بود.</w:t>
      </w:r>
    </w:p>
    <w:p>
      <w:pPr>
        <w:spacing w:after="160"/>
        <w:jc w:val="right"/>
        <w:bidi w:val="1"/>
      </w:pPr>
      <w:r>
        <w:rPr>
          <w:rtl w:val="1"/>
        </w:rPr>
        <w:t>آستانه ۰٫۹ برای شناسایی موارد مشکوک در نظر گرفته شد. این بررسی ۱۴۸ زوج پرسش آموزش–آزمون با شباهت حداقل ۰٫۹ را آشکار کرد که مربوط به ۱۳۱ پرسش آزمون، معادل ۸٫۱۸ درصد کل مجموعه آزمون، بود. همچنین ۳۱ پرسش پس از نرمال‌سازی نگارشی فارسی، تطابق متنی دقیق با یک پرسش آموزشی داشتند. برای جلوگیری از برآورد خوش‌بینانه عملکرد مدل، ۱۳۱ پرسش آزمونِ دارای هم‌پوشانی حذف شدند. مجموعه آزمون نهایی در فایل porseman_test.csv شامل ۱۴۷۰ پرسش است؛ کد و گزارش ممیزی نیز برای بازتولیدپذیری نگهداری شده‌اند.</w:t>
      </w:r>
    </w:p>
    <w:p>
      <w:pPr>
        <w:pStyle w:val="Heading3"/>
        <w:spacing w:after="160"/>
        <w:jc w:val="right"/>
        <w:bidi w:val="1"/>
      </w:pPr>
      <w:r>
        <w:rPr>
          <w:rtl w:val="1"/>
        </w:rPr>
        <w:t>۳-۴-۶.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tl w:val="1"/>
        </w:rPr>
        <w:t>۳-۴-۷.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tl w:val="1"/>
        </w:rPr>
        <w:t>۳-۴-۸.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tl w:val="1"/>
        </w:rPr>
        <w:t>۳-۴-۹.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sSub>
                <ns6:e>
                  <ns6:r>
                    <ns6:rPr>
                      <w:rFonts w:ascii="Cambria Math" w:hAnsi="Cambria Math" w:eastAsia="Cambria Math" w:cs="Cambria Math"/>
                    </ns6:rPr>
                    <ns6:t>L</ns6:t>
                  </ns6:r>
                </ns6:e>
                <ns6:sub>
                  <ns6:r>
                    <ns6:rPr>
                      <w:rFonts w:ascii="Cambria Math" w:hAnsi="Cambria Math" w:eastAsia="Cambria Math" w:cs="Cambria Math"/>
                    </ns6:rPr>
                    <ns6:t>i</ns6:t>
                  </ns6:r>
                </ns6:sub>
              </ns6:sSub>
              <ns6:r>
                <ns6:rPr>
                  <w:rFonts w:ascii="Cambria Math" w:hAnsi="Cambria Math" w:eastAsia="Cambria Math" w:cs="Cambria Math"/>
                </ns6:rPr>
                <ns6:t> = −log </ns6:t>
              </ns6:r>
              <ns6:f>
                <ns6:num>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num>
                <ns6:den>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r>
                    <ns6:rPr>
                      <w:rFonts w:ascii="Cambria Math" w:hAnsi="Cambria Math" w:eastAsia="Cambria Math" w:cs="Cambria Math"/>
                    </ns6:rPr>
                    <ns6:t> + </ns6:t>
                  </ns6:r>
                  <ns6:nary>
                    <ns6:naryPr>
                      <ns6:chr ns6:val="∑"/>
                    </ns6:naryPr>
                    <ns6:sub>
                      <ns6:r>
                        <ns6:rPr>
                          <w:rFonts w:ascii="Cambria Math" w:hAnsi="Cambria Math" w:eastAsia="Cambria Math" w:cs="Cambria Math"/>
                        </ns6:rPr>
                        <ns6:t>j = 1</ns6:t>
                      </ns6:r>
                    </ns6:sub>
                    <ns6:sup>
                      <ns6:r>
                        <ns6:rPr>
                          <w:rFonts w:ascii="Cambria Math" w:hAnsi="Cambria Math" w:eastAsia="Cambria Math" w:cs="Cambria Math"/>
                        </ns6:rPr>
                        <ns6:t>7</ns6:t>
                      </ns6:r>
                    </ns6:sup>
                    <ns6:e>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ij</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e>
                  </ns6:nary>
                </ns6:den>
              </ns6:f>
            </ns6: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sim(q, d) = </ns6:t>
              </ns6:r>
              <ns6:f>
                <ns6:num>
                  <ns6:r>
                    <ns6:rPr>
                      <w:rFonts w:ascii="Cambria Math" w:hAnsi="Cambria Math" w:eastAsia="Cambria Math" w:cs="Cambria Math"/>
                    </ns6:rPr>
                    <ns6:t>q · d</ns6:t>
                  </ns6:r>
                </ns6:num>
                <ns6:den>
                  <ns6:d>
                    <ns6:dPr>
                      <ns6:begChr ns6:val="‖"/>
                      <ns6:endChr ns6:val="‖"/>
                    </ns6:dPr>
                    <ns6:e>
                      <ns6:r>
                        <ns6:rPr>
                          <w:rFonts w:ascii="Cambria Math" w:hAnsi="Cambria Math" w:eastAsia="Cambria Math" w:cs="Cambria Math"/>
                        </ns6:rPr>
                        <ns6:t>q</ns6:t>
                      </ns6:r>
                    </ns6:e>
                  </ns6:d>
                  <ns6:r>
                    <ns6:rPr>
                      <w:rFonts w:ascii="Cambria Math" w:hAnsi="Cambria Math" w:eastAsia="Cambria Math" w:cs="Cambria Math"/>
                    </ns6:rPr>
                    <ns6:t>
                    </ns6:t>
                  </ns6:r>
                  <ns6:d>
                    <ns6:dPr>
                      <ns6:begChr ns6:val="‖"/>
                      <ns6:endChr ns6:val="‖"/>
                    </ns6:dPr>
                    <ns6:e>
                      <ns6:r>
                        <ns6:rPr>
                          <w:rFonts w:ascii="Cambria Math" w:hAnsi="Cambria Math" w:eastAsia="Cambria Math" w:cs="Cambria Math"/>
                        </ns6:rPr>
                        <ns6:t>d</ns6:t>
                      </ns6:r>
                    </ns6:e>
                  </ns6:d>
                </ns6:den>
              </ns6:f>
            </ns6: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ns6:t>
                  </ns6:r>
                </ns6:e>
                <ns6:sub>
                  <ns6:r>
                    <ns6:rPr>
                      <w:rFonts w:ascii="Cambria Math" w:hAnsi="Cambria Math" w:eastAsia="Cambria Math" w:cs="Cambria Math"/>
                    </ns6:rPr>
                    <ns6:t>q ∈ Q</ns6:t>
                  </ns6:r>
                </ns6:sub>
              </ns6:sSub>
              <ns6:f>
                <ns6:num>
                  <ns6:r>
                    <ns6:rPr>
                      <w:rFonts w:ascii="Cambria Math" w:hAnsi="Cambria Math" w:eastAsia="Cambria Math" w:cs="Cambria Math"/>
                    </ns6:rPr>
                    <ns6:t>I[rank(q) ≤ 10]</ns6:t>
                  </ns6:r>
                </ns6:num>
                <ns6:den>
                  <ns6:r>
                    <ns6:rPr>
                      <w:rFonts w:ascii="Cambria Math" w:hAnsi="Cambria Math" w:eastAsia="Cambria Math" w:cs="Cambria Math"/>
                    </ns6:rPr>
                    <ns6:t>rank(q)</ns6:t>
                  </ns6:r>
                </ns6:den>
              </ns6:f>
            </ns6: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tl w:val="1"/>
        </w:rPr>
        <w:t>مطابق ممیزی گزارش‌شده در بخش ۳-۴-۵، پرسش‌های آزمونِ دارای هم‌پوشانی معنایی بالا با داده آموزش حذف شدند و مجموعه آزمون پالایش‌شده به ۱۴۷۰ پرسش رسید. از آنجا که ارقام این فصل از ارزیابی اولیه به‌دست آمده‌اند، مقایسه نهایی مدل‌ها باید بر همین مجموعه پالایش‌شده تکرار شود.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tl w:val="1"/>
        </w:rPr>
        <w:t>در نتیجه، شواهد این فصل از سودمندی ریزتنظیم دامنه‌ای پشتیبانی می‌کنند، اما میزان دقیق این بهبود تا زمان ارزیابی مجدد همه مدل‌ها بر مجموعه آزمون پالایش‌شده، موقتی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محدودیت‌های ارزیابی شامل استقلال ناکافی تفکیک اولیه، تک‌پاسخ‌بودن مرجع، نبود آزمون معناداری آماری و تفاوت میان ارزیابی dense retrieval و عملکرد یک سامانه کامل RAG است. بنابراین، ارقام فعلی باید تا ارزیابی مجدد بر مجموعه پالایش‌شده با احتیاط تفسیر شوند.</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pPr>
        <w:spacing w:after="160"/>
        <w:jc w:val="right"/>
        <w:bidi w:val="1"/>
      </w:pPr>
      <w:r>
        <w:rPr>
          <w:rFonts w:ascii="B Nazanin" w:hAnsi="B Nazanin" w:eastAsia="B Nazanin" w:cs="B Nazanin"/>
          <w:b w:val="0"/>
          <w:sz w:val="28"/>
          <w:szCs w:val="28"/>
          <w:rtl w:val="1"/>
        </w:rPr>
        <w:t xml:space="preserve">با وجود این محدودیت‌ها، نتایج اولیه از این فرض پشتیبانی می‌کنند که پالایش داده فارسی، ساخت داده contrastive و ریزتنظیم BGE-M3 با نمونه‌های منفی سخت می‌تواند بازیابی پاسخ‌های فارسی پرسمان را بهبود دهد. نتیجه نهایی پس از ارزیابی مجدد بر مجموعه آزمون پالایش‌شده مشخص خواهد شد.</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ممیزی هم‌پوشانی معنایی، ضعف تفکیک تصادفی اولیه را آشکار کرد. ازاین‌رو، تا ارزیابی مجدد همه مدل‌ها بر مجموعه آزمون پالایش‌شده، ادعای برتری مدل ریزتنظیم‌شده باید اولیه تلقی شود.</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jinaai/jina-embeddings-v3 و Snowflake/snowflake-arctic-embed-l-v2.0 نیز روی مجموعه آزمون یکسان اجرا شدند. نتایج اولیه نشان داد مدل ریزتنظیم‌شده در معیارهای اصلی از هر دو مدل عمومی مقایسه‌ای بهتر عمل کرده است. مقایسه نهایی باید با اجرای هر سه مدل بر مجموعه آزمون پالایش‌شده تکرار شود.</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HTML و فایل تحلیل کیفی تولید شدند. این خروجی‌ها امکان بررسی خطا و تکرار ارزیابی همه مدل‌ها را با همان خط لوله بر مجموعه آزمون پالایش‌شده فراهم می‌کنند.</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tl w:val="1"/>
        </w:rPr>
        <w:t>۵-۳-۱. تفکیک گروهی مبتنی بر خوشه‌های معنایی پیش از آموزش و آزمون</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سه مسیر را پوشش می‌دهند: افزایش اعتبار ارزیابی، بهبود داده و مدل بازیابی، و توسعه کاربرد عملی در RAG. جزئیات نخستین مسیر، یعنی تفکیک گروهی مبتنی بر خوشه‌های معنایی، در بخش ۵-۳-۱ آمده است.</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ممیزی انجام‌شده نیز نشان داد که استقلال داده آزمون، شرط اساسی اعتبار ارزیابی و مقایسه مدل‌ها است.</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گام بعد، ارزیابی مجدد مدل‌ها بر مجموعه آزمون پالایش‌شده است.</w:t>
      </w:r>
      <w:r>
        <w:rPr>
          <w:rFonts w:ascii="Times New Roman" w:hAnsi="Times New Roman" w:eastAsia="Times New Roman" w:cs="Times New Roman"/>
          <w:b w:val="0"/>
          <w:sz w:val="24"/>
          <w:szCs w:val="24"/>
          <w:rtl w:val="0"/>
        </w:rPr>
        <w:t>
        </w:t>
      </w:r>
      <w:r>
        <w:rPr>
          <w:rFonts w:ascii="B Nazanin" w:hAnsi="B Nazanin" w:eastAsia="B Nazanin" w:cs="B Nazanin"/>
          <w:b w:val="0"/>
          <w:sz w:val="28"/>
          <w:szCs w:val="28"/>
          <w:rtl w:val="1"/>
        </w:rPr>
        <w:t xml:space="preserve">
        </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سامانه پاسخگویی پرسمان.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