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openxmlformats.org/officeDocument/2006/math" xmlns:w="http://schemas.openxmlformats.org/wordprocessingml/2006/main" ns1:Ignorable="w14 wp14">
  <w:body>
    <w:p>
      <w:pPr>
        <w:spacing w:after="160"/>
        <w:jc w:val="center"/>
        <w:bidi w:val="1"/>
      </w:pPr>
      <w:r>
        <w:drawing>
          <ns2:inline>
            <ns2:extent cx="1152000" cy="1070400"/>
            <ns2:docPr id="1" name="Picture 1"/>
            <ns2:cNvGraphicFramePr>
              <ns3:graphicFrameLocks noChangeAspect="1"/>
            </ns2:cNvGraphicFramePr>
            <ns3:graphic>
              <ns3:graphicData uri="http://schemas.openxmlformats.org/drawingml/2006/picture">
                <ns4:pic>
                  <ns4:nvPicPr>
                    <ns4:cNvPr id="0" name="Qom_University_logo.png"/>
                    <ns4:cNvPicPr/>
                  </ns4:nvPicPr>
                  <ns4:blipFill>
                    <ns3:blip ns5:embed="rId9"/>
                    <ns3:stretch>
                      <ns3:fillRect/>
                    </ns3:stretch>
                  </ns4:blipFill>
                  <ns4:spPr>
                    <ns3:xfrm>
                      <ns3:off x="0" y="0"/>
                      <ns3:ext cx="1152000" cy="1070400"/>
                    </ns3:xfrm>
                    <ns3:prstGeom prst="rect"/>
                  </ns4:spPr>
                </ns4:pic>
              </ns3:graphicData>
            </ns3:graphic>
          </ns2: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فنی و مهندسی، گروه مهندسی کامپیوتر</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شهریور ۱۴۰۵</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fldSimple w:instr="TOC \o &quot;1-2&quot; \h \z \u"/>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cos(q, d) = </ns6:t>
              </ns6:r>
              <ns6:f>
                <ns6:num>
                  <ns6:r>
                    <ns6:rPr>
                      <w:rFonts w:ascii="Cambria Math" w:hAnsi="Cambria Math" w:eastAsia="Cambria Math" w:cs="Cambria Math"/>
                    </ns6:rPr>
                    <ns6:t>q · d</ns6:t>
                  </ns6:r>
                </ns6:num>
                <ns6:den>
                  <ns6:d>
                    <ns6:dPr>
                      <ns6:begChr ns6:val="‖"/>
                      <ns6:endChr ns6:val="‖"/>
                    </ns6:dPr>
                    <ns6:e>
                      <ns6:r>
                        <ns6:rPr>
                          <w:rFonts w:ascii="Cambria Math" w:hAnsi="Cambria Math" w:eastAsia="Cambria Math" w:cs="Cambria Math"/>
                        </ns6:rPr>
                        <ns6:t>q</ns6:t>
                      </ns6:r>
                    </ns6:e>
                  </ns6:d>
                  <ns6:r>
                    <ns6:rPr>
                      <w:rFonts w:ascii="Cambria Math" w:hAnsi="Cambria Math" w:eastAsia="Cambria Math" w:cs="Cambria Math"/>
                    </ns6:rPr>
                    <ns6:t> × </ns6:t>
                  </ns6:r>
                  <ns6:d>
                    <ns6:dPr>
                      <ns6:begChr ns6:val="‖"/>
                      <ns6:endChr ns6:val="‖"/>
                    </ns6:dPr>
                    <ns6:e>
                      <ns6:r>
                        <ns6:rPr>
                          <w:rFonts w:ascii="Cambria Math" w:hAnsi="Cambria Math" w:eastAsia="Cambria Math" w:cs="Cambria Math"/>
                        </ns6:rPr>
                        <ns6:t>d</ns6:t>
                      </ns6:r>
                    </ns6:e>
                  </ns6:d>
                </ns6:den>
              </ns6:f>
            </ns6: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cos(q, d) = </ns6:t>
              </ns6:r>
              <ns6:r>
                <ns6:rPr>
                  <w:rFonts w:ascii="Cambria Math" w:hAnsi="Cambria Math" w:eastAsia="Cambria Math" w:cs="Cambria Math"/>
                </ns6:rPr>
                <ns6:t>q · d</ns6:t>
              </ns6:r>
            </ns6: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&gt; 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p>
                <ns6:e>
                  <ns6:r>
                    <ns6:rPr>
                      <w:rFonts w:ascii="Cambria Math" w:hAnsi="Cambria Math" w:eastAsia="Cambria Math" w:cs="Cambria Math"/>
                    </ns6:rPr>
                    <ns6:t>d</ns6:t>
                  </ns6:r>
                </ns6:e>
                <ns6:sup>
                  <ns6:r>
                    <ns6:rPr>
                      <w:rFonts w:ascii="Cambria Math" w:hAnsi="Cambria Math" w:eastAsia="Cambria Math" w:cs="Cambria Math"/>
                    </ns6:rPr>
                    <ns6:t>−</ns6:t>
                  </ns6:r>
                </ns6:sup>
              </ns6:sSup>
              <ns6:r>
                <ns6:rPr>
                  <w:rFonts w:ascii="Cambria Math" w:hAnsi="Cambria Math" w:eastAsia="Cambria Math" w:cs="Cambria Math"/>
                </ns6:rPr>
                <ns6:t>)</ns6:t>
              </ns6:r>
            </ns6: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Recall@k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Σ</ns6:t>
                  </ns6:r>
                </ns6:e>
                <ns6:sub>
                  <ns6:r>
                    <ns6:rPr>
                      <w:rFonts w:ascii="Cambria Math" w:hAnsi="Cambria Math" w:eastAsia="Cambria Math" w:cs="Cambria Math"/>
                    </ns6:rPr>
                    <ns6:t>q ∈ Q</ns6:t>
                  </ns6:r>
                </ns6:sub>
              </ns6:sSub>
              <ns6:r>
                <ns6:rPr>
                  <w:rFonts w:ascii="Cambria Math" w:hAnsi="Cambria Math" w:eastAsia="Cambria Math" w:cs="Cambria Math"/>
                </ns6:rPr>
                <ns6:t> I[rank(q) ≤ k]</ns6:t>
              </ns6:r>
            </ns6: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MRR@10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Σ</ns6:t>
                  </ns6:r>
                </ns6:e>
                <ns6:sub>
                  <ns6:r>
                    <ns6:rPr>
                      <w:rFonts w:ascii="Cambria Math" w:hAnsi="Cambria Math" w:eastAsia="Cambria Math" w:cs="Cambria Math"/>
                    </ns6:rPr>
                    <ns6:t>q ∈ Q</ns6:t>
                  </ns6:r>
                </ns6:sub>
              </ns6:sSub>
              <ns6:f>
                <ns6:num>
                  <ns6:r>
                    <ns6:rPr>
                      <w:rFonts w:ascii="Cambria Math" w:hAnsi="Cambria Math" w:eastAsia="Cambria Math" w:cs="Cambria Math"/>
                    </ns6:rPr>
                    <ns6:t>1</ns6:t>
                  </ns6:r>
                </ns6:num>
                <ns6:den>
                  <ns6:r>
                    <ns6:rPr>
                      <w:rFonts w:ascii="Cambria Math" w:hAnsi="Cambria Math" w:eastAsia="Cambria Math" w:cs="Cambria Math"/>
                    </ns6:rPr>
                    <ns6:t>rank(q)</ns6:t>
                  </ns6:r>
                </ns6:den>
              </ns6:f>
              <ns6:r>
                <ns6:rPr>
                  <w:rFonts w:ascii="Cambria Math" w:hAnsi="Cambria Math" w:eastAsia="Cambria Math" w:cs="Cambria Math"/>
                </ns6:rPr>
                <ns6:t> I[rank(q) ≤ 10]</ns6:t>
              </ns6:r>
            </ns6: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tl w:val="1"/>
        </w:rPr>
        <w:t>۳-۴-۵. ممیزی هم‌پوشانی معنایی و حذف نشت داده</w:t>
      </w:r>
    </w:p>
    <w:p>
      <w:pPr>
        <w:spacing w:after="160"/>
        <w:jc w:val="right"/>
        <w:bidi w:val="1"/>
      </w:pPr>
      <w:r>
        <w:rPr>
          <w:rtl w:val="1"/>
        </w:rPr>
        <w:t>پس از تفکیک اولیه داده‌های آموزش و آزمون، برای کنترل نشت ناشی از پرسش‌های تکراری یا بازنویسی‌شده، ممیزی هم‌پوشانی معنایی انجام شد. برای این منظور، بردار dense همه پرسش‌های آموزش و آزمون با مدل پایه BGE-M3 ساخته و پس از نرمال‌سازی L2، شباهت کسینوسی میان هر پرسش آزمون و پرسش‌های آموزش محاسبه شد. از آن‌جا که بردارها نرمال‌سازی شده بودند، ضرب داخلی آن‌ها معادل شباهت کسینوسی بود.</w:t>
      </w:r>
    </w:p>
    <w:p>
      <w:pPr>
        <w:spacing w:after="160"/>
        <w:jc w:val="right"/>
        <w:bidi w:val="1"/>
      </w:pPr>
      <w:r>
        <w:rPr>
          <w:rtl w:val="1"/>
        </w:rPr>
        <w:t>آستانه ۰٫۹ برای شناسایی موارد مشکوک در نظر گرفته شد. این بررسی ۱۴۸ زوج پرسش آموزش–آزمون با شباهت حداقل ۰٫۹ را آشکار کرد که مربوط به ۱۳۱ پرسش آزمون، معادل ۸٫۱۸ درصد کل مجموعه آزمون، بود. همچنین ۳۱ پرسش پس از نرمال‌سازی نگارشی فارسی، تطابق متنی دقیق با یک پرسش آموزشی داشتند. برای جلوگیری از برآورد خوش‌بینانه عملکرد مدل، ۱۳۱ پرسش آزمونِ دارای هم‌پوشانی حذف شدند. مجموعه آزمون نهایی در فایل porseman_test.csv شامل ۱٬۴۷۰ پرسش است؛ کد و گزارش ممیزی نیز برای بازتولیدپذیری نگهداری شده‌اند.</w:t>
      </w:r>
    </w:p>
    <w:p>
      <w:pPr>
        <w:pStyle w:val="Heading3"/>
        <w:spacing w:after="160"/>
        <w:jc w:val="right"/>
        <w:bidi w:val="1"/>
      </w:pPr>
      <w:r>
        <w:rPr>
          <w:rtl w:val="1"/>
        </w:rPr>
        <w:t>۳-۴-۶.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tl w:val="1"/>
        </w:rPr>
        <w:t>۳-۴-۷.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tl w:val="1"/>
        </w:rPr>
        <w:t>۳-۴-۸.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tl w:val="1"/>
        </w:rPr>
        <w:t>۳-۴-۹.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sSub>
                <ns6:e>
                  <ns6:r>
                    <ns6:rPr>
                      <w:rFonts w:ascii="Cambria Math" w:hAnsi="Cambria Math" w:eastAsia="Cambria Math" w:cs="Cambria Math"/>
                    </ns6:rPr>
                    <ns6:t>L</ns6:t>
                  </ns6:r>
                </ns6:e>
                <ns6:sub>
                  <ns6:r>
                    <ns6:rPr>
                      <w:rFonts w:ascii="Cambria Math" w:hAnsi="Cambria Math" w:eastAsia="Cambria Math" w:cs="Cambria Math"/>
                    </ns6:rPr>
                    <ns6:t>i</ns6:t>
                  </ns6:r>
                </ns6:sub>
              </ns6:sSub>
              <ns6:r>
                <ns6:rPr>
                  <w:rFonts w:ascii="Cambria Math" w:hAnsi="Cambria Math" w:eastAsia="Cambria Math" w:cs="Cambria Math"/>
                </ns6:rPr>
                <ns6:t> = −log </ns6:t>
              </ns6:r>
              <ns6:f>
                <ns6:num>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num>
                <ns6:den>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r>
                    <ns6:rPr>
                      <w:rFonts w:ascii="Cambria Math" w:hAnsi="Cambria Math" w:eastAsia="Cambria Math" w:cs="Cambria Math"/>
                    </ns6:rPr>
                    <ns6:t> + </ns6:t>
                  </ns6:r>
                  <ns6:nary>
                    <ns6:naryPr>
                      <ns6:chr ns6:val="∑"/>
                    </ns6:naryPr>
                    <ns6:sub>
                      <ns6:r>
                        <ns6:rPr>
                          <w:rFonts w:ascii="Cambria Math" w:hAnsi="Cambria Math" w:eastAsia="Cambria Math" w:cs="Cambria Math"/>
                        </ns6:rPr>
                        <ns6:t>j = 1</ns6:t>
                      </ns6:r>
                    </ns6:sub>
                    <ns6:sup>
                      <ns6:r>
                        <ns6:rPr>
                          <w:rFonts w:ascii="Cambria Math" w:hAnsi="Cambria Math" w:eastAsia="Cambria Math" w:cs="Cambria Math"/>
                        </ns6:rPr>
                        <ns6:t>7</ns6:t>
                      </ns6:r>
                    </ns6:sup>
                    <ns6:e>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ij</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e>
                  </ns6:nary>
                </ns6:den>
              </ns6:f>
            </ns6: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sim(q, d) = </ns6:t>
              </ns6:r>
              <ns6:f>
                <ns6:num>
                  <ns6:r>
                    <ns6:rPr>
                      <w:rFonts w:ascii="Cambria Math" w:hAnsi="Cambria Math" w:eastAsia="Cambria Math" w:cs="Cambria Math"/>
                    </ns6:rPr>
                    <ns6:t>q · d</ns6:t>
                  </ns6:r>
                </ns6:num>
                <ns6:den>
                  <ns6:d>
                    <ns6:dPr>
                      <ns6:begChr ns6:val="‖"/>
                      <ns6:endChr ns6:val="‖"/>
                    </ns6:dPr>
                    <ns6:e>
                      <ns6:r>
                        <ns6:rPr>
                          <w:rFonts w:ascii="Cambria Math" w:hAnsi="Cambria Math" w:eastAsia="Cambria Math" w:cs="Cambria Math"/>
                        </ns6:rPr>
                        <ns6:t>q</ns6:t>
                      </ns6:r>
                    </ns6:e>
                  </ns6:d>
                  <ns6:r>
                    <ns6:rPr>
                      <w:rFonts w:ascii="Cambria Math" w:hAnsi="Cambria Math" w:eastAsia="Cambria Math" w:cs="Cambria Math"/>
                    </ns6:rPr>
                    <ns6:t> </ns6:t>
                  </ns6:r>
                  <ns6:d>
                    <ns6:dPr>
                      <ns6:begChr ns6:val="‖"/>
                      <ns6:endChr ns6:val="‖"/>
                    </ns6:dPr>
                    <ns6:e>
                      <ns6:r>
                        <ns6:rPr>
                          <w:rFonts w:ascii="Cambria Math" w:hAnsi="Cambria Math" w:eastAsia="Cambria Math" w:cs="Cambria Math"/>
                        </ns6:rPr>
                        <ns6:t>d</ns6:t>
                      </ns6:r>
                    </ns6:e>
                  </ns6:d>
                </ns6:den>
              </ns6:f>
            </ns6: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MRR@10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ns6:t>
                  </ns6:r>
                </ns6:e>
                <ns6:sub>
                  <ns6:r>
                    <ns6:rPr>
                      <w:rFonts w:ascii="Cambria Math" w:hAnsi="Cambria Math" w:eastAsia="Cambria Math" w:cs="Cambria Math"/>
                    </ns6:rPr>
                    <ns6:t>q ∈ Q</ns6:t>
                  </ns6:r>
                </ns6:sub>
              </ns6:sSub>
              <ns6:f>
                <ns6:num>
                  <ns6:r>
                    <ns6:rPr>
                      <w:rFonts w:ascii="Cambria Math" w:hAnsi="Cambria Math" w:eastAsia="Cambria Math" w:cs="Cambria Math"/>
                    </ns6:rPr>
                    <ns6:t>I[rank(q) ≤ 10]</ns6:t>
                  </ns6:r>
                </ns6:num>
                <ns6:den>
                  <ns6:r>
                    <ns6:rPr>
                      <w:rFonts w:ascii="Cambria Math" w:hAnsi="Cambria Math" w:eastAsia="Cambria Math" w:cs="Cambria Math"/>
                    </ns6:rPr>
                    <ns6:t>rank(q)</ns6:t>
                  </ns6:r>
                </ns6:den>
              </ns6:f>
            </ns6: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tl w:val="1"/>
        </w:rPr>
        <w:t>ممیزی پس از تفکیک اولیه نشان داد که بخشی از پرسش‌های آزمون، تکرار دقیق یا بازنویسی معنایی پرسش‌های آموزش هستند. این هم‌پوشانی می‌تواند معیارهای بازیابی را به‌طور خوش‌بینانه افزایش دهد؛ زیرا مدل در آموزش با پرسشی هم‌معنا یا تقریباً یکسان روبه‌رو شده است. به همین دلیل، همه موارد دارای شباهت کسینوسی حداقل ۰٫۹ از آزمون حذف و مجموعه آزمون نهایی به ۱٬۴۷۰ پرسش محدود شد. نتایج کمی نهایی باید با همین مجموعه آزمون پالایش‌شده گزارش شوند.</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tl w:val="1"/>
        </w:rPr>
        <w:t>نتایج فعلی شواهد مناسبی از اثر ریزتنظیم دامنه‌ای بر بازیابی پاسخ‌های فارسی پرسمان فراهم می‌کنند؛ بااین‌حال، ممیزی هم‌پوشانی معنایی نشان داد که تفکیک تصادفی اولیه دارای نمونه‌های آلوده بوده است. پس از حذف ۱۳۱ پرسش آزمونِ دارای شباهت کسینوسی حداقل ۰٫۹ با داده آموزش، مجموعه آزمون نهایی شامل ۱٬۴۷۰ پرسش شد. بنابراین، اعداد نهایی معیارهای Recall@1، Recall@5 و MRR@10 باید بر مبنای همین مجموعه آزمون پالایش‌شده تفسیر و گزارش شوند.</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tl w:val="1"/>
        </w:rPr>
        <w:t>۵-۳-۱. تفکیک گروهی مبتنی بر خوشه‌های معنایی پیش از آموزش و آزمون</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p>
      <w:r>
        <w:br w:type="page"/>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سامانه پاسخگویی پرسمان. </w:t>
      </w:r>
      <w:r>
        <w:rPr>
          <w:rFonts w:ascii="Times New Roman" w:hAnsi="Times New Roman" w:eastAsia="Times New Roman" w:cs="Times New Roman"/>
          <w:b w:val="0"/>
          <w:sz w:val="24"/>
          <w:szCs w:val="24"/>
          <w:rtl w:val="0"/>
        </w:rPr>
        <w:t>‎https://www.porseman.com/‎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