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10AD12" w14:textId="77777777" w:rsidR="002C36C5" w:rsidRDefault="002C36C5">
      <w:pPr>
        <w:spacing w:line="480" w:lineRule="auto"/>
        <w:jc w:val="center"/>
        <w:rPr>
          <w:rFonts w:ascii="Times New Roman" w:hAnsi="Times New Roman" w:cs="Times New Roman"/>
          <w:b/>
          <w:bCs/>
          <w:sz w:val="24"/>
          <w:szCs w:val="24"/>
        </w:rPr>
      </w:pPr>
    </w:p>
    <w:p w14:paraId="7D10AD13" w14:textId="77777777" w:rsidR="002C36C5" w:rsidRDefault="002C36C5">
      <w:pPr>
        <w:spacing w:line="480" w:lineRule="auto"/>
        <w:jc w:val="center"/>
        <w:rPr>
          <w:rFonts w:ascii="Times New Roman" w:hAnsi="Times New Roman" w:cs="Times New Roman"/>
          <w:b/>
          <w:bCs/>
          <w:sz w:val="24"/>
          <w:szCs w:val="24"/>
        </w:rPr>
      </w:pPr>
    </w:p>
    <w:p w14:paraId="7D10AD14" w14:textId="77777777" w:rsidR="002C36C5"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(Slide 1)</w:t>
      </w:r>
    </w:p>
    <w:p w14:paraId="7D10AD15" w14:textId="77777777" w:rsidR="002C36C5"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Research Proposal</w:t>
      </w:r>
    </w:p>
    <w:p w14:paraId="7D10AD16" w14:textId="77777777" w:rsidR="002C36C5" w:rsidRDefault="002C36C5">
      <w:pPr>
        <w:spacing w:line="480" w:lineRule="auto"/>
        <w:jc w:val="center"/>
        <w:rPr>
          <w:rFonts w:ascii="Times New Roman" w:hAnsi="Times New Roman" w:cs="Times New Roman"/>
          <w:b/>
          <w:bCs/>
          <w:sz w:val="24"/>
          <w:szCs w:val="24"/>
        </w:rPr>
      </w:pPr>
    </w:p>
    <w:p w14:paraId="7D10AD17" w14:textId="77777777" w:rsidR="002C36C5"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How information systems are transforming healthcare in the United Arab Emirates with an emphasis on the integration of health information exchanges</w:t>
      </w:r>
    </w:p>
    <w:p w14:paraId="7D10AD18" w14:textId="77777777" w:rsidR="002C36C5" w:rsidRDefault="002C36C5">
      <w:pPr>
        <w:spacing w:line="480" w:lineRule="auto"/>
        <w:jc w:val="center"/>
        <w:rPr>
          <w:rFonts w:ascii="Times New Roman" w:hAnsi="Times New Roman" w:cs="Times New Roman"/>
          <w:b/>
          <w:bCs/>
          <w:sz w:val="24"/>
          <w:szCs w:val="24"/>
        </w:rPr>
      </w:pPr>
    </w:p>
    <w:p w14:paraId="7D10AD19" w14:textId="77777777" w:rsidR="002C36C5" w:rsidRDefault="00000000">
      <w:pPr>
        <w:spacing w:line="48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Integration focus: </w:t>
      </w:r>
      <w:proofErr w:type="spellStart"/>
      <w:r>
        <w:rPr>
          <w:rFonts w:ascii="Times New Roman" w:hAnsi="Times New Roman" w:cs="Times New Roman"/>
          <w:b/>
          <w:bCs/>
          <w:sz w:val="24"/>
          <w:szCs w:val="24"/>
        </w:rPr>
        <w:t>Riayati</w:t>
      </w:r>
      <w:proofErr w:type="spellEnd"/>
      <w:r>
        <w:rPr>
          <w:rFonts w:ascii="Times New Roman" w:hAnsi="Times New Roman" w:cs="Times New Roman"/>
          <w:b/>
          <w:bCs/>
          <w:sz w:val="24"/>
          <w:szCs w:val="24"/>
        </w:rPr>
        <w:t xml:space="preserve"> • </w:t>
      </w:r>
      <w:proofErr w:type="spellStart"/>
      <w:r>
        <w:rPr>
          <w:rFonts w:ascii="Times New Roman" w:hAnsi="Times New Roman" w:cs="Times New Roman"/>
          <w:b/>
          <w:bCs/>
          <w:sz w:val="24"/>
          <w:szCs w:val="24"/>
        </w:rPr>
        <w:t>Malaffi</w:t>
      </w:r>
      <w:proofErr w:type="spellEnd"/>
      <w:r>
        <w:rPr>
          <w:rFonts w:ascii="Times New Roman" w:hAnsi="Times New Roman" w:cs="Times New Roman"/>
          <w:b/>
          <w:bCs/>
          <w:sz w:val="24"/>
          <w:szCs w:val="24"/>
        </w:rPr>
        <w:t xml:space="preserve"> • NABIDH</w:t>
      </w:r>
    </w:p>
    <w:p w14:paraId="7D10AD1A" w14:textId="77777777" w:rsidR="002C36C5" w:rsidRDefault="002C36C5">
      <w:pPr>
        <w:spacing w:line="480" w:lineRule="auto"/>
        <w:jc w:val="both"/>
        <w:rPr>
          <w:rFonts w:ascii="Times New Roman" w:hAnsi="Times New Roman" w:cs="Times New Roman"/>
          <w:sz w:val="24"/>
          <w:szCs w:val="24"/>
        </w:rPr>
      </w:pPr>
    </w:p>
    <w:p w14:paraId="7D10AD1B" w14:textId="77777777" w:rsidR="002C36C5" w:rsidRDefault="002C36C5">
      <w:pPr>
        <w:spacing w:line="480" w:lineRule="auto"/>
        <w:jc w:val="both"/>
        <w:rPr>
          <w:rFonts w:ascii="Times New Roman" w:hAnsi="Times New Roman" w:cs="Times New Roman"/>
          <w:sz w:val="24"/>
          <w:szCs w:val="24"/>
        </w:rPr>
      </w:pPr>
    </w:p>
    <w:p w14:paraId="7D10AD1C" w14:textId="77777777" w:rsidR="002C36C5" w:rsidRDefault="002C36C5">
      <w:pPr>
        <w:spacing w:line="480" w:lineRule="auto"/>
        <w:jc w:val="both"/>
        <w:rPr>
          <w:rFonts w:ascii="Times New Roman" w:hAnsi="Times New Roman" w:cs="Times New Roman"/>
          <w:sz w:val="24"/>
          <w:szCs w:val="24"/>
        </w:rPr>
      </w:pPr>
    </w:p>
    <w:p w14:paraId="7D10AD1D" w14:textId="77777777" w:rsidR="002C36C5" w:rsidRDefault="002C36C5">
      <w:pPr>
        <w:spacing w:line="480" w:lineRule="auto"/>
        <w:jc w:val="both"/>
        <w:rPr>
          <w:rFonts w:ascii="Times New Roman" w:hAnsi="Times New Roman" w:cs="Times New Roman"/>
          <w:sz w:val="24"/>
          <w:szCs w:val="24"/>
        </w:rPr>
      </w:pPr>
    </w:p>
    <w:p w14:paraId="7D10AD1E" w14:textId="77777777" w:rsidR="002C36C5" w:rsidRDefault="002C36C5">
      <w:pPr>
        <w:spacing w:line="480" w:lineRule="auto"/>
        <w:jc w:val="both"/>
        <w:rPr>
          <w:rFonts w:ascii="Times New Roman" w:hAnsi="Times New Roman" w:cs="Times New Roman"/>
          <w:sz w:val="24"/>
          <w:szCs w:val="24"/>
        </w:rPr>
      </w:pPr>
    </w:p>
    <w:p w14:paraId="7D10AD1F" w14:textId="77777777" w:rsidR="002C36C5" w:rsidRDefault="002C36C5">
      <w:pPr>
        <w:spacing w:line="480" w:lineRule="auto"/>
        <w:jc w:val="both"/>
        <w:rPr>
          <w:rFonts w:ascii="Times New Roman" w:hAnsi="Times New Roman" w:cs="Times New Roman"/>
          <w:sz w:val="24"/>
          <w:szCs w:val="24"/>
        </w:rPr>
      </w:pPr>
    </w:p>
    <w:p w14:paraId="7D10AD20" w14:textId="77777777" w:rsidR="002C36C5" w:rsidRDefault="002C36C5">
      <w:pPr>
        <w:spacing w:line="480" w:lineRule="auto"/>
        <w:jc w:val="both"/>
        <w:rPr>
          <w:rFonts w:ascii="Times New Roman" w:hAnsi="Times New Roman" w:cs="Times New Roman"/>
          <w:sz w:val="24"/>
          <w:szCs w:val="24"/>
        </w:rPr>
      </w:pPr>
    </w:p>
    <w:p w14:paraId="7D10AD21" w14:textId="77777777" w:rsidR="002C36C5" w:rsidRDefault="002C36C5">
      <w:pPr>
        <w:spacing w:line="480" w:lineRule="auto"/>
        <w:jc w:val="both"/>
        <w:rPr>
          <w:rFonts w:ascii="Times New Roman" w:hAnsi="Times New Roman" w:cs="Times New Roman"/>
          <w:sz w:val="24"/>
          <w:szCs w:val="24"/>
        </w:rPr>
      </w:pPr>
    </w:p>
    <w:p w14:paraId="7D10AD22" w14:textId="77777777" w:rsidR="002C36C5" w:rsidRDefault="002C36C5">
      <w:pPr>
        <w:spacing w:line="480" w:lineRule="auto"/>
        <w:jc w:val="both"/>
        <w:rPr>
          <w:rFonts w:ascii="Times New Roman" w:hAnsi="Times New Roman" w:cs="Times New Roman"/>
          <w:sz w:val="24"/>
          <w:szCs w:val="24"/>
        </w:rPr>
      </w:pPr>
    </w:p>
    <w:p w14:paraId="7D10AD23" w14:textId="77777777" w:rsidR="002C36C5" w:rsidRDefault="002C36C5">
      <w:pPr>
        <w:spacing w:line="480" w:lineRule="auto"/>
        <w:jc w:val="both"/>
        <w:rPr>
          <w:rFonts w:ascii="Times New Roman" w:hAnsi="Times New Roman" w:cs="Times New Roman"/>
          <w:sz w:val="24"/>
          <w:szCs w:val="24"/>
        </w:rPr>
      </w:pPr>
    </w:p>
    <w:p w14:paraId="7D10AD24"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Context and background (Slide 2)</w:t>
      </w:r>
    </w:p>
    <w:p w14:paraId="7D10AD25"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Today I present a research proposal examining how information systems are transforming healthcare in the United Arab Emirates, with an emphasis on the integration of health information exchanges. The UAE has invested heavily in digital health infrastructure, moving from fragmented, paper-based documentation </w:t>
      </w:r>
      <w:proofErr w:type="gramStart"/>
      <w:r>
        <w:rPr>
          <w:rFonts w:ascii="Times New Roman" w:hAnsi="Times New Roman" w:cs="Times New Roman"/>
          <w:sz w:val="24"/>
          <w:szCs w:val="24"/>
        </w:rPr>
        <w:t>towards</w:t>
      </w:r>
      <w:proofErr w:type="gramEnd"/>
      <w:r>
        <w:rPr>
          <w:rFonts w:ascii="Times New Roman" w:hAnsi="Times New Roman" w:cs="Times New Roman"/>
          <w:sz w:val="24"/>
          <w:szCs w:val="24"/>
        </w:rPr>
        <w:t xml:space="preserve"> interoperable electronic medical records and cross-</w:t>
      </w:r>
      <w:proofErr w:type="spellStart"/>
      <w:r>
        <w:rPr>
          <w:rFonts w:ascii="Times New Roman" w:hAnsi="Times New Roman" w:cs="Times New Roman"/>
          <w:sz w:val="24"/>
          <w:szCs w:val="24"/>
        </w:rPr>
        <w:t>organisational</w:t>
      </w:r>
      <w:proofErr w:type="spellEnd"/>
      <w:r>
        <w:rPr>
          <w:rFonts w:ascii="Times New Roman" w:hAnsi="Times New Roman" w:cs="Times New Roman"/>
          <w:sz w:val="24"/>
          <w:szCs w:val="24"/>
        </w:rPr>
        <w:t xml:space="preserve"> platforms. Abu Dhabi’s Malaffi, launched in 2019, and Dubai’s NABIDH are emblematic initiatives intended to enable meaningful, real-time exchange of patient information, while the federal National Unified Medical Record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Riayati</w:t>
      </w:r>
      <w:proofErr w:type="spellEnd"/>
      <w:r>
        <w:rPr>
          <w:rFonts w:ascii="Times New Roman" w:hAnsi="Times New Roman" w:cs="Times New Roman"/>
          <w:sz w:val="24"/>
          <w:szCs w:val="24"/>
        </w:rPr>
        <w:t>, has been publicly reported as providing national-level linkage across emirates. (Department of Health – Abu Dhabi, 2019; NABIDH, 2025; Department of Health – Abu Dhabi, 2023)</w:t>
      </w:r>
    </w:p>
    <w:p w14:paraId="7D10AD26" w14:textId="77777777" w:rsidR="002C36C5" w:rsidRDefault="002C36C5">
      <w:pPr>
        <w:spacing w:line="480" w:lineRule="auto"/>
        <w:jc w:val="both"/>
        <w:rPr>
          <w:rFonts w:ascii="Times New Roman" w:hAnsi="Times New Roman" w:cs="Times New Roman"/>
          <w:sz w:val="24"/>
          <w:szCs w:val="24"/>
        </w:rPr>
      </w:pPr>
    </w:p>
    <w:p w14:paraId="7D10AD27"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Motivation and evidence gap (Slide 3)</w:t>
      </w:r>
    </w:p>
    <w:p w14:paraId="7D10AD28"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motivation for this study is that the scale of these </w:t>
      </w:r>
      <w:proofErr w:type="spellStart"/>
      <w:r>
        <w:rPr>
          <w:rFonts w:ascii="Times New Roman" w:hAnsi="Times New Roman" w:cs="Times New Roman"/>
          <w:sz w:val="24"/>
          <w:szCs w:val="24"/>
        </w:rPr>
        <w:t>programmes</w:t>
      </w:r>
      <w:proofErr w:type="spellEnd"/>
      <w:r>
        <w:rPr>
          <w:rFonts w:ascii="Times New Roman" w:hAnsi="Times New Roman" w:cs="Times New Roman"/>
          <w:sz w:val="24"/>
          <w:szCs w:val="24"/>
        </w:rPr>
        <w:t xml:space="preserve"> is often presented as inherently beneficial, yet the empirical evidence base in the UAE remains methodologically uneven. For instance, descriptive facility-level analyses demonstrate high adoption and increasing maturity of EMR systems in Dubai, including comprehensive hospital implementation and extensive uptake in the private sector. However, cross-sectional designs cannot isolate whether observed improvements, such as fewer documentation errors or more efficient workflows, are attributable to information systems rather than concurrent </w:t>
      </w:r>
      <w:proofErr w:type="spellStart"/>
      <w:r>
        <w:rPr>
          <w:rFonts w:ascii="Times New Roman" w:hAnsi="Times New Roman" w:cs="Times New Roman"/>
          <w:sz w:val="24"/>
          <w:szCs w:val="24"/>
        </w:rPr>
        <w:t>organisational</w:t>
      </w:r>
      <w:proofErr w:type="spellEnd"/>
      <w:r>
        <w:rPr>
          <w:rFonts w:ascii="Times New Roman" w:hAnsi="Times New Roman" w:cs="Times New Roman"/>
          <w:sz w:val="24"/>
          <w:szCs w:val="24"/>
        </w:rPr>
        <w:t xml:space="preserve"> change. (Abdulrahman et al., 2024; </w:t>
      </w:r>
      <w:proofErr w:type="spellStart"/>
      <w:r>
        <w:rPr>
          <w:rFonts w:ascii="Times New Roman" w:hAnsi="Times New Roman" w:cs="Times New Roman"/>
          <w:sz w:val="24"/>
          <w:szCs w:val="24"/>
        </w:rPr>
        <w:t>Menachemi</w:t>
      </w:r>
      <w:proofErr w:type="spellEnd"/>
      <w:r>
        <w:rPr>
          <w:rFonts w:ascii="Times New Roman" w:hAnsi="Times New Roman" w:cs="Times New Roman"/>
          <w:sz w:val="24"/>
          <w:szCs w:val="24"/>
        </w:rPr>
        <w:t xml:space="preserve"> and Collum, 2011)</w:t>
      </w:r>
    </w:p>
    <w:p w14:paraId="7D10AD29" w14:textId="77777777" w:rsidR="002C36C5" w:rsidRDefault="002C36C5">
      <w:pPr>
        <w:spacing w:line="480" w:lineRule="auto"/>
        <w:jc w:val="both"/>
        <w:rPr>
          <w:rFonts w:ascii="Times New Roman" w:hAnsi="Times New Roman" w:cs="Times New Roman"/>
          <w:sz w:val="24"/>
          <w:szCs w:val="24"/>
        </w:rPr>
      </w:pPr>
    </w:p>
    <w:p w14:paraId="7D10AD2A" w14:textId="77777777" w:rsidR="002C36C5" w:rsidRDefault="002C36C5">
      <w:pPr>
        <w:spacing w:line="480" w:lineRule="auto"/>
        <w:jc w:val="both"/>
        <w:rPr>
          <w:rFonts w:ascii="Times New Roman" w:hAnsi="Times New Roman" w:cs="Times New Roman"/>
          <w:sz w:val="24"/>
          <w:szCs w:val="24"/>
        </w:rPr>
      </w:pPr>
    </w:p>
    <w:p w14:paraId="7D10AD2B"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Socio-technical insight (Slide 4)</w:t>
      </w:r>
    </w:p>
    <w:p w14:paraId="7D10AD2C"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At the same time, socio-technical research indicates that </w:t>
      </w:r>
      <w:proofErr w:type="gramStart"/>
      <w:r>
        <w:rPr>
          <w:rFonts w:ascii="Times New Roman" w:hAnsi="Times New Roman" w:cs="Times New Roman"/>
          <w:sz w:val="24"/>
          <w:szCs w:val="24"/>
        </w:rPr>
        <w:t>technology</w:t>
      </w:r>
      <w:proofErr w:type="gramEnd"/>
      <w:r>
        <w:rPr>
          <w:rFonts w:ascii="Times New Roman" w:hAnsi="Times New Roman" w:cs="Times New Roman"/>
          <w:sz w:val="24"/>
          <w:szCs w:val="24"/>
        </w:rPr>
        <w:t xml:space="preserve"> adoption is contingent on staff capability, </w:t>
      </w:r>
      <w:proofErr w:type="spellStart"/>
      <w:r>
        <w:rPr>
          <w:rFonts w:ascii="Times New Roman" w:hAnsi="Times New Roman" w:cs="Times New Roman"/>
          <w:sz w:val="24"/>
          <w:szCs w:val="24"/>
        </w:rPr>
        <w:t>organisational</w:t>
      </w:r>
      <w:proofErr w:type="spellEnd"/>
      <w:r>
        <w:rPr>
          <w:rFonts w:ascii="Times New Roman" w:hAnsi="Times New Roman" w:cs="Times New Roman"/>
          <w:sz w:val="24"/>
          <w:szCs w:val="24"/>
        </w:rPr>
        <w:t xml:space="preserve"> support and perceived usefulness. In a UAE study integrating UTAUT and TAM with structural equation modelling and neural network techniques, facilitating conditions and </w:t>
      </w:r>
      <w:proofErr w:type="spellStart"/>
      <w:r>
        <w:rPr>
          <w:rFonts w:ascii="Times New Roman" w:hAnsi="Times New Roman" w:cs="Times New Roman"/>
          <w:sz w:val="24"/>
          <w:szCs w:val="24"/>
        </w:rPr>
        <w:t>behavioural</w:t>
      </w:r>
      <w:proofErr w:type="spellEnd"/>
      <w:r>
        <w:rPr>
          <w:rFonts w:ascii="Times New Roman" w:hAnsi="Times New Roman" w:cs="Times New Roman"/>
          <w:sz w:val="24"/>
          <w:szCs w:val="24"/>
        </w:rPr>
        <w:t xml:space="preserve"> intention were strong predictors of EMR use, suggesting that investments in infrastructure alone are insufficient without training, governance and workflow alignment. This insight is particularly relevant for HIE integration, where cross-</w:t>
      </w:r>
      <w:proofErr w:type="spellStart"/>
      <w:r>
        <w:rPr>
          <w:rFonts w:ascii="Times New Roman" w:hAnsi="Times New Roman" w:cs="Times New Roman"/>
          <w:sz w:val="24"/>
          <w:szCs w:val="24"/>
        </w:rPr>
        <w:t>organisational</w:t>
      </w:r>
      <w:proofErr w:type="spellEnd"/>
      <w:r>
        <w:rPr>
          <w:rFonts w:ascii="Times New Roman" w:hAnsi="Times New Roman" w:cs="Times New Roman"/>
          <w:sz w:val="24"/>
          <w:szCs w:val="24"/>
        </w:rPr>
        <w:t xml:space="preserve"> coordination and trust in shared data are essential. (</w:t>
      </w:r>
      <w:proofErr w:type="spellStart"/>
      <w:r>
        <w:rPr>
          <w:rFonts w:ascii="Times New Roman" w:hAnsi="Times New Roman" w:cs="Times New Roman"/>
          <w:sz w:val="24"/>
          <w:szCs w:val="24"/>
        </w:rPr>
        <w:t>Almarzouqi</w:t>
      </w:r>
      <w:proofErr w:type="spellEnd"/>
      <w:r>
        <w:rPr>
          <w:rFonts w:ascii="Times New Roman" w:hAnsi="Times New Roman" w:cs="Times New Roman"/>
          <w:sz w:val="24"/>
          <w:szCs w:val="24"/>
        </w:rPr>
        <w:t xml:space="preserve"> et al., 2022)</w:t>
      </w:r>
    </w:p>
    <w:p w14:paraId="7D10AD2D" w14:textId="77777777" w:rsidR="002C36C5" w:rsidRDefault="002C36C5">
      <w:pPr>
        <w:spacing w:line="480" w:lineRule="auto"/>
        <w:jc w:val="both"/>
        <w:rPr>
          <w:rFonts w:ascii="Times New Roman" w:hAnsi="Times New Roman" w:cs="Times New Roman"/>
          <w:sz w:val="24"/>
          <w:szCs w:val="24"/>
        </w:rPr>
      </w:pPr>
    </w:p>
    <w:p w14:paraId="7D10AD2E"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Research problem (Slide 5)</w:t>
      </w:r>
    </w:p>
    <w:p w14:paraId="7D10AD2F"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My research problem therefore concerns the gap between large-scale interoperability ambitions and robust evidence of measurable transformation outcomes. Public reporting has described the integration of </w:t>
      </w:r>
      <w:proofErr w:type="spellStart"/>
      <w:r>
        <w:rPr>
          <w:rFonts w:ascii="Times New Roman" w:hAnsi="Times New Roman" w:cs="Times New Roman"/>
          <w:sz w:val="24"/>
          <w:szCs w:val="24"/>
        </w:rPr>
        <w:t>Riayati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Malaffi</w:t>
      </w:r>
      <w:proofErr w:type="spellEnd"/>
      <w:r>
        <w:rPr>
          <w:rFonts w:ascii="Times New Roman" w:hAnsi="Times New Roman" w:cs="Times New Roman"/>
          <w:sz w:val="24"/>
          <w:szCs w:val="24"/>
        </w:rPr>
        <w:t xml:space="preserve"> and NABIDH as enabling nationwide exchange, including extensive record volumes and broad access across facilities. Such integration creates a natural ‘policy intervention point’ for evaluating whether interoperability translates into reduced duplicated diagnostics, better continuity in mobile populations, and improvements in safety proxies. Yet, without quasi-experimental evaluation, the magnitude and distribution of benefits remain uncertain, and concerns about privacy and trust may reduce effective use. (Department of Health – Abu Dhabi, 2023; WAM, 2023; Alkaabi and </w:t>
      </w:r>
      <w:proofErr w:type="spellStart"/>
      <w:r>
        <w:rPr>
          <w:rFonts w:ascii="Times New Roman" w:hAnsi="Times New Roman" w:cs="Times New Roman"/>
          <w:sz w:val="24"/>
          <w:szCs w:val="24"/>
        </w:rPr>
        <w:t>Elsori</w:t>
      </w:r>
      <w:proofErr w:type="spellEnd"/>
      <w:r>
        <w:rPr>
          <w:rFonts w:ascii="Times New Roman" w:hAnsi="Times New Roman" w:cs="Times New Roman"/>
          <w:sz w:val="24"/>
          <w:szCs w:val="24"/>
        </w:rPr>
        <w:t>, 2025)</w:t>
      </w:r>
    </w:p>
    <w:p w14:paraId="7D10AD30" w14:textId="77777777" w:rsidR="002C36C5" w:rsidRDefault="002C36C5">
      <w:pPr>
        <w:spacing w:line="480" w:lineRule="auto"/>
        <w:jc w:val="both"/>
        <w:rPr>
          <w:rFonts w:ascii="Times New Roman" w:hAnsi="Times New Roman" w:cs="Times New Roman"/>
          <w:sz w:val="24"/>
          <w:szCs w:val="24"/>
        </w:rPr>
      </w:pPr>
    </w:p>
    <w:p w14:paraId="7D10AD31" w14:textId="77777777" w:rsidR="002C36C5" w:rsidRDefault="002C36C5">
      <w:pPr>
        <w:spacing w:line="480" w:lineRule="auto"/>
        <w:jc w:val="both"/>
        <w:rPr>
          <w:rFonts w:ascii="Times New Roman" w:hAnsi="Times New Roman" w:cs="Times New Roman"/>
          <w:sz w:val="24"/>
          <w:szCs w:val="24"/>
        </w:rPr>
      </w:pPr>
    </w:p>
    <w:p w14:paraId="7D10AD32"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 xml:space="preserve">Policy </w:t>
      </w:r>
      <w:proofErr w:type="gramStart"/>
      <w:r>
        <w:rPr>
          <w:rFonts w:ascii="Times New Roman" w:hAnsi="Times New Roman" w:cs="Times New Roman"/>
          <w:b/>
          <w:bCs/>
          <w:sz w:val="24"/>
          <w:szCs w:val="24"/>
        </w:rPr>
        <w:t>focus</w:t>
      </w:r>
      <w:proofErr w:type="gramEnd"/>
      <w:r>
        <w:rPr>
          <w:rFonts w:ascii="Times New Roman" w:hAnsi="Times New Roman" w:cs="Times New Roman"/>
          <w:b/>
          <w:bCs/>
          <w:sz w:val="24"/>
          <w:szCs w:val="24"/>
        </w:rPr>
        <w:t xml:space="preserve"> and intended improvements (Slide 6)</w:t>
      </w:r>
    </w:p>
    <w:p w14:paraId="7D10AD33"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this proposal, three interrelated policy initiatives provide the empirical setting: </w:t>
      </w:r>
      <w:proofErr w:type="spellStart"/>
      <w:r>
        <w:rPr>
          <w:rFonts w:ascii="Times New Roman" w:hAnsi="Times New Roman" w:cs="Times New Roman"/>
          <w:sz w:val="24"/>
          <w:szCs w:val="24"/>
        </w:rPr>
        <w:t>Riayati</w:t>
      </w:r>
      <w:proofErr w:type="spellEnd"/>
      <w:r>
        <w:rPr>
          <w:rFonts w:ascii="Times New Roman" w:hAnsi="Times New Roman" w:cs="Times New Roman"/>
          <w:sz w:val="24"/>
          <w:szCs w:val="24"/>
        </w:rPr>
        <w:t xml:space="preserve"> (the National Unified Medical Record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Malaffi</w:t>
      </w:r>
      <w:proofErr w:type="spellEnd"/>
      <w:r>
        <w:rPr>
          <w:rFonts w:ascii="Times New Roman" w:hAnsi="Times New Roman" w:cs="Times New Roman"/>
          <w:sz w:val="24"/>
          <w:szCs w:val="24"/>
        </w:rPr>
        <w:t xml:space="preserve"> (Abu Dhabi’s health information exchange), and NABIDH (Dubai’s health information exchange). Although each </w:t>
      </w:r>
      <w:proofErr w:type="spellStart"/>
      <w:r>
        <w:rPr>
          <w:rFonts w:ascii="Times New Roman" w:hAnsi="Times New Roman" w:cs="Times New Roman"/>
          <w:sz w:val="24"/>
          <w:szCs w:val="24"/>
        </w:rPr>
        <w:t>programme</w:t>
      </w:r>
      <w:proofErr w:type="spellEnd"/>
      <w:r>
        <w:rPr>
          <w:rFonts w:ascii="Times New Roman" w:hAnsi="Times New Roman" w:cs="Times New Roman"/>
          <w:sz w:val="24"/>
          <w:szCs w:val="24"/>
        </w:rPr>
        <w:t xml:space="preserve"> has its own participation and governance arrangements, this study is primarily focused on the 2023 national integration policy that links these platforms. This integration policy is the most directly aligned with measurable improvements in cross-emirate care continuity, patient safety, and care delivery efficiency because it enables clinicians to access longitudinal records when patients transition between emirates and providers.</w:t>
      </w:r>
    </w:p>
    <w:p w14:paraId="7D10AD34" w14:textId="77777777" w:rsidR="002C36C5" w:rsidRDefault="002C36C5">
      <w:pPr>
        <w:spacing w:line="480" w:lineRule="auto"/>
        <w:jc w:val="both"/>
        <w:rPr>
          <w:rFonts w:ascii="Times New Roman" w:hAnsi="Times New Roman" w:cs="Times New Roman"/>
          <w:sz w:val="24"/>
          <w:szCs w:val="24"/>
        </w:rPr>
      </w:pPr>
    </w:p>
    <w:p w14:paraId="7D10AD35"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Theory of change for continuity, safety, and efficiency (Slide 7)</w:t>
      </w:r>
    </w:p>
    <w:p w14:paraId="7D10AD36"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The integration of health information exchanges is expected to improve continuity of care by reducing information gaps at transitions, enabling faster access to medication histories, allergies, and prior investigations, and supporting more reliable referrals and follow-up. It is expected to improve patient safety by strengthening medication reconciliation, reducing duplicate prescribing, and enabling earlier detection of contraindications through more complete information. It is expected to improve efficiency by reducing duplicated laboratory testing and imaging, shortening administrative workflows, and improving the timeliness of clinical decision-making. However, these benefits are not automatic, because they depend on data quality, clinician use at the point of care, and robust governance that sustains trust.</w:t>
      </w:r>
    </w:p>
    <w:p w14:paraId="7D10AD37" w14:textId="77777777" w:rsidR="002C36C5" w:rsidRDefault="002C36C5">
      <w:pPr>
        <w:spacing w:line="480" w:lineRule="auto"/>
        <w:jc w:val="both"/>
        <w:rPr>
          <w:rFonts w:ascii="Times New Roman" w:hAnsi="Times New Roman" w:cs="Times New Roman"/>
          <w:sz w:val="24"/>
          <w:szCs w:val="24"/>
        </w:rPr>
      </w:pPr>
    </w:p>
    <w:p w14:paraId="7D10AD38" w14:textId="77777777" w:rsidR="002C36C5" w:rsidRDefault="002C36C5">
      <w:pPr>
        <w:spacing w:line="480" w:lineRule="auto"/>
        <w:jc w:val="both"/>
        <w:rPr>
          <w:rFonts w:ascii="Times New Roman" w:hAnsi="Times New Roman" w:cs="Times New Roman"/>
          <w:sz w:val="24"/>
          <w:szCs w:val="24"/>
        </w:rPr>
      </w:pPr>
    </w:p>
    <w:p w14:paraId="7D10AD39" w14:textId="77777777" w:rsidR="002C36C5" w:rsidRDefault="002C36C5">
      <w:pPr>
        <w:spacing w:line="480" w:lineRule="auto"/>
        <w:jc w:val="both"/>
        <w:rPr>
          <w:rFonts w:ascii="Times New Roman" w:hAnsi="Times New Roman" w:cs="Times New Roman"/>
          <w:sz w:val="24"/>
          <w:szCs w:val="24"/>
        </w:rPr>
      </w:pPr>
    </w:p>
    <w:p w14:paraId="7D10AD3A"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Overarching research question (Slide 8)</w:t>
      </w:r>
    </w:p>
    <w:p w14:paraId="7D10AD3B"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overarching research question is: to what extent has the integration of UAE HIE platforms improved continuity of care, patient safety and resource efficiency, and what socio-technical factors explain variation in </w:t>
      </w:r>
      <w:proofErr w:type="spellStart"/>
      <w:r>
        <w:rPr>
          <w:rFonts w:ascii="Times New Roman" w:hAnsi="Times New Roman" w:cs="Times New Roman"/>
          <w:sz w:val="24"/>
          <w:szCs w:val="24"/>
        </w:rPr>
        <w:t>realised</w:t>
      </w:r>
      <w:proofErr w:type="spellEnd"/>
      <w:r>
        <w:rPr>
          <w:rFonts w:ascii="Times New Roman" w:hAnsi="Times New Roman" w:cs="Times New Roman"/>
          <w:sz w:val="24"/>
          <w:szCs w:val="24"/>
        </w:rPr>
        <w:t xml:space="preserve"> benefits across </w:t>
      </w:r>
      <w:proofErr w:type="spellStart"/>
      <w:r>
        <w:rPr>
          <w:rFonts w:ascii="Times New Roman" w:hAnsi="Times New Roman" w:cs="Times New Roman"/>
          <w:sz w:val="24"/>
          <w:szCs w:val="24"/>
        </w:rPr>
        <w:t>organisations</w:t>
      </w:r>
      <w:proofErr w:type="spellEnd"/>
      <w:r>
        <w:rPr>
          <w:rFonts w:ascii="Times New Roman" w:hAnsi="Times New Roman" w:cs="Times New Roman"/>
          <w:sz w:val="24"/>
          <w:szCs w:val="24"/>
        </w:rPr>
        <w:t xml:space="preserve">? (Department of Health – Abu Dhabi, 2023; </w:t>
      </w:r>
      <w:proofErr w:type="spellStart"/>
      <w:r>
        <w:rPr>
          <w:rFonts w:ascii="Times New Roman" w:hAnsi="Times New Roman" w:cs="Times New Roman"/>
          <w:sz w:val="24"/>
          <w:szCs w:val="24"/>
        </w:rPr>
        <w:t>Almarzouqi</w:t>
      </w:r>
      <w:proofErr w:type="spellEnd"/>
      <w:r>
        <w:rPr>
          <w:rFonts w:ascii="Times New Roman" w:hAnsi="Times New Roman" w:cs="Times New Roman"/>
          <w:sz w:val="24"/>
          <w:szCs w:val="24"/>
        </w:rPr>
        <w:t xml:space="preserve"> et al., 2022)</w:t>
      </w:r>
    </w:p>
    <w:p w14:paraId="7D10AD3C"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Evaluation focus</w:t>
      </w:r>
      <w:r>
        <w:rPr>
          <w:rFonts w:ascii="Times New Roman" w:hAnsi="Times New Roman" w:cs="Times New Roman"/>
          <w:sz w:val="24"/>
          <w:szCs w:val="24"/>
        </w:rPr>
        <w:t>: continuity of care • patient safety • resource efficiency • socio-technical variation</w:t>
      </w:r>
    </w:p>
    <w:p w14:paraId="7D10AD3D" w14:textId="77777777" w:rsidR="002C36C5" w:rsidRDefault="002C36C5">
      <w:pPr>
        <w:spacing w:line="480" w:lineRule="auto"/>
        <w:jc w:val="both"/>
        <w:rPr>
          <w:rFonts w:ascii="Times New Roman" w:hAnsi="Times New Roman" w:cs="Times New Roman"/>
          <w:sz w:val="24"/>
          <w:szCs w:val="24"/>
        </w:rPr>
      </w:pPr>
    </w:p>
    <w:p w14:paraId="7D10AD3E"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Aim and objectives (Slide 9)</w:t>
      </w:r>
    </w:p>
    <w:p w14:paraId="7D10AD3F"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aim is to deliver a mixed-methods evaluation that combines causal inference, socio-technical explanation and a computing artefact that can support governance. The first objective is conceptual: I will develop a UAE-specific model linking HIE integration to information quality, clinician adoption, and clinical and operational outcomes. The second objective is quantitative: I will quantify changes in duplicated diagnostics and </w:t>
      </w:r>
      <w:proofErr w:type="gramStart"/>
      <w:r>
        <w:rPr>
          <w:rFonts w:ascii="Times New Roman" w:hAnsi="Times New Roman" w:cs="Times New Roman"/>
          <w:sz w:val="24"/>
          <w:szCs w:val="24"/>
        </w:rPr>
        <w:t>selected</w:t>
      </w:r>
      <w:proofErr w:type="gramEnd"/>
      <w:r>
        <w:rPr>
          <w:rFonts w:ascii="Times New Roman" w:hAnsi="Times New Roman" w:cs="Times New Roman"/>
          <w:sz w:val="24"/>
          <w:szCs w:val="24"/>
        </w:rPr>
        <w:t xml:space="preserve"> </w:t>
      </w:r>
      <w:proofErr w:type="spellStart"/>
      <w:r>
        <w:rPr>
          <w:rFonts w:ascii="Times New Roman" w:hAnsi="Times New Roman" w:cs="Times New Roman"/>
          <w:sz w:val="24"/>
          <w:szCs w:val="24"/>
        </w:rPr>
        <w:t>utilisation</w:t>
      </w:r>
      <w:proofErr w:type="spellEnd"/>
      <w:r>
        <w:rPr>
          <w:rFonts w:ascii="Times New Roman" w:hAnsi="Times New Roman" w:cs="Times New Roman"/>
          <w:sz w:val="24"/>
          <w:szCs w:val="24"/>
        </w:rPr>
        <w:t xml:space="preserve"> and safety proxies before and after integration using quasi-experimental methods. The third objective is interpretive: I will explore professional and patient perspectives to understand mechanisms, barriers and enablers. Finally, the fourth objective is </w:t>
      </w:r>
      <w:proofErr w:type="gramStart"/>
      <w:r>
        <w:rPr>
          <w:rFonts w:ascii="Times New Roman" w:hAnsi="Times New Roman" w:cs="Times New Roman"/>
          <w:sz w:val="24"/>
          <w:szCs w:val="24"/>
        </w:rPr>
        <w:t>developmental</w:t>
      </w:r>
      <w:proofErr w:type="gramEnd"/>
      <w:r>
        <w:rPr>
          <w:rFonts w:ascii="Times New Roman" w:hAnsi="Times New Roman" w:cs="Times New Roman"/>
          <w:sz w:val="24"/>
          <w:szCs w:val="24"/>
        </w:rPr>
        <w:t xml:space="preserve">: I will create a prototype dashboard that </w:t>
      </w:r>
      <w:proofErr w:type="spellStart"/>
      <w:r>
        <w:rPr>
          <w:rFonts w:ascii="Times New Roman" w:hAnsi="Times New Roman" w:cs="Times New Roman"/>
          <w:sz w:val="24"/>
          <w:szCs w:val="24"/>
        </w:rPr>
        <w:t>operationalises</w:t>
      </w:r>
      <w:proofErr w:type="spellEnd"/>
      <w:r>
        <w:rPr>
          <w:rFonts w:ascii="Times New Roman" w:hAnsi="Times New Roman" w:cs="Times New Roman"/>
          <w:sz w:val="24"/>
          <w:szCs w:val="24"/>
        </w:rPr>
        <w:t xml:space="preserve"> interoperability and data-quality indicators. (Hong et al., 2018; Department of Health – Abu Dhabi, 2023; NABIDH, 2025)</w:t>
      </w:r>
    </w:p>
    <w:p w14:paraId="7D10AD40" w14:textId="77777777" w:rsidR="002C36C5" w:rsidRDefault="002C36C5">
      <w:pPr>
        <w:spacing w:line="480" w:lineRule="auto"/>
        <w:jc w:val="both"/>
        <w:rPr>
          <w:rFonts w:ascii="Times New Roman" w:hAnsi="Times New Roman" w:cs="Times New Roman"/>
          <w:sz w:val="24"/>
          <w:szCs w:val="24"/>
        </w:rPr>
      </w:pPr>
    </w:p>
    <w:p w14:paraId="7D10AD41" w14:textId="77777777" w:rsidR="002C36C5" w:rsidRDefault="002C36C5">
      <w:pPr>
        <w:spacing w:line="480" w:lineRule="auto"/>
        <w:jc w:val="both"/>
        <w:rPr>
          <w:rFonts w:ascii="Times New Roman" w:hAnsi="Times New Roman" w:cs="Times New Roman"/>
          <w:sz w:val="24"/>
          <w:szCs w:val="24"/>
        </w:rPr>
      </w:pPr>
    </w:p>
    <w:p w14:paraId="7D10AD42" w14:textId="77777777" w:rsidR="002C36C5" w:rsidRDefault="002C36C5">
      <w:pPr>
        <w:spacing w:line="480" w:lineRule="auto"/>
        <w:jc w:val="both"/>
        <w:rPr>
          <w:rFonts w:ascii="Times New Roman" w:hAnsi="Times New Roman" w:cs="Times New Roman"/>
          <w:sz w:val="24"/>
          <w:szCs w:val="24"/>
        </w:rPr>
      </w:pPr>
    </w:p>
    <w:p w14:paraId="7D10AD43"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lastRenderedPageBreak/>
        <w:t>Key literature strand 1 (Slide 10)</w:t>
      </w:r>
    </w:p>
    <w:p w14:paraId="7D10AD44"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In terms of key literature, several strands are directly relevant. First, evidence on EMR adoption in Dubai indicates strong coverage and increasing maturity. Abdulrahman and colleagues assessed 2,089 healthcare facilities and reported that hospitals had implemented EMRs, with extensive adoption among private clinics, using HIMSS EMRAM benchmarking. This demonstrates readiness for interoperability; however, it is not</w:t>
      </w:r>
      <w:proofErr w:type="gramStart"/>
      <w:r>
        <w:rPr>
          <w:rFonts w:ascii="Times New Roman" w:hAnsi="Times New Roman" w:cs="Times New Roman"/>
          <w:sz w:val="24"/>
          <w:szCs w:val="24"/>
        </w:rPr>
        <w:t>, in itself, evidence</w:t>
      </w:r>
      <w:proofErr w:type="gramEnd"/>
      <w:r>
        <w:rPr>
          <w:rFonts w:ascii="Times New Roman" w:hAnsi="Times New Roman" w:cs="Times New Roman"/>
          <w:sz w:val="24"/>
          <w:szCs w:val="24"/>
        </w:rPr>
        <w:t xml:space="preserve"> that interoperability improves outcomes. (Abdulrahman et al., 2024)</w:t>
      </w:r>
    </w:p>
    <w:p w14:paraId="7D10AD45" w14:textId="77777777" w:rsidR="002C36C5" w:rsidRDefault="002C36C5">
      <w:pPr>
        <w:spacing w:line="480" w:lineRule="auto"/>
        <w:jc w:val="both"/>
        <w:rPr>
          <w:rFonts w:ascii="Times New Roman" w:hAnsi="Times New Roman" w:cs="Times New Roman"/>
          <w:sz w:val="24"/>
          <w:szCs w:val="24"/>
        </w:rPr>
      </w:pPr>
    </w:p>
    <w:p w14:paraId="7D10AD46"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Key literature strands 2–3 (Slide 11)</w:t>
      </w:r>
    </w:p>
    <w:p w14:paraId="7D10AD47"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Second, technology acceptance literature provides a mechanism for heterogeneous effects. </w:t>
      </w:r>
      <w:proofErr w:type="spellStart"/>
      <w:r>
        <w:rPr>
          <w:rFonts w:ascii="Times New Roman" w:hAnsi="Times New Roman" w:cs="Times New Roman"/>
          <w:sz w:val="24"/>
          <w:szCs w:val="24"/>
        </w:rPr>
        <w:t>Almarzouqi</w:t>
      </w:r>
      <w:proofErr w:type="spellEnd"/>
      <w:r>
        <w:rPr>
          <w:rFonts w:ascii="Times New Roman" w:hAnsi="Times New Roman" w:cs="Times New Roman"/>
          <w:sz w:val="24"/>
          <w:szCs w:val="24"/>
        </w:rPr>
        <w:t xml:space="preserve"> and colleagues show that facilitating conditions and perceived usefulness predict EMR use, implying that even when HIE integration is technically available, the degree of clinician engagement may differ markedly across sites. (</w:t>
      </w:r>
      <w:proofErr w:type="spellStart"/>
      <w:r>
        <w:rPr>
          <w:rFonts w:ascii="Times New Roman" w:hAnsi="Times New Roman" w:cs="Times New Roman"/>
          <w:sz w:val="24"/>
          <w:szCs w:val="24"/>
        </w:rPr>
        <w:t>Almarzouqi</w:t>
      </w:r>
      <w:proofErr w:type="spellEnd"/>
      <w:r>
        <w:rPr>
          <w:rFonts w:ascii="Times New Roman" w:hAnsi="Times New Roman" w:cs="Times New Roman"/>
          <w:sz w:val="24"/>
          <w:szCs w:val="24"/>
        </w:rPr>
        <w:t xml:space="preserve"> et al., 2022)</w:t>
      </w:r>
    </w:p>
    <w:p w14:paraId="7D10AD48"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Third, evidence on telemedicine and digital inequalities highlights that awareness and usability shape uptake of digital services. In a nationwide survey, 31.3 per cent of respondents used telemedicine during the COVID-19 period, while non-use was frequently attributed to not knowing that telemedicine existed or not knowing how to use it. Although telemedicine is not the focus of this proposal, these findings reinforce that technology impacts are mediated by literacy, access and trust, which are also relevant for HIE-enabled services. (Al </w:t>
      </w:r>
      <w:proofErr w:type="spellStart"/>
      <w:r>
        <w:rPr>
          <w:rFonts w:ascii="Times New Roman" w:hAnsi="Times New Roman" w:cs="Times New Roman"/>
          <w:sz w:val="24"/>
          <w:szCs w:val="24"/>
        </w:rPr>
        <w:t>Meslamani</w:t>
      </w:r>
      <w:proofErr w:type="spellEnd"/>
      <w:r>
        <w:rPr>
          <w:rFonts w:ascii="Times New Roman" w:hAnsi="Times New Roman" w:cs="Times New Roman"/>
          <w:sz w:val="24"/>
          <w:szCs w:val="24"/>
        </w:rPr>
        <w:t xml:space="preserve"> et al., 2022)</w:t>
      </w:r>
    </w:p>
    <w:p w14:paraId="7D10AD49" w14:textId="77777777" w:rsidR="002C36C5" w:rsidRDefault="002C36C5">
      <w:pPr>
        <w:spacing w:line="480" w:lineRule="auto"/>
        <w:jc w:val="both"/>
        <w:rPr>
          <w:rFonts w:ascii="Times New Roman" w:hAnsi="Times New Roman" w:cs="Times New Roman"/>
          <w:sz w:val="24"/>
          <w:szCs w:val="24"/>
        </w:rPr>
      </w:pPr>
    </w:p>
    <w:p w14:paraId="7D10AD4A" w14:textId="77777777" w:rsidR="002C36C5" w:rsidRDefault="002C36C5">
      <w:pPr>
        <w:spacing w:line="480" w:lineRule="auto"/>
        <w:jc w:val="both"/>
        <w:rPr>
          <w:rFonts w:ascii="Times New Roman" w:hAnsi="Times New Roman" w:cs="Times New Roman"/>
          <w:sz w:val="24"/>
          <w:szCs w:val="24"/>
        </w:rPr>
      </w:pPr>
    </w:p>
    <w:p w14:paraId="7D10AD4B" w14:textId="77777777" w:rsidR="002C36C5" w:rsidRDefault="002C36C5">
      <w:pPr>
        <w:spacing w:line="480" w:lineRule="auto"/>
        <w:jc w:val="both"/>
        <w:rPr>
          <w:rFonts w:ascii="Times New Roman" w:hAnsi="Times New Roman" w:cs="Times New Roman"/>
          <w:sz w:val="24"/>
          <w:szCs w:val="24"/>
        </w:rPr>
      </w:pPr>
    </w:p>
    <w:p w14:paraId="7D10AD4C"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Key literature strand 4 (Slide 12)</w:t>
      </w:r>
    </w:p>
    <w:p w14:paraId="7D10AD4D"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Finally, qualitative research on AI and telemedicine in the UAE reports perceived benefits alongside persistent concerns about data protection, governance and trust. These themes are directly applicable to HIE integration, which relies on cross-</w:t>
      </w:r>
      <w:proofErr w:type="spellStart"/>
      <w:r>
        <w:rPr>
          <w:rFonts w:ascii="Times New Roman" w:hAnsi="Times New Roman" w:cs="Times New Roman"/>
          <w:sz w:val="24"/>
          <w:szCs w:val="24"/>
        </w:rPr>
        <w:t>organisational</w:t>
      </w:r>
      <w:proofErr w:type="spellEnd"/>
      <w:r>
        <w:rPr>
          <w:rFonts w:ascii="Times New Roman" w:hAnsi="Times New Roman" w:cs="Times New Roman"/>
          <w:sz w:val="24"/>
          <w:szCs w:val="24"/>
        </w:rPr>
        <w:t xml:space="preserve"> sharing and a credible privacy and security framework. (Alkaabi and </w:t>
      </w:r>
      <w:proofErr w:type="spellStart"/>
      <w:r>
        <w:rPr>
          <w:rFonts w:ascii="Times New Roman" w:hAnsi="Times New Roman" w:cs="Times New Roman"/>
          <w:sz w:val="24"/>
          <w:szCs w:val="24"/>
        </w:rPr>
        <w:t>Elsori</w:t>
      </w:r>
      <w:proofErr w:type="spellEnd"/>
      <w:r>
        <w:rPr>
          <w:rFonts w:ascii="Times New Roman" w:hAnsi="Times New Roman" w:cs="Times New Roman"/>
          <w:sz w:val="24"/>
          <w:szCs w:val="24"/>
        </w:rPr>
        <w:t>, 2025)</w:t>
      </w:r>
    </w:p>
    <w:p w14:paraId="7D10AD4E"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Key recurring themes in the UAE evidence base include data protection, governance, and trust.</w:t>
      </w:r>
    </w:p>
    <w:p w14:paraId="7D10AD4F" w14:textId="77777777" w:rsidR="002C36C5" w:rsidRDefault="002C36C5">
      <w:pPr>
        <w:spacing w:line="480" w:lineRule="auto"/>
        <w:jc w:val="both"/>
        <w:rPr>
          <w:rFonts w:ascii="Times New Roman" w:hAnsi="Times New Roman" w:cs="Times New Roman"/>
          <w:sz w:val="24"/>
          <w:szCs w:val="24"/>
        </w:rPr>
      </w:pPr>
    </w:p>
    <w:p w14:paraId="7D10AD50"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Barriers to interoperability: competing perspectives (Slide 13)</w:t>
      </w:r>
    </w:p>
    <w:p w14:paraId="7D10AD51"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Prior research presents competing perspectives on why interoperability benefits are often uneven. A technical readiness perspective </w:t>
      </w:r>
      <w:proofErr w:type="spellStart"/>
      <w:r>
        <w:rPr>
          <w:rFonts w:ascii="Times New Roman" w:hAnsi="Times New Roman" w:cs="Times New Roman"/>
          <w:sz w:val="24"/>
          <w:szCs w:val="24"/>
        </w:rPr>
        <w:t>emphasises</w:t>
      </w:r>
      <w:proofErr w:type="spellEnd"/>
      <w:r>
        <w:rPr>
          <w:rFonts w:ascii="Times New Roman" w:hAnsi="Times New Roman" w:cs="Times New Roman"/>
          <w:sz w:val="24"/>
          <w:szCs w:val="24"/>
        </w:rPr>
        <w:t xml:space="preserve"> standards alignment, semantic consistency, and data quality as the primary constraints, arguing that poor data and incompatible systems limit clinical usefulness. An </w:t>
      </w:r>
      <w:proofErr w:type="spellStart"/>
      <w:r>
        <w:rPr>
          <w:rFonts w:ascii="Times New Roman" w:hAnsi="Times New Roman" w:cs="Times New Roman"/>
          <w:sz w:val="24"/>
          <w:szCs w:val="24"/>
        </w:rPr>
        <w:t>organisational</w:t>
      </w:r>
      <w:proofErr w:type="spellEnd"/>
      <w:r>
        <w:rPr>
          <w:rFonts w:ascii="Times New Roman" w:hAnsi="Times New Roman" w:cs="Times New Roman"/>
          <w:sz w:val="24"/>
          <w:szCs w:val="24"/>
        </w:rPr>
        <w:t xml:space="preserve"> readiness perspective argues that leadership support, training, workflow integration, and incentives determine whether interoperability is used meaningfully, even when it is technically available. A trust and governance perspective </w:t>
      </w:r>
      <w:proofErr w:type="spellStart"/>
      <w:r>
        <w:rPr>
          <w:rFonts w:ascii="Times New Roman" w:hAnsi="Times New Roman" w:cs="Times New Roman"/>
          <w:sz w:val="24"/>
          <w:szCs w:val="24"/>
        </w:rPr>
        <w:t>emphasises</w:t>
      </w:r>
      <w:proofErr w:type="spellEnd"/>
      <w:r>
        <w:rPr>
          <w:rFonts w:ascii="Times New Roman" w:hAnsi="Times New Roman" w:cs="Times New Roman"/>
          <w:sz w:val="24"/>
          <w:szCs w:val="24"/>
        </w:rPr>
        <w:t xml:space="preserve"> privacy, consent, accountability, and perceived legitimacy, arguing that weak governance can suppress use and undermine data sharing across </w:t>
      </w:r>
      <w:proofErr w:type="spellStart"/>
      <w:r>
        <w:rPr>
          <w:rFonts w:ascii="Times New Roman" w:hAnsi="Times New Roman" w:cs="Times New Roman"/>
          <w:sz w:val="24"/>
          <w:szCs w:val="24"/>
        </w:rPr>
        <w:t>organisations</w:t>
      </w:r>
      <w:proofErr w:type="spellEnd"/>
      <w:r>
        <w:rPr>
          <w:rFonts w:ascii="Times New Roman" w:hAnsi="Times New Roman" w:cs="Times New Roman"/>
          <w:sz w:val="24"/>
          <w:szCs w:val="24"/>
        </w:rPr>
        <w:t xml:space="preserve">. This proposal increases critical depth by explicitly comparing these perspectives and testing which barriers best explain variation in </w:t>
      </w:r>
      <w:proofErr w:type="spellStart"/>
      <w:r>
        <w:rPr>
          <w:rFonts w:ascii="Times New Roman" w:hAnsi="Times New Roman" w:cs="Times New Roman"/>
          <w:sz w:val="24"/>
          <w:szCs w:val="24"/>
        </w:rPr>
        <w:t>realised</w:t>
      </w:r>
      <w:proofErr w:type="spellEnd"/>
      <w:r>
        <w:rPr>
          <w:rFonts w:ascii="Times New Roman" w:hAnsi="Times New Roman" w:cs="Times New Roman"/>
          <w:sz w:val="24"/>
          <w:szCs w:val="24"/>
        </w:rPr>
        <w:t xml:space="preserve"> outcomes after integration.</w:t>
      </w:r>
    </w:p>
    <w:p w14:paraId="7D10AD52" w14:textId="77777777" w:rsidR="002C36C5" w:rsidRDefault="002C36C5">
      <w:pPr>
        <w:spacing w:line="480" w:lineRule="auto"/>
        <w:jc w:val="both"/>
        <w:rPr>
          <w:rFonts w:ascii="Times New Roman" w:hAnsi="Times New Roman" w:cs="Times New Roman"/>
          <w:sz w:val="24"/>
          <w:szCs w:val="24"/>
        </w:rPr>
      </w:pPr>
    </w:p>
    <w:p w14:paraId="7D10AD53" w14:textId="77777777" w:rsidR="002C36C5" w:rsidRDefault="002C36C5">
      <w:pPr>
        <w:spacing w:line="480" w:lineRule="auto"/>
        <w:jc w:val="both"/>
        <w:rPr>
          <w:rFonts w:ascii="Times New Roman" w:hAnsi="Times New Roman" w:cs="Times New Roman"/>
          <w:sz w:val="24"/>
          <w:szCs w:val="24"/>
        </w:rPr>
      </w:pPr>
    </w:p>
    <w:p w14:paraId="7D10AD54" w14:textId="77777777" w:rsidR="002C36C5" w:rsidRDefault="002C36C5">
      <w:pPr>
        <w:spacing w:line="480" w:lineRule="auto"/>
        <w:jc w:val="both"/>
        <w:rPr>
          <w:rFonts w:ascii="Times New Roman" w:hAnsi="Times New Roman" w:cs="Times New Roman"/>
          <w:sz w:val="24"/>
          <w:szCs w:val="24"/>
        </w:rPr>
      </w:pPr>
    </w:p>
    <w:p w14:paraId="7D10AD55" w14:textId="77777777" w:rsidR="002C36C5" w:rsidRDefault="00000000">
      <w:pPr>
        <w:spacing w:line="480" w:lineRule="auto"/>
        <w:jc w:val="both"/>
        <w:rPr>
          <w:rFonts w:ascii="Times New Roman" w:hAnsi="Times New Roman" w:cs="Times New Roman"/>
          <w:b/>
          <w:bCs/>
          <w:sz w:val="24"/>
          <w:szCs w:val="24"/>
        </w:rPr>
      </w:pPr>
      <w:proofErr w:type="spellStart"/>
      <w:r>
        <w:rPr>
          <w:rFonts w:ascii="Times New Roman" w:hAnsi="Times New Roman" w:cs="Times New Roman"/>
          <w:b/>
          <w:bCs/>
          <w:sz w:val="24"/>
          <w:szCs w:val="24"/>
        </w:rPr>
        <w:t>Operationalising</w:t>
      </w:r>
      <w:proofErr w:type="spellEnd"/>
      <w:r>
        <w:rPr>
          <w:rFonts w:ascii="Times New Roman" w:hAnsi="Times New Roman" w:cs="Times New Roman"/>
          <w:b/>
          <w:bCs/>
          <w:sz w:val="24"/>
          <w:szCs w:val="24"/>
        </w:rPr>
        <w:t xml:space="preserve"> barriers and strengthening synthesis (Slide 14)</w:t>
      </w:r>
    </w:p>
    <w:p w14:paraId="7D10AD56"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Analytically, the quantitative strand will estimate average effects and heterogeneity by </w:t>
      </w:r>
      <w:proofErr w:type="spellStart"/>
      <w:r>
        <w:rPr>
          <w:rFonts w:ascii="Times New Roman" w:hAnsi="Times New Roman" w:cs="Times New Roman"/>
          <w:sz w:val="24"/>
          <w:szCs w:val="24"/>
        </w:rPr>
        <w:t>organisation</w:t>
      </w:r>
      <w:proofErr w:type="spellEnd"/>
      <w:r>
        <w:rPr>
          <w:rFonts w:ascii="Times New Roman" w:hAnsi="Times New Roman" w:cs="Times New Roman"/>
          <w:sz w:val="24"/>
          <w:szCs w:val="24"/>
        </w:rPr>
        <w:t xml:space="preserve">, specialty, and </w:t>
      </w:r>
      <w:proofErr w:type="spellStart"/>
      <w:r>
        <w:rPr>
          <w:rFonts w:ascii="Times New Roman" w:hAnsi="Times New Roman" w:cs="Times New Roman"/>
          <w:sz w:val="24"/>
          <w:szCs w:val="24"/>
        </w:rPr>
        <w:t>utilisation</w:t>
      </w:r>
      <w:proofErr w:type="spellEnd"/>
      <w:r>
        <w:rPr>
          <w:rFonts w:ascii="Times New Roman" w:hAnsi="Times New Roman" w:cs="Times New Roman"/>
          <w:sz w:val="24"/>
          <w:szCs w:val="24"/>
        </w:rPr>
        <w:t xml:space="preserve"> intensity of exchange functions. The qualitative strand will then examine how technical readiness (for example, data completeness and record timeliness), </w:t>
      </w:r>
      <w:proofErr w:type="spellStart"/>
      <w:r>
        <w:rPr>
          <w:rFonts w:ascii="Times New Roman" w:hAnsi="Times New Roman" w:cs="Times New Roman"/>
          <w:sz w:val="24"/>
          <w:szCs w:val="24"/>
        </w:rPr>
        <w:t>organisational</w:t>
      </w:r>
      <w:proofErr w:type="spellEnd"/>
      <w:r>
        <w:rPr>
          <w:rFonts w:ascii="Times New Roman" w:hAnsi="Times New Roman" w:cs="Times New Roman"/>
          <w:sz w:val="24"/>
          <w:szCs w:val="24"/>
        </w:rPr>
        <w:t xml:space="preserve"> readiness (for example, training and workflow fit), and trust and governance (for example, confidence in data provenance and consent practices) shape use and outcomes. The most important contribution to the mixed-methods synthesis will be a joint interpretation that maps the observed heterogeneity in effect sizes to these socio-technical mechanisms, thereby distinguishing ‘integration available’ from ‘integration used’.</w:t>
      </w:r>
    </w:p>
    <w:p w14:paraId="7D10AD57" w14:textId="77777777" w:rsidR="002C36C5" w:rsidRDefault="002C36C5">
      <w:pPr>
        <w:spacing w:line="480" w:lineRule="auto"/>
        <w:jc w:val="both"/>
        <w:rPr>
          <w:rFonts w:ascii="Times New Roman" w:hAnsi="Times New Roman" w:cs="Times New Roman"/>
          <w:sz w:val="24"/>
          <w:szCs w:val="24"/>
        </w:rPr>
      </w:pPr>
    </w:p>
    <w:p w14:paraId="7D10AD58"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Methodology overview (Slide 15)</w:t>
      </w:r>
    </w:p>
    <w:p w14:paraId="7D10AD59"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Methodologically, I propose a convergent mixed-methods design, integrating quantitative quasi-experimental evaluation with qualitative inquiry. The quantitative strand will use difference-in-differences and interrupted time series analyses over monthly panels across at least twenty-four months spanning the period of national integration announcements in January 2023. The analysis will compare outcomes in </w:t>
      </w:r>
      <w:proofErr w:type="spellStart"/>
      <w:r>
        <w:rPr>
          <w:rFonts w:ascii="Times New Roman" w:hAnsi="Times New Roman" w:cs="Times New Roman"/>
          <w:sz w:val="24"/>
          <w:szCs w:val="24"/>
        </w:rPr>
        <w:t>organisations</w:t>
      </w:r>
      <w:proofErr w:type="spellEnd"/>
      <w:r>
        <w:rPr>
          <w:rFonts w:ascii="Times New Roman" w:hAnsi="Times New Roman" w:cs="Times New Roman"/>
          <w:sz w:val="24"/>
          <w:szCs w:val="24"/>
        </w:rPr>
        <w:t xml:space="preserve"> with earlier versus later effective integration or with higher versus lower </w:t>
      </w:r>
      <w:proofErr w:type="spellStart"/>
      <w:r>
        <w:rPr>
          <w:rFonts w:ascii="Times New Roman" w:hAnsi="Times New Roman" w:cs="Times New Roman"/>
          <w:sz w:val="24"/>
          <w:szCs w:val="24"/>
        </w:rPr>
        <w:t>utilisation</w:t>
      </w:r>
      <w:proofErr w:type="spellEnd"/>
      <w:r>
        <w:rPr>
          <w:rFonts w:ascii="Times New Roman" w:hAnsi="Times New Roman" w:cs="Times New Roman"/>
          <w:sz w:val="24"/>
          <w:szCs w:val="24"/>
        </w:rPr>
        <w:t xml:space="preserve"> intensity, enabling estimation of integration-associated changes beyond background trends. (Department of Health – Abu Dhabi, 2023; WAM, 2023)</w:t>
      </w:r>
    </w:p>
    <w:p w14:paraId="7D10AD5A"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The quantitative strand will estimate the integration-associated changes in outcomes.</w:t>
      </w:r>
    </w:p>
    <w:p w14:paraId="7D10AD5B" w14:textId="77777777" w:rsidR="002C36C5" w:rsidRDefault="00000000">
      <w:pPr>
        <w:numPr>
          <w:ilvl w:val="0"/>
          <w:numId w:val="1"/>
        </w:num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It will use difference-in-differences and interrupted time series analyses.</w:t>
      </w:r>
    </w:p>
    <w:p w14:paraId="7D10AD5C" w14:textId="77777777" w:rsidR="002C36C5" w:rsidRDefault="002C36C5">
      <w:pPr>
        <w:spacing w:line="480" w:lineRule="auto"/>
        <w:jc w:val="both"/>
        <w:rPr>
          <w:rFonts w:ascii="Times New Roman" w:hAnsi="Times New Roman" w:cs="Times New Roman"/>
          <w:sz w:val="24"/>
          <w:szCs w:val="24"/>
        </w:rPr>
      </w:pPr>
    </w:p>
    <w:p w14:paraId="7D10AD5D"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The qualitative strand will explain mechanisms, barriers, and enablers of effective use.</w:t>
      </w:r>
    </w:p>
    <w:p w14:paraId="7D10AD5E" w14:textId="77777777" w:rsidR="002C36C5" w:rsidRDefault="00000000">
      <w:pPr>
        <w:numPr>
          <w:ilvl w:val="0"/>
          <w:numId w:val="2"/>
        </w:numPr>
        <w:spacing w:line="480" w:lineRule="auto"/>
        <w:jc w:val="both"/>
        <w:rPr>
          <w:rFonts w:ascii="Times New Roman" w:hAnsi="Times New Roman" w:cs="Times New Roman"/>
          <w:sz w:val="24"/>
          <w:szCs w:val="24"/>
        </w:rPr>
      </w:pPr>
      <w:r>
        <w:rPr>
          <w:rFonts w:ascii="Times New Roman" w:hAnsi="Times New Roman" w:cs="Times New Roman"/>
          <w:sz w:val="24"/>
          <w:szCs w:val="24"/>
        </w:rPr>
        <w:t>Data will be collected through semi-structured interviews and focus groups.</w:t>
      </w:r>
    </w:p>
    <w:p w14:paraId="7D10AD5F"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Findings will be integrated using a convergent mixed-methods design.</w:t>
      </w:r>
    </w:p>
    <w:p w14:paraId="7D10AD60" w14:textId="77777777" w:rsidR="002C36C5" w:rsidRDefault="00000000">
      <w:pPr>
        <w:numPr>
          <w:ilvl w:val="0"/>
          <w:numId w:val="3"/>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 joint interpretation will explain heterogeneity across </w:t>
      </w:r>
      <w:proofErr w:type="spellStart"/>
      <w:r>
        <w:rPr>
          <w:rFonts w:ascii="Times New Roman" w:hAnsi="Times New Roman" w:cs="Times New Roman"/>
          <w:sz w:val="24"/>
          <w:szCs w:val="24"/>
        </w:rPr>
        <w:t>organisations</w:t>
      </w:r>
      <w:proofErr w:type="spellEnd"/>
      <w:r>
        <w:rPr>
          <w:rFonts w:ascii="Times New Roman" w:hAnsi="Times New Roman" w:cs="Times New Roman"/>
          <w:sz w:val="24"/>
          <w:szCs w:val="24"/>
        </w:rPr>
        <w:t xml:space="preserve"> and time.</w:t>
      </w:r>
    </w:p>
    <w:p w14:paraId="7D10AD61" w14:textId="77777777" w:rsidR="002C36C5" w:rsidRDefault="002C36C5">
      <w:pPr>
        <w:spacing w:line="480" w:lineRule="auto"/>
        <w:jc w:val="both"/>
        <w:rPr>
          <w:rFonts w:ascii="Times New Roman" w:hAnsi="Times New Roman" w:cs="Times New Roman"/>
          <w:sz w:val="24"/>
          <w:szCs w:val="24"/>
        </w:rPr>
      </w:pPr>
    </w:p>
    <w:p w14:paraId="7D10AD62"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Priority for mixed-methods synthesis (Slide 16)</w:t>
      </w:r>
    </w:p>
    <w:p w14:paraId="7D10AD63"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When </w:t>
      </w:r>
      <w:proofErr w:type="spellStart"/>
      <w:r>
        <w:rPr>
          <w:rFonts w:ascii="Times New Roman" w:hAnsi="Times New Roman" w:cs="Times New Roman"/>
          <w:sz w:val="24"/>
          <w:szCs w:val="24"/>
        </w:rPr>
        <w:t>synthesising</w:t>
      </w:r>
      <w:proofErr w:type="spellEnd"/>
      <w:r>
        <w:rPr>
          <w:rFonts w:ascii="Times New Roman" w:hAnsi="Times New Roman" w:cs="Times New Roman"/>
          <w:sz w:val="24"/>
          <w:szCs w:val="24"/>
        </w:rPr>
        <w:t xml:space="preserve"> quantitative and qualitative evidence, the most important analytic component will be the explanation of heterogeneity in quantitative estimates. Specifically, I will </w:t>
      </w:r>
      <w:proofErr w:type="spellStart"/>
      <w:r>
        <w:rPr>
          <w:rFonts w:ascii="Times New Roman" w:hAnsi="Times New Roman" w:cs="Times New Roman"/>
          <w:sz w:val="24"/>
          <w:szCs w:val="24"/>
        </w:rPr>
        <w:t>prioritise</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i</w:t>
      </w:r>
      <w:proofErr w:type="spellEnd"/>
      <w:r>
        <w:rPr>
          <w:rFonts w:ascii="Times New Roman" w:hAnsi="Times New Roman" w:cs="Times New Roman"/>
          <w:sz w:val="24"/>
          <w:szCs w:val="24"/>
        </w:rPr>
        <w:t xml:space="preserve">) estimating effect sizes for continuity, safety, and efficiency outcomes alongside measures of HIE </w:t>
      </w:r>
      <w:proofErr w:type="spellStart"/>
      <w:r>
        <w:rPr>
          <w:rFonts w:ascii="Times New Roman" w:hAnsi="Times New Roman" w:cs="Times New Roman"/>
          <w:sz w:val="24"/>
          <w:szCs w:val="24"/>
        </w:rPr>
        <w:t>utilisation</w:t>
      </w:r>
      <w:proofErr w:type="spellEnd"/>
      <w:r>
        <w:rPr>
          <w:rFonts w:ascii="Times New Roman" w:hAnsi="Times New Roman" w:cs="Times New Roman"/>
          <w:sz w:val="24"/>
          <w:szCs w:val="24"/>
        </w:rPr>
        <w:t xml:space="preserve"> intensity, and (ii) using qualitative findings to explain why similar technical integration produces different patterns of use across settings. The synthesis will be presented through joint displays that align outcome changes, usage patterns, and thematic mechanisms. This approach will support credible interpretation of causal estimates and generate actionable recommendations for governance and implementation.</w:t>
      </w:r>
    </w:p>
    <w:p w14:paraId="7D10AD64" w14:textId="77777777" w:rsidR="002C36C5" w:rsidRDefault="002C36C5">
      <w:pPr>
        <w:spacing w:line="480" w:lineRule="auto"/>
        <w:jc w:val="both"/>
        <w:rPr>
          <w:rFonts w:ascii="Times New Roman" w:hAnsi="Times New Roman" w:cs="Times New Roman"/>
          <w:sz w:val="24"/>
          <w:szCs w:val="24"/>
        </w:rPr>
      </w:pPr>
    </w:p>
    <w:p w14:paraId="7D10AD65"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Quantitative strand: data and outcomes (Slide 17)</w:t>
      </w:r>
    </w:p>
    <w:p w14:paraId="7D10AD66"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quantitative data will comprise de-identified extracts from participating </w:t>
      </w:r>
      <w:proofErr w:type="spellStart"/>
      <w:r>
        <w:rPr>
          <w:rFonts w:ascii="Times New Roman" w:hAnsi="Times New Roman" w:cs="Times New Roman"/>
          <w:sz w:val="24"/>
          <w:szCs w:val="24"/>
        </w:rPr>
        <w:t>organisations</w:t>
      </w:r>
      <w:proofErr w:type="spellEnd"/>
      <w:r>
        <w:rPr>
          <w:rFonts w:ascii="Times New Roman" w:hAnsi="Times New Roman" w:cs="Times New Roman"/>
          <w:sz w:val="24"/>
          <w:szCs w:val="24"/>
        </w:rPr>
        <w:t xml:space="preserve">, including encounter data, diagnostic orders, medication orders, and HIE query or access logs. The </w:t>
      </w:r>
      <w:proofErr w:type="gramStart"/>
      <w:r>
        <w:rPr>
          <w:rFonts w:ascii="Times New Roman" w:hAnsi="Times New Roman" w:cs="Times New Roman"/>
          <w:sz w:val="24"/>
          <w:szCs w:val="24"/>
        </w:rPr>
        <w:t>primary outcome</w:t>
      </w:r>
      <w:proofErr w:type="gramEnd"/>
      <w:r>
        <w:rPr>
          <w:rFonts w:ascii="Times New Roman" w:hAnsi="Times New Roman" w:cs="Times New Roman"/>
          <w:sz w:val="24"/>
          <w:szCs w:val="24"/>
        </w:rPr>
        <w:t xml:space="preserve"> measures will be the rate of repeated laboratory tests and imaging </w:t>
      </w:r>
      <w:r>
        <w:rPr>
          <w:rFonts w:ascii="Times New Roman" w:hAnsi="Times New Roman" w:cs="Times New Roman"/>
          <w:sz w:val="24"/>
          <w:szCs w:val="24"/>
        </w:rPr>
        <w:lastRenderedPageBreak/>
        <w:t>within thirty days across different providers, emergency re-attendance within seventy-two hours, and thirty-day readmission. Where available, proxy safety indicators will include medication reconciliation discrepancies or duplicate prescribing flags. (</w:t>
      </w:r>
      <w:proofErr w:type="spellStart"/>
      <w:r>
        <w:rPr>
          <w:rFonts w:ascii="Times New Roman" w:hAnsi="Times New Roman" w:cs="Times New Roman"/>
          <w:sz w:val="24"/>
          <w:szCs w:val="24"/>
        </w:rPr>
        <w:t>Menachemi</w:t>
      </w:r>
      <w:proofErr w:type="spellEnd"/>
      <w:r>
        <w:rPr>
          <w:rFonts w:ascii="Times New Roman" w:hAnsi="Times New Roman" w:cs="Times New Roman"/>
          <w:sz w:val="24"/>
          <w:szCs w:val="24"/>
        </w:rPr>
        <w:t xml:space="preserve"> and Collum, 2011; Hong et al., 2018)</w:t>
      </w:r>
    </w:p>
    <w:p w14:paraId="7D10AD67"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analytic models will include </w:t>
      </w:r>
      <w:proofErr w:type="spellStart"/>
      <w:r>
        <w:rPr>
          <w:rFonts w:ascii="Times New Roman" w:hAnsi="Times New Roman" w:cs="Times New Roman"/>
          <w:sz w:val="24"/>
          <w:szCs w:val="24"/>
        </w:rPr>
        <w:t>organisation</w:t>
      </w:r>
      <w:proofErr w:type="spellEnd"/>
      <w:r>
        <w:rPr>
          <w:rFonts w:ascii="Times New Roman" w:hAnsi="Times New Roman" w:cs="Times New Roman"/>
          <w:sz w:val="24"/>
          <w:szCs w:val="24"/>
        </w:rPr>
        <w:t xml:space="preserve"> and time fixed effects, adjustment for seasonality and observable confounders, and sensitivity analysis using propensity-score weighting where feasible. (</w:t>
      </w:r>
      <w:proofErr w:type="spellStart"/>
      <w:r>
        <w:rPr>
          <w:rFonts w:ascii="Times New Roman" w:hAnsi="Times New Roman" w:cs="Times New Roman"/>
          <w:sz w:val="24"/>
          <w:szCs w:val="24"/>
        </w:rPr>
        <w:t>Menachemi</w:t>
      </w:r>
      <w:proofErr w:type="spellEnd"/>
      <w:r>
        <w:rPr>
          <w:rFonts w:ascii="Times New Roman" w:hAnsi="Times New Roman" w:cs="Times New Roman"/>
          <w:sz w:val="24"/>
          <w:szCs w:val="24"/>
        </w:rPr>
        <w:t xml:space="preserve"> and Collum, 2011; Hong et al., 2018)</w:t>
      </w:r>
    </w:p>
    <w:p w14:paraId="7D10AD68" w14:textId="77777777" w:rsidR="002C36C5" w:rsidRDefault="002C36C5">
      <w:pPr>
        <w:spacing w:line="480" w:lineRule="auto"/>
        <w:jc w:val="both"/>
        <w:rPr>
          <w:rFonts w:ascii="Times New Roman" w:hAnsi="Times New Roman" w:cs="Times New Roman"/>
          <w:sz w:val="24"/>
          <w:szCs w:val="24"/>
        </w:rPr>
      </w:pPr>
    </w:p>
    <w:p w14:paraId="7D10AD69"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Qualitative strand (Slide 18)</w:t>
      </w:r>
    </w:p>
    <w:p w14:paraId="7D10AD6A"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The qualitative strand will use semi-structured interviews and focus groups with clinicians, informatics leads and governance stakeholders across Dubai and Abu Dhabi, as well as a small patient sample who have experienced cross-emirate care transitions. The purpose is to understand how HIE integration is used in practice, which information is trusted, how workflows change, and how privacy concerns are managed. Reflexive thematic analysis will be conducted, mapping emergent themes to established socio-technical constructs such as effort expectancy, facilitating conditions and trust, thereby providing explanatory leverage for quantitative heterogeneity. (Alkaabi and </w:t>
      </w:r>
      <w:proofErr w:type="spellStart"/>
      <w:r>
        <w:rPr>
          <w:rFonts w:ascii="Times New Roman" w:hAnsi="Times New Roman" w:cs="Times New Roman"/>
          <w:sz w:val="24"/>
          <w:szCs w:val="24"/>
        </w:rPr>
        <w:t>Elsori</w:t>
      </w:r>
      <w:proofErr w:type="spellEnd"/>
      <w:r>
        <w:rPr>
          <w:rFonts w:ascii="Times New Roman" w:hAnsi="Times New Roman" w:cs="Times New Roman"/>
          <w:sz w:val="24"/>
          <w:szCs w:val="24"/>
        </w:rPr>
        <w:t xml:space="preserve">, 2025; </w:t>
      </w:r>
      <w:proofErr w:type="spellStart"/>
      <w:r>
        <w:rPr>
          <w:rFonts w:ascii="Times New Roman" w:hAnsi="Times New Roman" w:cs="Times New Roman"/>
          <w:sz w:val="24"/>
          <w:szCs w:val="24"/>
        </w:rPr>
        <w:t>Almarzouqi</w:t>
      </w:r>
      <w:proofErr w:type="spellEnd"/>
      <w:r>
        <w:rPr>
          <w:rFonts w:ascii="Times New Roman" w:hAnsi="Times New Roman" w:cs="Times New Roman"/>
          <w:sz w:val="24"/>
          <w:szCs w:val="24"/>
        </w:rPr>
        <w:t xml:space="preserve"> et al., 2022)</w:t>
      </w:r>
    </w:p>
    <w:p w14:paraId="7D10AD6B" w14:textId="77777777" w:rsidR="002C36C5" w:rsidRDefault="002C36C5">
      <w:pPr>
        <w:spacing w:line="480" w:lineRule="auto"/>
        <w:jc w:val="both"/>
        <w:rPr>
          <w:rFonts w:ascii="Times New Roman" w:hAnsi="Times New Roman" w:cs="Times New Roman"/>
          <w:sz w:val="24"/>
          <w:szCs w:val="24"/>
        </w:rPr>
      </w:pPr>
    </w:p>
    <w:p w14:paraId="7D10AD6C"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Computing artefact (Slide 19)</w:t>
      </w:r>
    </w:p>
    <w:p w14:paraId="7D10AD6D"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A key computing contribution of this proposal is the creation of an artefact: an Interoperability and Data Quality Dashboard. This prototype will calculate and </w:t>
      </w:r>
      <w:proofErr w:type="spellStart"/>
      <w:r>
        <w:rPr>
          <w:rFonts w:ascii="Times New Roman" w:hAnsi="Times New Roman" w:cs="Times New Roman"/>
          <w:sz w:val="24"/>
          <w:szCs w:val="24"/>
        </w:rPr>
        <w:t>visualise</w:t>
      </w:r>
      <w:proofErr w:type="spellEnd"/>
      <w:r>
        <w:rPr>
          <w:rFonts w:ascii="Times New Roman" w:hAnsi="Times New Roman" w:cs="Times New Roman"/>
          <w:sz w:val="24"/>
          <w:szCs w:val="24"/>
        </w:rPr>
        <w:t xml:space="preserve"> indicators such as completeness of critical clinical data fields, timeliness of record availability, and concordance between local records and exchanged summaries. It is designed </w:t>
      </w:r>
      <w:r>
        <w:rPr>
          <w:rFonts w:ascii="Times New Roman" w:hAnsi="Times New Roman" w:cs="Times New Roman"/>
          <w:sz w:val="24"/>
          <w:szCs w:val="24"/>
        </w:rPr>
        <w:lastRenderedPageBreak/>
        <w:t>as a practical tool that can be used by digital health governance teams to identify improvement opportunities, monitor integration performance and communicate progress to stakeholders. The artefact will be developed iteratively using user-</w:t>
      </w:r>
      <w:proofErr w:type="spellStart"/>
      <w:r>
        <w:rPr>
          <w:rFonts w:ascii="Times New Roman" w:hAnsi="Times New Roman" w:cs="Times New Roman"/>
          <w:sz w:val="24"/>
          <w:szCs w:val="24"/>
        </w:rPr>
        <w:t>centred</w:t>
      </w:r>
      <w:proofErr w:type="spellEnd"/>
      <w:r>
        <w:rPr>
          <w:rFonts w:ascii="Times New Roman" w:hAnsi="Times New Roman" w:cs="Times New Roman"/>
          <w:sz w:val="24"/>
          <w:szCs w:val="24"/>
        </w:rPr>
        <w:t xml:space="preserve"> </w:t>
      </w:r>
      <w:proofErr w:type="gramStart"/>
      <w:r>
        <w:rPr>
          <w:rFonts w:ascii="Times New Roman" w:hAnsi="Times New Roman" w:cs="Times New Roman"/>
          <w:sz w:val="24"/>
          <w:szCs w:val="24"/>
        </w:rPr>
        <w:t>methods, and</w:t>
      </w:r>
      <w:proofErr w:type="gramEnd"/>
      <w:r>
        <w:rPr>
          <w:rFonts w:ascii="Times New Roman" w:hAnsi="Times New Roman" w:cs="Times New Roman"/>
          <w:sz w:val="24"/>
          <w:szCs w:val="24"/>
        </w:rPr>
        <w:t xml:space="preserve"> evaluated for technical validity and perceived usefulness through structured stakeholder feedback, drawing on IS acceptance constructs. (NABIDH, 2025; Department of Health – Abu Dhabi, 2019; </w:t>
      </w:r>
      <w:proofErr w:type="spellStart"/>
      <w:r>
        <w:rPr>
          <w:rFonts w:ascii="Times New Roman" w:hAnsi="Times New Roman" w:cs="Times New Roman"/>
          <w:sz w:val="24"/>
          <w:szCs w:val="24"/>
        </w:rPr>
        <w:t>Almarzouqi</w:t>
      </w:r>
      <w:proofErr w:type="spellEnd"/>
      <w:r>
        <w:rPr>
          <w:rFonts w:ascii="Times New Roman" w:hAnsi="Times New Roman" w:cs="Times New Roman"/>
          <w:sz w:val="24"/>
          <w:szCs w:val="24"/>
        </w:rPr>
        <w:t xml:space="preserve"> et al., 2022)</w:t>
      </w:r>
    </w:p>
    <w:p w14:paraId="7D10AD6E" w14:textId="77777777" w:rsidR="002C36C5" w:rsidRDefault="00000000">
      <w:pPr>
        <w:numPr>
          <w:ilvl w:val="0"/>
          <w:numId w:val="4"/>
        </w:numPr>
        <w:spacing w:line="480" w:lineRule="auto"/>
        <w:jc w:val="both"/>
        <w:rPr>
          <w:rFonts w:ascii="Times New Roman" w:hAnsi="Times New Roman" w:cs="Times New Roman"/>
          <w:sz w:val="24"/>
          <w:szCs w:val="24"/>
        </w:rPr>
      </w:pPr>
      <w:r>
        <w:rPr>
          <w:rFonts w:ascii="Times New Roman" w:hAnsi="Times New Roman" w:cs="Times New Roman"/>
          <w:sz w:val="24"/>
          <w:szCs w:val="24"/>
        </w:rPr>
        <w:t>It will measure the completeness of critical clinical data fields.</w:t>
      </w:r>
    </w:p>
    <w:p w14:paraId="7D10AD6F" w14:textId="77777777" w:rsidR="002C36C5" w:rsidRDefault="00000000">
      <w:pPr>
        <w:numPr>
          <w:ilvl w:val="0"/>
          <w:numId w:val="5"/>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It will assess the timeliness of record availability across </w:t>
      </w:r>
      <w:proofErr w:type="spellStart"/>
      <w:r>
        <w:rPr>
          <w:rFonts w:ascii="Times New Roman" w:hAnsi="Times New Roman" w:cs="Times New Roman"/>
          <w:sz w:val="24"/>
          <w:szCs w:val="24"/>
        </w:rPr>
        <w:t>organisations</w:t>
      </w:r>
      <w:proofErr w:type="spellEnd"/>
      <w:r>
        <w:rPr>
          <w:rFonts w:ascii="Times New Roman" w:hAnsi="Times New Roman" w:cs="Times New Roman"/>
          <w:sz w:val="24"/>
          <w:szCs w:val="24"/>
        </w:rPr>
        <w:t>.</w:t>
      </w:r>
    </w:p>
    <w:p w14:paraId="7D10AD70" w14:textId="77777777" w:rsidR="002C36C5" w:rsidRDefault="00000000">
      <w:pPr>
        <w:numPr>
          <w:ilvl w:val="0"/>
          <w:numId w:val="6"/>
        </w:numPr>
        <w:spacing w:line="480" w:lineRule="auto"/>
        <w:jc w:val="both"/>
        <w:rPr>
          <w:rFonts w:ascii="Times New Roman" w:hAnsi="Times New Roman" w:cs="Times New Roman"/>
          <w:sz w:val="24"/>
          <w:szCs w:val="24"/>
        </w:rPr>
      </w:pPr>
      <w:r>
        <w:rPr>
          <w:rFonts w:ascii="Times New Roman" w:hAnsi="Times New Roman" w:cs="Times New Roman"/>
          <w:sz w:val="24"/>
          <w:szCs w:val="24"/>
        </w:rPr>
        <w:t>It will examine concordance between local records and exchanged summaries.</w:t>
      </w:r>
    </w:p>
    <w:p w14:paraId="7D10AD71" w14:textId="77777777" w:rsidR="002C36C5" w:rsidRDefault="002C36C5">
      <w:pPr>
        <w:spacing w:line="480" w:lineRule="auto"/>
        <w:jc w:val="both"/>
        <w:rPr>
          <w:rFonts w:ascii="Times New Roman" w:hAnsi="Times New Roman" w:cs="Times New Roman"/>
          <w:sz w:val="24"/>
          <w:szCs w:val="24"/>
        </w:rPr>
      </w:pPr>
    </w:p>
    <w:p w14:paraId="7D10AD72"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Ethics and data protection (Slide 20)</w:t>
      </w:r>
    </w:p>
    <w:p w14:paraId="7D10AD73"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Ethically, the proposal is grounded in data protection, confidentiality and </w:t>
      </w:r>
      <w:proofErr w:type="spellStart"/>
      <w:r>
        <w:rPr>
          <w:rFonts w:ascii="Times New Roman" w:hAnsi="Times New Roman" w:cs="Times New Roman"/>
          <w:sz w:val="24"/>
          <w:szCs w:val="24"/>
        </w:rPr>
        <w:t>minimising</w:t>
      </w:r>
      <w:proofErr w:type="spellEnd"/>
      <w:r>
        <w:rPr>
          <w:rFonts w:ascii="Times New Roman" w:hAnsi="Times New Roman" w:cs="Times New Roman"/>
          <w:sz w:val="24"/>
          <w:szCs w:val="24"/>
        </w:rPr>
        <w:t xml:space="preserve"> risk to participants. Quantitative datasets will be de-identified or </w:t>
      </w:r>
      <w:proofErr w:type="spellStart"/>
      <w:r>
        <w:rPr>
          <w:rFonts w:ascii="Times New Roman" w:hAnsi="Times New Roman" w:cs="Times New Roman"/>
          <w:sz w:val="24"/>
          <w:szCs w:val="24"/>
        </w:rPr>
        <w:t>pseudonymised</w:t>
      </w:r>
      <w:proofErr w:type="spellEnd"/>
      <w:r>
        <w:rPr>
          <w:rFonts w:ascii="Times New Roman" w:hAnsi="Times New Roman" w:cs="Times New Roman"/>
          <w:sz w:val="24"/>
          <w:szCs w:val="24"/>
        </w:rPr>
        <w:t xml:space="preserve">, with any re-identification key retained by the data controller. Interview participants will provide informed consent, and recruitment strategies will be designed to avoid coercion, particularly for patient participants. Data will be stored securely with encryption and controlled access, and reporting will use aggregated findings with </w:t>
      </w:r>
      <w:proofErr w:type="spellStart"/>
      <w:r>
        <w:rPr>
          <w:rFonts w:ascii="Times New Roman" w:hAnsi="Times New Roman" w:cs="Times New Roman"/>
          <w:sz w:val="24"/>
          <w:szCs w:val="24"/>
        </w:rPr>
        <w:t>anonymised</w:t>
      </w:r>
      <w:proofErr w:type="spellEnd"/>
      <w:r>
        <w:rPr>
          <w:rFonts w:ascii="Times New Roman" w:hAnsi="Times New Roman" w:cs="Times New Roman"/>
          <w:sz w:val="24"/>
          <w:szCs w:val="24"/>
        </w:rPr>
        <w:t xml:space="preserve"> quotations. These measures align with the need to sustain trust in digital health platforms, a theme that recurs in UAE qualitative evidence. (Dubai Health Authority, 2021; Department of Health – Abu Dhabi, 2023; Alkaabi and </w:t>
      </w:r>
      <w:proofErr w:type="spellStart"/>
      <w:r>
        <w:rPr>
          <w:rFonts w:ascii="Times New Roman" w:hAnsi="Times New Roman" w:cs="Times New Roman"/>
          <w:sz w:val="24"/>
          <w:szCs w:val="24"/>
        </w:rPr>
        <w:t>Elsori</w:t>
      </w:r>
      <w:proofErr w:type="spellEnd"/>
      <w:r>
        <w:rPr>
          <w:rFonts w:ascii="Times New Roman" w:hAnsi="Times New Roman" w:cs="Times New Roman"/>
          <w:sz w:val="24"/>
          <w:szCs w:val="24"/>
        </w:rPr>
        <w:t>, 2025)</w:t>
      </w:r>
    </w:p>
    <w:p w14:paraId="7D10AD74" w14:textId="77777777" w:rsidR="002C36C5" w:rsidRDefault="002C36C5">
      <w:pPr>
        <w:spacing w:line="480" w:lineRule="auto"/>
        <w:jc w:val="both"/>
        <w:rPr>
          <w:rFonts w:ascii="Times New Roman" w:hAnsi="Times New Roman" w:cs="Times New Roman"/>
          <w:sz w:val="24"/>
          <w:szCs w:val="24"/>
        </w:rPr>
      </w:pPr>
    </w:p>
    <w:p w14:paraId="7D10AD75"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Feasibility and planning (Slide 21)</w:t>
      </w:r>
    </w:p>
    <w:p w14:paraId="7D10AD76"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lastRenderedPageBreak/>
        <w:t xml:space="preserve">In terms of feasibility and planning, the work is structured </w:t>
      </w:r>
      <w:proofErr w:type="gramStart"/>
      <w:r>
        <w:rPr>
          <w:rFonts w:ascii="Times New Roman" w:hAnsi="Times New Roman" w:cs="Times New Roman"/>
          <w:sz w:val="24"/>
          <w:szCs w:val="24"/>
        </w:rPr>
        <w:t>across</w:t>
      </w:r>
      <w:proofErr w:type="gramEnd"/>
      <w:r>
        <w:rPr>
          <w:rFonts w:ascii="Times New Roman" w:hAnsi="Times New Roman" w:cs="Times New Roman"/>
          <w:sz w:val="24"/>
          <w:szCs w:val="24"/>
        </w:rPr>
        <w:t xml:space="preserve"> twenty-four weeks. Early weeks focus on governance arrangements and ethics. The middle period is devoted to data extraction, modelling, and parallel qualitative fieldwork. Artefact development overlaps with analysis so that early insights inform dashboard requirements. The final period integrates quantitative and qualitative findings and prepares the final outputs, including dissertation-style reporting and the narrated presentation artefacts. (Hong et al., 2018)</w:t>
      </w:r>
    </w:p>
    <w:p w14:paraId="7D10AD77" w14:textId="77777777" w:rsidR="002C36C5" w:rsidRDefault="002C36C5">
      <w:pPr>
        <w:spacing w:line="480" w:lineRule="auto"/>
        <w:jc w:val="both"/>
        <w:rPr>
          <w:rFonts w:ascii="Times New Roman" w:hAnsi="Times New Roman" w:cs="Times New Roman"/>
          <w:sz w:val="24"/>
          <w:szCs w:val="24"/>
        </w:rPr>
      </w:pPr>
    </w:p>
    <w:p w14:paraId="7D10AD78"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 xml:space="preserve">The full project is </w:t>
      </w:r>
      <w:proofErr w:type="gramStart"/>
      <w:r>
        <w:rPr>
          <w:rFonts w:ascii="Times New Roman" w:hAnsi="Times New Roman" w:cs="Times New Roman"/>
          <w:b/>
          <w:bCs/>
          <w:sz w:val="24"/>
          <w:szCs w:val="24"/>
        </w:rPr>
        <w:t>planned</w:t>
      </w:r>
      <w:proofErr w:type="gramEnd"/>
      <w:r>
        <w:rPr>
          <w:rFonts w:ascii="Times New Roman" w:hAnsi="Times New Roman" w:cs="Times New Roman"/>
          <w:b/>
          <w:bCs/>
          <w:sz w:val="24"/>
          <w:szCs w:val="24"/>
        </w:rPr>
        <w:t xml:space="preserve"> over twenty-four weeks.</w:t>
      </w:r>
    </w:p>
    <w:p w14:paraId="7D10AD79" w14:textId="77777777" w:rsidR="002C36C5" w:rsidRDefault="00000000">
      <w:pPr>
        <w:numPr>
          <w:ilvl w:val="0"/>
          <w:numId w:val="7"/>
        </w:numPr>
        <w:spacing w:line="480" w:lineRule="auto"/>
        <w:jc w:val="both"/>
        <w:rPr>
          <w:rFonts w:ascii="Times New Roman" w:hAnsi="Times New Roman" w:cs="Times New Roman"/>
          <w:sz w:val="24"/>
          <w:szCs w:val="24"/>
        </w:rPr>
      </w:pPr>
      <w:r>
        <w:rPr>
          <w:rFonts w:ascii="Times New Roman" w:hAnsi="Times New Roman" w:cs="Times New Roman"/>
          <w:sz w:val="24"/>
          <w:szCs w:val="24"/>
        </w:rPr>
        <w:t>In the early weeks, I will establish governance arrangements and secure ethics approvals.</w:t>
      </w:r>
    </w:p>
    <w:p w14:paraId="7D10AD7A" w14:textId="77777777" w:rsidR="002C36C5" w:rsidRDefault="00000000">
      <w:pPr>
        <w:numPr>
          <w:ilvl w:val="0"/>
          <w:numId w:val="8"/>
        </w:numPr>
        <w:spacing w:line="480" w:lineRule="auto"/>
        <w:jc w:val="both"/>
        <w:rPr>
          <w:rFonts w:ascii="Times New Roman" w:hAnsi="Times New Roman" w:cs="Times New Roman"/>
          <w:sz w:val="24"/>
          <w:szCs w:val="24"/>
        </w:rPr>
      </w:pPr>
      <w:r>
        <w:rPr>
          <w:rFonts w:ascii="Times New Roman" w:hAnsi="Times New Roman" w:cs="Times New Roman"/>
          <w:sz w:val="24"/>
          <w:szCs w:val="24"/>
        </w:rPr>
        <w:t>In the middle period, I will extract data, run statistical models, and conduct qualitative fieldwork in parallel.</w:t>
      </w:r>
    </w:p>
    <w:p w14:paraId="7D10AD7B" w14:textId="77777777" w:rsidR="002C36C5" w:rsidRDefault="00000000">
      <w:pPr>
        <w:numPr>
          <w:ilvl w:val="0"/>
          <w:numId w:val="9"/>
        </w:num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In the final period, I will integrate findings, </w:t>
      </w:r>
      <w:proofErr w:type="spellStart"/>
      <w:r>
        <w:rPr>
          <w:rFonts w:ascii="Times New Roman" w:hAnsi="Times New Roman" w:cs="Times New Roman"/>
          <w:sz w:val="24"/>
          <w:szCs w:val="24"/>
        </w:rPr>
        <w:t>finalise</w:t>
      </w:r>
      <w:proofErr w:type="spellEnd"/>
      <w:r>
        <w:rPr>
          <w:rFonts w:ascii="Times New Roman" w:hAnsi="Times New Roman" w:cs="Times New Roman"/>
          <w:sz w:val="24"/>
          <w:szCs w:val="24"/>
        </w:rPr>
        <w:t xml:space="preserve"> the dashboard artefact, and prepare the dissertation-style outputs and narrated materials.</w:t>
      </w:r>
    </w:p>
    <w:p w14:paraId="7D10AD7C" w14:textId="77777777" w:rsidR="002C36C5" w:rsidRDefault="002C36C5">
      <w:pPr>
        <w:spacing w:line="480" w:lineRule="auto"/>
        <w:jc w:val="both"/>
        <w:rPr>
          <w:rFonts w:ascii="Times New Roman" w:hAnsi="Times New Roman" w:cs="Times New Roman"/>
          <w:sz w:val="24"/>
          <w:szCs w:val="24"/>
        </w:rPr>
      </w:pPr>
    </w:p>
    <w:p w14:paraId="7D10AD7D" w14:textId="77777777" w:rsidR="002C36C5" w:rsidRDefault="00000000">
      <w:pPr>
        <w:spacing w:line="480" w:lineRule="auto"/>
        <w:jc w:val="both"/>
        <w:rPr>
          <w:rFonts w:ascii="Times New Roman" w:hAnsi="Times New Roman" w:cs="Times New Roman"/>
          <w:b/>
          <w:bCs/>
          <w:sz w:val="24"/>
          <w:szCs w:val="24"/>
        </w:rPr>
      </w:pPr>
      <w:r>
        <w:rPr>
          <w:rFonts w:ascii="Times New Roman" w:hAnsi="Times New Roman" w:cs="Times New Roman"/>
          <w:b/>
          <w:bCs/>
          <w:sz w:val="24"/>
          <w:szCs w:val="24"/>
        </w:rPr>
        <w:t>Defining significant impact (Slide 22)</w:t>
      </w:r>
    </w:p>
    <w:p w14:paraId="7D10AD7E"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strengthen practical relevance, a ‘significant impact’ will be defined ex ante as sustained and statistically robust improvements that are also meaningful to stakeholders. Indicative thresholds </w:t>
      </w:r>
      <w:proofErr w:type="gramStart"/>
      <w:r>
        <w:rPr>
          <w:rFonts w:ascii="Times New Roman" w:hAnsi="Times New Roman" w:cs="Times New Roman"/>
          <w:sz w:val="24"/>
          <w:szCs w:val="24"/>
        </w:rPr>
        <w:t>are:</w:t>
      </w:r>
      <w:proofErr w:type="gramEnd"/>
      <w:r>
        <w:rPr>
          <w:rFonts w:ascii="Times New Roman" w:hAnsi="Times New Roman" w:cs="Times New Roman"/>
          <w:sz w:val="24"/>
          <w:szCs w:val="24"/>
        </w:rPr>
        <w:t xml:space="preserve"> at least a 10 per cent reduction in duplicated laboratory tests within thirty days across different providers; at least a 5 per cent reduction in duplicated imaging within thirty days; and a 3–5 per cent reduction in seventy-two-hour emergency re-attendance or thirty-day readmission, where these outcomes are available and appropriate for case-mix. For patient </w:t>
      </w:r>
      <w:r>
        <w:rPr>
          <w:rFonts w:ascii="Times New Roman" w:hAnsi="Times New Roman" w:cs="Times New Roman"/>
          <w:sz w:val="24"/>
          <w:szCs w:val="24"/>
        </w:rPr>
        <w:lastRenderedPageBreak/>
        <w:t>safety proxies, a meaningful impact would include a 10 per cent reduction in medication reconciliation discrepancies or duplicate prescribing flags, subject to data availability and validation. These thresholds will be refined with clinical and governance stakeholders during the feasibility phase.</w:t>
      </w:r>
    </w:p>
    <w:p w14:paraId="7D10AD7F" w14:textId="77777777" w:rsidR="002C36C5" w:rsidRDefault="002C36C5">
      <w:pPr>
        <w:spacing w:line="480" w:lineRule="auto"/>
        <w:jc w:val="both"/>
        <w:rPr>
          <w:rFonts w:ascii="Times New Roman" w:hAnsi="Times New Roman" w:cs="Times New Roman"/>
          <w:sz w:val="24"/>
          <w:szCs w:val="24"/>
        </w:rPr>
      </w:pPr>
    </w:p>
    <w:p w14:paraId="7D10AD80"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Conclusion (Slide 23)</w:t>
      </w:r>
    </w:p>
    <w:p w14:paraId="7D10AD81"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sz w:val="24"/>
          <w:szCs w:val="24"/>
        </w:rPr>
        <w:t xml:space="preserve">To conclude, the UAE has made substantial progress in digital health infrastructure, but the discipline requires stronger evidence on whether interoperability at scale delivers measurable improvements in continuity, safety and efficiency. This proposal addresses that gap with a mixed-methods, quasi-experimental evaluation and a practical computing artefact designed to support governance. The anticipated contribution is both scholarly, through stronger causal inference and socio-technical explanation, and applied, through a reusable dashboard prototype that supports continuous improvement in HIE-enabled care. (Department of Health – Abu Dhabi, 2023; Abdulrahman et al., 2024; </w:t>
      </w:r>
      <w:proofErr w:type="spellStart"/>
      <w:r>
        <w:rPr>
          <w:rFonts w:ascii="Times New Roman" w:hAnsi="Times New Roman" w:cs="Times New Roman"/>
          <w:sz w:val="24"/>
          <w:szCs w:val="24"/>
        </w:rPr>
        <w:t>Almarzouqi</w:t>
      </w:r>
      <w:proofErr w:type="spellEnd"/>
      <w:r>
        <w:rPr>
          <w:rFonts w:ascii="Times New Roman" w:hAnsi="Times New Roman" w:cs="Times New Roman"/>
          <w:sz w:val="24"/>
          <w:szCs w:val="24"/>
        </w:rPr>
        <w:t xml:space="preserve"> et al., 2022)</w:t>
      </w:r>
    </w:p>
    <w:p w14:paraId="7D10AD82" w14:textId="77777777" w:rsidR="002C36C5" w:rsidRDefault="002C36C5">
      <w:pPr>
        <w:spacing w:line="480" w:lineRule="auto"/>
        <w:jc w:val="both"/>
        <w:rPr>
          <w:rFonts w:ascii="Times New Roman" w:hAnsi="Times New Roman" w:cs="Times New Roman"/>
          <w:sz w:val="24"/>
          <w:szCs w:val="24"/>
        </w:rPr>
      </w:pPr>
    </w:p>
    <w:p w14:paraId="7D10AD83" w14:textId="77777777" w:rsidR="002C36C5" w:rsidRDefault="002C36C5">
      <w:pPr>
        <w:spacing w:line="480" w:lineRule="auto"/>
        <w:jc w:val="both"/>
        <w:rPr>
          <w:rFonts w:ascii="Times New Roman" w:hAnsi="Times New Roman" w:cs="Times New Roman"/>
          <w:sz w:val="24"/>
          <w:szCs w:val="24"/>
        </w:rPr>
      </w:pPr>
    </w:p>
    <w:p w14:paraId="7D10AD84" w14:textId="77777777" w:rsidR="002C36C5" w:rsidRDefault="002C36C5">
      <w:pPr>
        <w:spacing w:line="480" w:lineRule="auto"/>
        <w:jc w:val="both"/>
        <w:rPr>
          <w:rFonts w:ascii="Times New Roman" w:hAnsi="Times New Roman" w:cs="Times New Roman"/>
          <w:sz w:val="24"/>
          <w:szCs w:val="24"/>
        </w:rPr>
      </w:pPr>
    </w:p>
    <w:p w14:paraId="7D10AD85" w14:textId="77777777" w:rsidR="002C36C5" w:rsidRDefault="002C36C5">
      <w:pPr>
        <w:spacing w:line="480" w:lineRule="auto"/>
        <w:jc w:val="both"/>
        <w:rPr>
          <w:rFonts w:ascii="Times New Roman" w:hAnsi="Times New Roman" w:cs="Times New Roman"/>
          <w:sz w:val="24"/>
          <w:szCs w:val="24"/>
        </w:rPr>
      </w:pPr>
    </w:p>
    <w:p w14:paraId="7D10AD86" w14:textId="77777777" w:rsidR="002C36C5" w:rsidRDefault="002C36C5">
      <w:pPr>
        <w:spacing w:line="480" w:lineRule="auto"/>
        <w:jc w:val="both"/>
        <w:rPr>
          <w:rFonts w:ascii="Times New Roman" w:hAnsi="Times New Roman" w:cs="Times New Roman"/>
          <w:sz w:val="24"/>
          <w:szCs w:val="24"/>
        </w:rPr>
      </w:pPr>
    </w:p>
    <w:p w14:paraId="7D10AD87" w14:textId="77777777" w:rsidR="002C36C5" w:rsidRDefault="002C36C5">
      <w:pPr>
        <w:spacing w:line="480" w:lineRule="auto"/>
        <w:jc w:val="both"/>
        <w:rPr>
          <w:rFonts w:ascii="Times New Roman" w:hAnsi="Times New Roman" w:cs="Times New Roman"/>
          <w:sz w:val="24"/>
          <w:szCs w:val="24"/>
        </w:rPr>
      </w:pPr>
    </w:p>
    <w:p w14:paraId="7D10AD88" w14:textId="77777777" w:rsidR="002C36C5" w:rsidRDefault="002C36C5">
      <w:pPr>
        <w:spacing w:line="480" w:lineRule="auto"/>
        <w:jc w:val="both"/>
        <w:rPr>
          <w:rFonts w:ascii="Times New Roman" w:hAnsi="Times New Roman" w:cs="Times New Roman"/>
          <w:sz w:val="24"/>
          <w:szCs w:val="24"/>
        </w:rPr>
      </w:pPr>
    </w:p>
    <w:p w14:paraId="7D10AD89" w14:textId="77777777" w:rsidR="002C36C5" w:rsidRDefault="002C36C5">
      <w:pPr>
        <w:spacing w:line="480" w:lineRule="auto"/>
        <w:jc w:val="both"/>
        <w:rPr>
          <w:rFonts w:ascii="Times New Roman" w:hAnsi="Times New Roman" w:cs="Times New Roman"/>
          <w:sz w:val="24"/>
          <w:szCs w:val="24"/>
        </w:rPr>
      </w:pPr>
    </w:p>
    <w:p w14:paraId="7D10AD8A" w14:textId="77777777" w:rsidR="002C36C5" w:rsidRDefault="002C36C5">
      <w:pPr>
        <w:spacing w:line="480" w:lineRule="auto"/>
        <w:jc w:val="both"/>
        <w:rPr>
          <w:rFonts w:ascii="Times New Roman" w:hAnsi="Times New Roman" w:cs="Times New Roman"/>
          <w:sz w:val="24"/>
          <w:szCs w:val="24"/>
        </w:rPr>
      </w:pPr>
    </w:p>
    <w:p w14:paraId="7D10AD8B" w14:textId="77777777" w:rsidR="002C36C5" w:rsidRDefault="00000000">
      <w:pPr>
        <w:spacing w:line="480" w:lineRule="auto"/>
        <w:jc w:val="both"/>
        <w:rPr>
          <w:rFonts w:ascii="Times New Roman" w:hAnsi="Times New Roman" w:cs="Times New Roman"/>
          <w:sz w:val="24"/>
          <w:szCs w:val="24"/>
        </w:rPr>
      </w:pPr>
      <w:r>
        <w:rPr>
          <w:rFonts w:ascii="Times New Roman" w:hAnsi="Times New Roman" w:cs="Times New Roman"/>
          <w:b/>
          <w:bCs/>
          <w:sz w:val="24"/>
          <w:szCs w:val="24"/>
        </w:rPr>
        <w:t>References (Slide 24)</w:t>
      </w:r>
    </w:p>
    <w:p w14:paraId="7D10AD8C"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Abdulrahman, M., El-Hassan, O., Al Redha, M.A. and Almalki, M. (2024) ‘Adoption of Electronic Medical Records in Healthcare Facilities in the Emirate of Dubai’, Healthcare Informatics Research, 30(2), pp. 154–161. doi:10.4258/hir.2024.30.2.154.</w:t>
      </w:r>
    </w:p>
    <w:p w14:paraId="7D10AD8D"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Alkaabi, A. and </w:t>
      </w:r>
      <w:proofErr w:type="spellStart"/>
      <w:r>
        <w:rPr>
          <w:rFonts w:ascii="Times New Roman" w:hAnsi="Times New Roman" w:cs="Times New Roman"/>
          <w:sz w:val="24"/>
          <w:szCs w:val="24"/>
        </w:rPr>
        <w:t>Elsori</w:t>
      </w:r>
      <w:proofErr w:type="spellEnd"/>
      <w:r>
        <w:rPr>
          <w:rFonts w:ascii="Times New Roman" w:hAnsi="Times New Roman" w:cs="Times New Roman"/>
          <w:sz w:val="24"/>
          <w:szCs w:val="24"/>
        </w:rPr>
        <w:t>, D. (</w:t>
      </w:r>
      <w:proofErr w:type="gramStart"/>
      <w:r>
        <w:rPr>
          <w:rFonts w:ascii="Times New Roman" w:hAnsi="Times New Roman" w:cs="Times New Roman"/>
          <w:sz w:val="24"/>
          <w:szCs w:val="24"/>
        </w:rPr>
        <w:t>2025) ‘</w:t>
      </w:r>
      <w:proofErr w:type="gramEnd"/>
      <w:r>
        <w:rPr>
          <w:rFonts w:ascii="Times New Roman" w:hAnsi="Times New Roman" w:cs="Times New Roman"/>
          <w:sz w:val="24"/>
          <w:szCs w:val="24"/>
        </w:rPr>
        <w:t xml:space="preserve">Navigating digital frontiers in UAE healthcare: A qualitative exploration of healthcare professionals’ and patients’ experiences with AI and telemedicine’, PLOS Digital Health, 4(4), e0000586. </w:t>
      </w:r>
      <w:proofErr w:type="gramStart"/>
      <w:r>
        <w:rPr>
          <w:rFonts w:ascii="Times New Roman" w:hAnsi="Times New Roman" w:cs="Times New Roman"/>
          <w:sz w:val="24"/>
          <w:szCs w:val="24"/>
        </w:rPr>
        <w:t>doi:10.1371/journal.pdig</w:t>
      </w:r>
      <w:proofErr w:type="gramEnd"/>
      <w:r>
        <w:rPr>
          <w:rFonts w:ascii="Times New Roman" w:hAnsi="Times New Roman" w:cs="Times New Roman"/>
          <w:sz w:val="24"/>
          <w:szCs w:val="24"/>
        </w:rPr>
        <w:t>.0000586.</w:t>
      </w:r>
    </w:p>
    <w:p w14:paraId="7D10AD8E"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Al Meslamani, A.Z. et al. (2022) ‘The patterns and determinants of telemedicine use during the COVID-19 crisis: A nationwide study’, Journal of the American Pharmacists Association, 62(6), pp. 1778–1785. </w:t>
      </w:r>
      <w:proofErr w:type="gramStart"/>
      <w:r>
        <w:rPr>
          <w:rFonts w:ascii="Times New Roman" w:hAnsi="Times New Roman" w:cs="Times New Roman"/>
          <w:sz w:val="24"/>
          <w:szCs w:val="24"/>
        </w:rPr>
        <w:t>doi:10.1016/j.japh</w:t>
      </w:r>
      <w:proofErr w:type="gramEnd"/>
      <w:r>
        <w:rPr>
          <w:rFonts w:ascii="Times New Roman" w:hAnsi="Times New Roman" w:cs="Times New Roman"/>
          <w:sz w:val="24"/>
          <w:szCs w:val="24"/>
        </w:rPr>
        <w:t>.2022.05.020.</w:t>
      </w:r>
    </w:p>
    <w:p w14:paraId="7D10AD8F" w14:textId="77777777" w:rsidR="002C36C5" w:rsidRDefault="00000000">
      <w:pPr>
        <w:spacing w:line="480" w:lineRule="auto"/>
        <w:ind w:left="720" w:hanging="720"/>
        <w:jc w:val="both"/>
        <w:rPr>
          <w:rFonts w:ascii="Times New Roman" w:hAnsi="Times New Roman" w:cs="Times New Roman"/>
          <w:sz w:val="24"/>
          <w:szCs w:val="24"/>
        </w:rPr>
      </w:pPr>
      <w:proofErr w:type="spellStart"/>
      <w:r>
        <w:rPr>
          <w:rFonts w:ascii="Times New Roman" w:hAnsi="Times New Roman" w:cs="Times New Roman"/>
          <w:sz w:val="24"/>
          <w:szCs w:val="24"/>
        </w:rPr>
        <w:t>Almarzouqi</w:t>
      </w:r>
      <w:proofErr w:type="spellEnd"/>
      <w:r>
        <w:rPr>
          <w:rFonts w:ascii="Times New Roman" w:hAnsi="Times New Roman" w:cs="Times New Roman"/>
          <w:sz w:val="24"/>
          <w:szCs w:val="24"/>
        </w:rPr>
        <w:t xml:space="preserve">, A., </w:t>
      </w:r>
      <w:proofErr w:type="spellStart"/>
      <w:r>
        <w:rPr>
          <w:rFonts w:ascii="Times New Roman" w:hAnsi="Times New Roman" w:cs="Times New Roman"/>
          <w:sz w:val="24"/>
          <w:szCs w:val="24"/>
        </w:rPr>
        <w:t>Aburayya</w:t>
      </w:r>
      <w:proofErr w:type="spellEnd"/>
      <w:r>
        <w:rPr>
          <w:rFonts w:ascii="Times New Roman" w:hAnsi="Times New Roman" w:cs="Times New Roman"/>
          <w:sz w:val="24"/>
          <w:szCs w:val="24"/>
        </w:rPr>
        <w:t xml:space="preserve">, A., Salloum, S.A. and </w:t>
      </w:r>
      <w:proofErr w:type="spellStart"/>
      <w:r>
        <w:rPr>
          <w:rFonts w:ascii="Times New Roman" w:hAnsi="Times New Roman" w:cs="Times New Roman"/>
          <w:sz w:val="24"/>
          <w:szCs w:val="24"/>
        </w:rPr>
        <w:t>AlMarzouqi</w:t>
      </w:r>
      <w:proofErr w:type="spellEnd"/>
      <w:r>
        <w:rPr>
          <w:rFonts w:ascii="Times New Roman" w:hAnsi="Times New Roman" w:cs="Times New Roman"/>
          <w:sz w:val="24"/>
          <w:szCs w:val="24"/>
        </w:rPr>
        <w:t xml:space="preserve">, A. (2022) ‘Determinants predicting the electronic medical record adoption in healthcare: A SEM–Artificial Neural Network approach’, PLOS ONE, 17(8), e0272735. </w:t>
      </w:r>
      <w:proofErr w:type="gramStart"/>
      <w:r>
        <w:rPr>
          <w:rFonts w:ascii="Times New Roman" w:hAnsi="Times New Roman" w:cs="Times New Roman"/>
          <w:sz w:val="24"/>
          <w:szCs w:val="24"/>
        </w:rPr>
        <w:t>doi:10.1371/journal.pone</w:t>
      </w:r>
      <w:proofErr w:type="gramEnd"/>
      <w:r>
        <w:rPr>
          <w:rFonts w:ascii="Times New Roman" w:hAnsi="Times New Roman" w:cs="Times New Roman"/>
          <w:sz w:val="24"/>
          <w:szCs w:val="24"/>
        </w:rPr>
        <w:t>.0272735.</w:t>
      </w:r>
    </w:p>
    <w:p w14:paraId="7D10AD90"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Department of Health – Abu Dhabi (2019) ‘</w:t>
      </w:r>
      <w:proofErr w:type="spellStart"/>
      <w:r>
        <w:rPr>
          <w:rFonts w:ascii="Times New Roman" w:hAnsi="Times New Roman" w:cs="Times New Roman"/>
          <w:sz w:val="24"/>
          <w:szCs w:val="24"/>
        </w:rPr>
        <w:t>Malaffi</w:t>
      </w:r>
      <w:proofErr w:type="spellEnd"/>
      <w:r>
        <w:rPr>
          <w:rFonts w:ascii="Times New Roman" w:hAnsi="Times New Roman" w:cs="Times New Roman"/>
          <w:sz w:val="24"/>
          <w:szCs w:val="24"/>
        </w:rPr>
        <w:t xml:space="preserve"> launch event (23 January 2019)’, </w:t>
      </w:r>
      <w:proofErr w:type="spellStart"/>
      <w:r>
        <w:rPr>
          <w:rFonts w:ascii="Times New Roman" w:hAnsi="Times New Roman" w:cs="Times New Roman"/>
          <w:sz w:val="24"/>
          <w:szCs w:val="24"/>
        </w:rPr>
        <w:t>Malaffi</w:t>
      </w:r>
      <w:proofErr w:type="spellEnd"/>
      <w:r>
        <w:rPr>
          <w:rFonts w:ascii="Times New Roman" w:hAnsi="Times New Roman" w:cs="Times New Roman"/>
          <w:sz w:val="24"/>
          <w:szCs w:val="24"/>
        </w:rPr>
        <w:t>. Available at: https://www.malaffi.ae/2019/page/3/ (Accessed: 15 December 2025).</w:t>
      </w:r>
    </w:p>
    <w:p w14:paraId="7D10AD91"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 xml:space="preserve">Department of Health – Abu Dhabi (2023) ‘UAE Health Authorities announce successful integration between </w:t>
      </w:r>
      <w:proofErr w:type="spellStart"/>
      <w:r>
        <w:rPr>
          <w:rFonts w:ascii="Times New Roman" w:hAnsi="Times New Roman" w:cs="Times New Roman"/>
          <w:sz w:val="24"/>
          <w:szCs w:val="24"/>
        </w:rPr>
        <w:t>Riayati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Malaffi</w:t>
      </w:r>
      <w:proofErr w:type="spellEnd"/>
      <w:r>
        <w:rPr>
          <w:rFonts w:ascii="Times New Roman" w:hAnsi="Times New Roman" w:cs="Times New Roman"/>
          <w:sz w:val="24"/>
          <w:szCs w:val="24"/>
        </w:rPr>
        <w:t xml:space="preserve"> and NABIDH’, Department of Health – Abu Dhabi. Available at: https://www.doh.gov.ae/en/news/uae-health-authorities-</w:t>
      </w:r>
      <w:r>
        <w:rPr>
          <w:rFonts w:ascii="Times New Roman" w:hAnsi="Times New Roman" w:cs="Times New Roman"/>
          <w:sz w:val="24"/>
          <w:szCs w:val="24"/>
        </w:rPr>
        <w:lastRenderedPageBreak/>
        <w:t>announce-successful-integration-between-riayati-malaffi-and-nabidh (Accessed: 15 December 2025).</w:t>
      </w:r>
    </w:p>
    <w:p w14:paraId="7D10AD92"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Dubai Health Authority (</w:t>
      </w:r>
      <w:proofErr w:type="gramStart"/>
      <w:r>
        <w:rPr>
          <w:rFonts w:ascii="Times New Roman" w:hAnsi="Times New Roman" w:cs="Times New Roman"/>
          <w:sz w:val="24"/>
          <w:szCs w:val="24"/>
        </w:rPr>
        <w:t>2021) ‘</w:t>
      </w:r>
      <w:proofErr w:type="gramEnd"/>
      <w:r>
        <w:rPr>
          <w:rFonts w:ascii="Times New Roman" w:hAnsi="Times New Roman" w:cs="Times New Roman"/>
          <w:sz w:val="24"/>
          <w:szCs w:val="24"/>
        </w:rPr>
        <w:t>Telehealth Policy’, Dubai Health Authority. Available at: https://dha.gov.ae/uploads/012023/Telehealth%20Policy2023157244.pdf (Accessed: 15 December 2025).</w:t>
      </w:r>
    </w:p>
    <w:p w14:paraId="7D10AD93"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Dubai Health Authority (</w:t>
      </w:r>
      <w:proofErr w:type="gramStart"/>
      <w:r>
        <w:rPr>
          <w:rFonts w:ascii="Times New Roman" w:hAnsi="Times New Roman" w:cs="Times New Roman"/>
          <w:sz w:val="24"/>
          <w:szCs w:val="24"/>
        </w:rPr>
        <w:t>2025) ‘</w:t>
      </w:r>
      <w:proofErr w:type="gramEnd"/>
      <w:r>
        <w:rPr>
          <w:rFonts w:ascii="Times New Roman" w:hAnsi="Times New Roman" w:cs="Times New Roman"/>
          <w:sz w:val="24"/>
          <w:szCs w:val="24"/>
        </w:rPr>
        <w:t>NABIDH | Dubai Health Information Exchange’. Available at: https://nabidh.dha.gov.ae/ (Accessed: 15 December 2025)</w:t>
      </w:r>
    </w:p>
    <w:p w14:paraId="7D10AD94"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Hong, Q.N. et al. (2018) ‘The Mixed Methods Appraisal Tool (MMAT) version 2018 for information professionals and researchers’, Education for Information, 34(4), pp. 285–291. doi:10.3233/EFI-180221.</w:t>
      </w:r>
    </w:p>
    <w:p w14:paraId="7D10AD95"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Menachemi, N. and Collum, T.H. (2011) ‘Benefits and drawbacks of electronic health record systems’, Risk Management and Healthcare Policy, 4, pp. 47–55. doi:10.2147/RMHP.S12985.</w:t>
      </w:r>
    </w:p>
    <w:p w14:paraId="7D10AD96"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WAM (</w:t>
      </w:r>
      <w:proofErr w:type="gramStart"/>
      <w:r>
        <w:rPr>
          <w:rFonts w:ascii="Times New Roman" w:hAnsi="Times New Roman" w:cs="Times New Roman"/>
          <w:sz w:val="24"/>
          <w:szCs w:val="24"/>
        </w:rPr>
        <w:t>2023) ‘</w:t>
      </w:r>
      <w:proofErr w:type="gramEnd"/>
      <w:r>
        <w:rPr>
          <w:rFonts w:ascii="Times New Roman" w:hAnsi="Times New Roman" w:cs="Times New Roman"/>
          <w:sz w:val="24"/>
          <w:szCs w:val="24"/>
        </w:rPr>
        <w:t xml:space="preserve">UAE Health Authorities announce successful integration between </w:t>
      </w:r>
      <w:proofErr w:type="spellStart"/>
      <w:r>
        <w:rPr>
          <w:rFonts w:ascii="Times New Roman" w:hAnsi="Times New Roman" w:cs="Times New Roman"/>
          <w:sz w:val="24"/>
          <w:szCs w:val="24"/>
        </w:rPr>
        <w:t>Riayati</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Malaffi</w:t>
      </w:r>
      <w:proofErr w:type="spellEnd"/>
      <w:r>
        <w:rPr>
          <w:rFonts w:ascii="Times New Roman" w:hAnsi="Times New Roman" w:cs="Times New Roman"/>
          <w:sz w:val="24"/>
          <w:szCs w:val="24"/>
        </w:rPr>
        <w:t xml:space="preserve"> and NABIDH’, Emirates News Agency. Available at: https://www.wam.ae/en/article/hszrgcsy-uae-health-authorities-announce-successful (Accessed: 15 December 2025).</w:t>
      </w:r>
    </w:p>
    <w:p w14:paraId="7D10AD97" w14:textId="77777777" w:rsidR="002C36C5" w:rsidRDefault="00000000">
      <w:pPr>
        <w:spacing w:line="480" w:lineRule="auto"/>
        <w:ind w:left="720" w:hanging="720"/>
        <w:jc w:val="both"/>
        <w:rPr>
          <w:rFonts w:ascii="Times New Roman" w:hAnsi="Times New Roman" w:cs="Times New Roman"/>
          <w:sz w:val="24"/>
          <w:szCs w:val="24"/>
        </w:rPr>
      </w:pPr>
      <w:r>
        <w:rPr>
          <w:rFonts w:ascii="Times New Roman" w:hAnsi="Times New Roman" w:cs="Times New Roman"/>
          <w:sz w:val="24"/>
          <w:szCs w:val="24"/>
        </w:rPr>
        <w:t>WAM (</w:t>
      </w:r>
      <w:proofErr w:type="gramStart"/>
      <w:r>
        <w:rPr>
          <w:rFonts w:ascii="Times New Roman" w:hAnsi="Times New Roman" w:cs="Times New Roman"/>
          <w:sz w:val="24"/>
          <w:szCs w:val="24"/>
        </w:rPr>
        <w:t>2025) ‘</w:t>
      </w:r>
      <w:proofErr w:type="gramEnd"/>
      <w:r>
        <w:rPr>
          <w:rFonts w:ascii="Times New Roman" w:hAnsi="Times New Roman" w:cs="Times New Roman"/>
          <w:sz w:val="24"/>
          <w:szCs w:val="24"/>
        </w:rPr>
        <w:t>NABIDH platform holds over 10 million medical records’, Emirates News Agency. Available at: https://www.wam.ae/en/article/15o5yil-nabidh-platform-holds-over-million-medical-records (Accessed: 15 December 2025).</w:t>
      </w:r>
    </w:p>
    <w:sectPr w:rsidR="002C36C5">
      <w:pgSz w:w="11906" w:h="16838"/>
      <w:pgMar w:top="1440" w:right="1440" w:bottom="1440" w:left="1440" w:header="708" w:footer="708" w:gutter="0"/>
      <w:paperSrc w:first="1" w:other="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C57C0"/>
    <w:multiLevelType w:val="hybridMultilevel"/>
    <w:tmpl w:val="38B85CE4"/>
    <w:lvl w:ilvl="0" w:tplc="2A66D05A">
      <w:start w:val="1"/>
      <w:numFmt w:val="bullet"/>
      <w:lvlText w:val=""/>
      <w:lvlJc w:val="left"/>
      <w:pPr>
        <w:ind w:left="720" w:hanging="360"/>
      </w:pPr>
      <w:rPr>
        <w:rFonts w:ascii="Symbol" w:hAnsi="Symbol"/>
      </w:rPr>
    </w:lvl>
    <w:lvl w:ilvl="1" w:tplc="A970C324" w:tentative="1">
      <w:start w:val="1"/>
      <w:numFmt w:val="bullet"/>
      <w:lvlText w:val="o"/>
      <w:lvlJc w:val="left"/>
      <w:pPr>
        <w:ind w:left="1440" w:hanging="360"/>
      </w:pPr>
      <w:rPr>
        <w:rFonts w:ascii="Courier New" w:hAnsi="Courier New"/>
      </w:rPr>
    </w:lvl>
    <w:lvl w:ilvl="2" w:tplc="BC50C5EA" w:tentative="1">
      <w:start w:val="1"/>
      <w:numFmt w:val="bullet"/>
      <w:lvlText w:val=""/>
      <w:lvlJc w:val="left"/>
      <w:pPr>
        <w:ind w:left="2160" w:hanging="360"/>
      </w:pPr>
      <w:rPr>
        <w:rFonts w:ascii="Wingdings" w:hAnsi="Wingdings"/>
      </w:rPr>
    </w:lvl>
    <w:lvl w:ilvl="3" w:tplc="458EDE40" w:tentative="1">
      <w:start w:val="1"/>
      <w:numFmt w:val="bullet"/>
      <w:lvlText w:val=""/>
      <w:lvlJc w:val="left"/>
      <w:pPr>
        <w:ind w:left="2880" w:hanging="360"/>
      </w:pPr>
      <w:rPr>
        <w:rFonts w:ascii="Symbol" w:hAnsi="Symbol"/>
      </w:rPr>
    </w:lvl>
    <w:lvl w:ilvl="4" w:tplc="E4DA3D54" w:tentative="1">
      <w:start w:val="1"/>
      <w:numFmt w:val="bullet"/>
      <w:lvlText w:val="o"/>
      <w:lvlJc w:val="left"/>
      <w:pPr>
        <w:ind w:left="3600" w:hanging="360"/>
      </w:pPr>
      <w:rPr>
        <w:rFonts w:ascii="Courier New" w:hAnsi="Courier New"/>
      </w:rPr>
    </w:lvl>
    <w:lvl w:ilvl="5" w:tplc="4F34DF84" w:tentative="1">
      <w:start w:val="1"/>
      <w:numFmt w:val="bullet"/>
      <w:lvlText w:val=""/>
      <w:lvlJc w:val="left"/>
      <w:pPr>
        <w:ind w:left="4320" w:hanging="360"/>
      </w:pPr>
      <w:rPr>
        <w:rFonts w:ascii="Wingdings" w:hAnsi="Wingdings"/>
      </w:rPr>
    </w:lvl>
    <w:lvl w:ilvl="6" w:tplc="58ECEB0E" w:tentative="1">
      <w:start w:val="1"/>
      <w:numFmt w:val="bullet"/>
      <w:lvlText w:val=""/>
      <w:lvlJc w:val="left"/>
      <w:pPr>
        <w:ind w:left="5040" w:hanging="360"/>
      </w:pPr>
      <w:rPr>
        <w:rFonts w:ascii="Symbol" w:hAnsi="Symbol"/>
      </w:rPr>
    </w:lvl>
    <w:lvl w:ilvl="7" w:tplc="1D907422" w:tentative="1">
      <w:start w:val="1"/>
      <w:numFmt w:val="bullet"/>
      <w:lvlText w:val="o"/>
      <w:lvlJc w:val="left"/>
      <w:pPr>
        <w:ind w:left="5760" w:hanging="360"/>
      </w:pPr>
      <w:rPr>
        <w:rFonts w:ascii="Courier New" w:hAnsi="Courier New"/>
      </w:rPr>
    </w:lvl>
    <w:lvl w:ilvl="8" w:tplc="95F08F34" w:tentative="1">
      <w:start w:val="1"/>
      <w:numFmt w:val="bullet"/>
      <w:lvlText w:val=""/>
      <w:lvlJc w:val="left"/>
      <w:pPr>
        <w:ind w:left="6480" w:hanging="360"/>
      </w:pPr>
      <w:rPr>
        <w:rFonts w:ascii="Wingdings" w:hAnsi="Wingdings"/>
      </w:rPr>
    </w:lvl>
  </w:abstractNum>
  <w:abstractNum w:abstractNumId="1" w15:restartNumberingAfterBreak="0">
    <w:nsid w:val="06DE2FE1"/>
    <w:multiLevelType w:val="hybridMultilevel"/>
    <w:tmpl w:val="2D965BFE"/>
    <w:lvl w:ilvl="0" w:tplc="73E8F942">
      <w:start w:val="1"/>
      <w:numFmt w:val="bullet"/>
      <w:lvlText w:val=""/>
      <w:lvlJc w:val="left"/>
      <w:pPr>
        <w:ind w:left="720" w:hanging="360"/>
      </w:pPr>
      <w:rPr>
        <w:rFonts w:ascii="Symbol" w:hAnsi="Symbol"/>
      </w:rPr>
    </w:lvl>
    <w:lvl w:ilvl="1" w:tplc="E88871CC" w:tentative="1">
      <w:start w:val="1"/>
      <w:numFmt w:val="bullet"/>
      <w:lvlText w:val="o"/>
      <w:lvlJc w:val="left"/>
      <w:pPr>
        <w:ind w:left="1440" w:hanging="360"/>
      </w:pPr>
      <w:rPr>
        <w:rFonts w:ascii="Courier New" w:hAnsi="Courier New"/>
      </w:rPr>
    </w:lvl>
    <w:lvl w:ilvl="2" w:tplc="42984ECA" w:tentative="1">
      <w:start w:val="1"/>
      <w:numFmt w:val="bullet"/>
      <w:lvlText w:val=""/>
      <w:lvlJc w:val="left"/>
      <w:pPr>
        <w:ind w:left="2160" w:hanging="360"/>
      </w:pPr>
      <w:rPr>
        <w:rFonts w:ascii="Wingdings" w:hAnsi="Wingdings"/>
      </w:rPr>
    </w:lvl>
    <w:lvl w:ilvl="3" w:tplc="09DA4AD4" w:tentative="1">
      <w:start w:val="1"/>
      <w:numFmt w:val="bullet"/>
      <w:lvlText w:val=""/>
      <w:lvlJc w:val="left"/>
      <w:pPr>
        <w:ind w:left="2880" w:hanging="360"/>
      </w:pPr>
      <w:rPr>
        <w:rFonts w:ascii="Symbol" w:hAnsi="Symbol"/>
      </w:rPr>
    </w:lvl>
    <w:lvl w:ilvl="4" w:tplc="3BD844FE" w:tentative="1">
      <w:start w:val="1"/>
      <w:numFmt w:val="bullet"/>
      <w:lvlText w:val="o"/>
      <w:lvlJc w:val="left"/>
      <w:pPr>
        <w:ind w:left="3600" w:hanging="360"/>
      </w:pPr>
      <w:rPr>
        <w:rFonts w:ascii="Courier New" w:hAnsi="Courier New"/>
      </w:rPr>
    </w:lvl>
    <w:lvl w:ilvl="5" w:tplc="2FEA9760" w:tentative="1">
      <w:start w:val="1"/>
      <w:numFmt w:val="bullet"/>
      <w:lvlText w:val=""/>
      <w:lvlJc w:val="left"/>
      <w:pPr>
        <w:ind w:left="4320" w:hanging="360"/>
      </w:pPr>
      <w:rPr>
        <w:rFonts w:ascii="Wingdings" w:hAnsi="Wingdings"/>
      </w:rPr>
    </w:lvl>
    <w:lvl w:ilvl="6" w:tplc="BFD2734E" w:tentative="1">
      <w:start w:val="1"/>
      <w:numFmt w:val="bullet"/>
      <w:lvlText w:val=""/>
      <w:lvlJc w:val="left"/>
      <w:pPr>
        <w:ind w:left="5040" w:hanging="360"/>
      </w:pPr>
      <w:rPr>
        <w:rFonts w:ascii="Symbol" w:hAnsi="Symbol"/>
      </w:rPr>
    </w:lvl>
    <w:lvl w:ilvl="7" w:tplc="0950C68A" w:tentative="1">
      <w:start w:val="1"/>
      <w:numFmt w:val="bullet"/>
      <w:lvlText w:val="o"/>
      <w:lvlJc w:val="left"/>
      <w:pPr>
        <w:ind w:left="5760" w:hanging="360"/>
      </w:pPr>
      <w:rPr>
        <w:rFonts w:ascii="Courier New" w:hAnsi="Courier New"/>
      </w:rPr>
    </w:lvl>
    <w:lvl w:ilvl="8" w:tplc="506A5F68" w:tentative="1">
      <w:start w:val="1"/>
      <w:numFmt w:val="bullet"/>
      <w:lvlText w:val=""/>
      <w:lvlJc w:val="left"/>
      <w:pPr>
        <w:ind w:left="6480" w:hanging="360"/>
      </w:pPr>
      <w:rPr>
        <w:rFonts w:ascii="Wingdings" w:hAnsi="Wingdings"/>
      </w:rPr>
    </w:lvl>
  </w:abstractNum>
  <w:abstractNum w:abstractNumId="2" w15:restartNumberingAfterBreak="0">
    <w:nsid w:val="172E01BB"/>
    <w:multiLevelType w:val="hybridMultilevel"/>
    <w:tmpl w:val="1F5ED53A"/>
    <w:lvl w:ilvl="0" w:tplc="AC3283B2">
      <w:start w:val="1"/>
      <w:numFmt w:val="bullet"/>
      <w:lvlText w:val=""/>
      <w:lvlJc w:val="left"/>
      <w:pPr>
        <w:ind w:left="720" w:hanging="360"/>
      </w:pPr>
      <w:rPr>
        <w:rFonts w:ascii="Symbol" w:hAnsi="Symbol"/>
      </w:rPr>
    </w:lvl>
    <w:lvl w:ilvl="1" w:tplc="C21AFBB2" w:tentative="1">
      <w:start w:val="1"/>
      <w:numFmt w:val="bullet"/>
      <w:lvlText w:val="o"/>
      <w:lvlJc w:val="left"/>
      <w:pPr>
        <w:ind w:left="1440" w:hanging="360"/>
      </w:pPr>
      <w:rPr>
        <w:rFonts w:ascii="Courier New" w:hAnsi="Courier New"/>
      </w:rPr>
    </w:lvl>
    <w:lvl w:ilvl="2" w:tplc="6DC486DE" w:tentative="1">
      <w:start w:val="1"/>
      <w:numFmt w:val="bullet"/>
      <w:lvlText w:val=""/>
      <w:lvlJc w:val="left"/>
      <w:pPr>
        <w:ind w:left="2160" w:hanging="360"/>
      </w:pPr>
      <w:rPr>
        <w:rFonts w:ascii="Wingdings" w:hAnsi="Wingdings"/>
      </w:rPr>
    </w:lvl>
    <w:lvl w:ilvl="3" w:tplc="6FBCE5F6" w:tentative="1">
      <w:start w:val="1"/>
      <w:numFmt w:val="bullet"/>
      <w:lvlText w:val=""/>
      <w:lvlJc w:val="left"/>
      <w:pPr>
        <w:ind w:left="2880" w:hanging="360"/>
      </w:pPr>
      <w:rPr>
        <w:rFonts w:ascii="Symbol" w:hAnsi="Symbol"/>
      </w:rPr>
    </w:lvl>
    <w:lvl w:ilvl="4" w:tplc="A4828B8E" w:tentative="1">
      <w:start w:val="1"/>
      <w:numFmt w:val="bullet"/>
      <w:lvlText w:val="o"/>
      <w:lvlJc w:val="left"/>
      <w:pPr>
        <w:ind w:left="3600" w:hanging="360"/>
      </w:pPr>
      <w:rPr>
        <w:rFonts w:ascii="Courier New" w:hAnsi="Courier New"/>
      </w:rPr>
    </w:lvl>
    <w:lvl w:ilvl="5" w:tplc="5C661096" w:tentative="1">
      <w:start w:val="1"/>
      <w:numFmt w:val="bullet"/>
      <w:lvlText w:val=""/>
      <w:lvlJc w:val="left"/>
      <w:pPr>
        <w:ind w:left="4320" w:hanging="360"/>
      </w:pPr>
      <w:rPr>
        <w:rFonts w:ascii="Wingdings" w:hAnsi="Wingdings"/>
      </w:rPr>
    </w:lvl>
    <w:lvl w:ilvl="6" w:tplc="92065E10" w:tentative="1">
      <w:start w:val="1"/>
      <w:numFmt w:val="bullet"/>
      <w:lvlText w:val=""/>
      <w:lvlJc w:val="left"/>
      <w:pPr>
        <w:ind w:left="5040" w:hanging="360"/>
      </w:pPr>
      <w:rPr>
        <w:rFonts w:ascii="Symbol" w:hAnsi="Symbol"/>
      </w:rPr>
    </w:lvl>
    <w:lvl w:ilvl="7" w:tplc="1180C886" w:tentative="1">
      <w:start w:val="1"/>
      <w:numFmt w:val="bullet"/>
      <w:lvlText w:val="o"/>
      <w:lvlJc w:val="left"/>
      <w:pPr>
        <w:ind w:left="5760" w:hanging="360"/>
      </w:pPr>
      <w:rPr>
        <w:rFonts w:ascii="Courier New" w:hAnsi="Courier New"/>
      </w:rPr>
    </w:lvl>
    <w:lvl w:ilvl="8" w:tplc="2F3C80E0" w:tentative="1">
      <w:start w:val="1"/>
      <w:numFmt w:val="bullet"/>
      <w:lvlText w:val=""/>
      <w:lvlJc w:val="left"/>
      <w:pPr>
        <w:ind w:left="6480" w:hanging="360"/>
      </w:pPr>
      <w:rPr>
        <w:rFonts w:ascii="Wingdings" w:hAnsi="Wingdings"/>
      </w:rPr>
    </w:lvl>
  </w:abstractNum>
  <w:abstractNum w:abstractNumId="3" w15:restartNumberingAfterBreak="0">
    <w:nsid w:val="1B2B6A2D"/>
    <w:multiLevelType w:val="hybridMultilevel"/>
    <w:tmpl w:val="41B4E8AC"/>
    <w:lvl w:ilvl="0" w:tplc="D6E46478">
      <w:start w:val="1"/>
      <w:numFmt w:val="bullet"/>
      <w:lvlText w:val=""/>
      <w:lvlJc w:val="left"/>
      <w:pPr>
        <w:ind w:left="720" w:hanging="360"/>
      </w:pPr>
      <w:rPr>
        <w:rFonts w:ascii="Symbol" w:hAnsi="Symbol"/>
      </w:rPr>
    </w:lvl>
    <w:lvl w:ilvl="1" w:tplc="E27420E0" w:tentative="1">
      <w:start w:val="1"/>
      <w:numFmt w:val="bullet"/>
      <w:lvlText w:val="o"/>
      <w:lvlJc w:val="left"/>
      <w:pPr>
        <w:ind w:left="1440" w:hanging="360"/>
      </w:pPr>
      <w:rPr>
        <w:rFonts w:ascii="Courier New" w:hAnsi="Courier New"/>
      </w:rPr>
    </w:lvl>
    <w:lvl w:ilvl="2" w:tplc="AB1CF276" w:tentative="1">
      <w:start w:val="1"/>
      <w:numFmt w:val="bullet"/>
      <w:lvlText w:val=""/>
      <w:lvlJc w:val="left"/>
      <w:pPr>
        <w:ind w:left="2160" w:hanging="360"/>
      </w:pPr>
      <w:rPr>
        <w:rFonts w:ascii="Wingdings" w:hAnsi="Wingdings"/>
      </w:rPr>
    </w:lvl>
    <w:lvl w:ilvl="3" w:tplc="2FA4FBEE" w:tentative="1">
      <w:start w:val="1"/>
      <w:numFmt w:val="bullet"/>
      <w:lvlText w:val=""/>
      <w:lvlJc w:val="left"/>
      <w:pPr>
        <w:ind w:left="2880" w:hanging="360"/>
      </w:pPr>
      <w:rPr>
        <w:rFonts w:ascii="Symbol" w:hAnsi="Symbol"/>
      </w:rPr>
    </w:lvl>
    <w:lvl w:ilvl="4" w:tplc="6B2A9F56" w:tentative="1">
      <w:start w:val="1"/>
      <w:numFmt w:val="bullet"/>
      <w:lvlText w:val="o"/>
      <w:lvlJc w:val="left"/>
      <w:pPr>
        <w:ind w:left="3600" w:hanging="360"/>
      </w:pPr>
      <w:rPr>
        <w:rFonts w:ascii="Courier New" w:hAnsi="Courier New"/>
      </w:rPr>
    </w:lvl>
    <w:lvl w:ilvl="5" w:tplc="17E07122" w:tentative="1">
      <w:start w:val="1"/>
      <w:numFmt w:val="bullet"/>
      <w:lvlText w:val=""/>
      <w:lvlJc w:val="left"/>
      <w:pPr>
        <w:ind w:left="4320" w:hanging="360"/>
      </w:pPr>
      <w:rPr>
        <w:rFonts w:ascii="Wingdings" w:hAnsi="Wingdings"/>
      </w:rPr>
    </w:lvl>
    <w:lvl w:ilvl="6" w:tplc="C5A04014" w:tentative="1">
      <w:start w:val="1"/>
      <w:numFmt w:val="bullet"/>
      <w:lvlText w:val=""/>
      <w:lvlJc w:val="left"/>
      <w:pPr>
        <w:ind w:left="5040" w:hanging="360"/>
      </w:pPr>
      <w:rPr>
        <w:rFonts w:ascii="Symbol" w:hAnsi="Symbol"/>
      </w:rPr>
    </w:lvl>
    <w:lvl w:ilvl="7" w:tplc="B72CC766" w:tentative="1">
      <w:start w:val="1"/>
      <w:numFmt w:val="bullet"/>
      <w:lvlText w:val="o"/>
      <w:lvlJc w:val="left"/>
      <w:pPr>
        <w:ind w:left="5760" w:hanging="360"/>
      </w:pPr>
      <w:rPr>
        <w:rFonts w:ascii="Courier New" w:hAnsi="Courier New"/>
      </w:rPr>
    </w:lvl>
    <w:lvl w:ilvl="8" w:tplc="0A6E7C50" w:tentative="1">
      <w:start w:val="1"/>
      <w:numFmt w:val="bullet"/>
      <w:lvlText w:val=""/>
      <w:lvlJc w:val="left"/>
      <w:pPr>
        <w:ind w:left="6480" w:hanging="360"/>
      </w:pPr>
      <w:rPr>
        <w:rFonts w:ascii="Wingdings" w:hAnsi="Wingdings"/>
      </w:rPr>
    </w:lvl>
  </w:abstractNum>
  <w:abstractNum w:abstractNumId="4" w15:restartNumberingAfterBreak="0">
    <w:nsid w:val="28AD1EB6"/>
    <w:multiLevelType w:val="hybridMultilevel"/>
    <w:tmpl w:val="A7FAA960"/>
    <w:lvl w:ilvl="0" w:tplc="32D22108">
      <w:start w:val="1"/>
      <w:numFmt w:val="bullet"/>
      <w:lvlText w:val=""/>
      <w:lvlJc w:val="left"/>
      <w:pPr>
        <w:ind w:left="720" w:hanging="360"/>
      </w:pPr>
      <w:rPr>
        <w:rFonts w:ascii="Symbol" w:hAnsi="Symbol"/>
      </w:rPr>
    </w:lvl>
    <w:lvl w:ilvl="1" w:tplc="9D58E702" w:tentative="1">
      <w:start w:val="1"/>
      <w:numFmt w:val="bullet"/>
      <w:lvlText w:val="o"/>
      <w:lvlJc w:val="left"/>
      <w:pPr>
        <w:ind w:left="1440" w:hanging="360"/>
      </w:pPr>
      <w:rPr>
        <w:rFonts w:ascii="Courier New" w:hAnsi="Courier New"/>
      </w:rPr>
    </w:lvl>
    <w:lvl w:ilvl="2" w:tplc="F90E2424" w:tentative="1">
      <w:start w:val="1"/>
      <w:numFmt w:val="bullet"/>
      <w:lvlText w:val=""/>
      <w:lvlJc w:val="left"/>
      <w:pPr>
        <w:ind w:left="2160" w:hanging="360"/>
      </w:pPr>
      <w:rPr>
        <w:rFonts w:ascii="Wingdings" w:hAnsi="Wingdings"/>
      </w:rPr>
    </w:lvl>
    <w:lvl w:ilvl="3" w:tplc="CB505656" w:tentative="1">
      <w:start w:val="1"/>
      <w:numFmt w:val="bullet"/>
      <w:lvlText w:val=""/>
      <w:lvlJc w:val="left"/>
      <w:pPr>
        <w:ind w:left="2880" w:hanging="360"/>
      </w:pPr>
      <w:rPr>
        <w:rFonts w:ascii="Symbol" w:hAnsi="Symbol"/>
      </w:rPr>
    </w:lvl>
    <w:lvl w:ilvl="4" w:tplc="818EAD40" w:tentative="1">
      <w:start w:val="1"/>
      <w:numFmt w:val="bullet"/>
      <w:lvlText w:val="o"/>
      <w:lvlJc w:val="left"/>
      <w:pPr>
        <w:ind w:left="3600" w:hanging="360"/>
      </w:pPr>
      <w:rPr>
        <w:rFonts w:ascii="Courier New" w:hAnsi="Courier New"/>
      </w:rPr>
    </w:lvl>
    <w:lvl w:ilvl="5" w:tplc="15CEE8BA" w:tentative="1">
      <w:start w:val="1"/>
      <w:numFmt w:val="bullet"/>
      <w:lvlText w:val=""/>
      <w:lvlJc w:val="left"/>
      <w:pPr>
        <w:ind w:left="4320" w:hanging="360"/>
      </w:pPr>
      <w:rPr>
        <w:rFonts w:ascii="Wingdings" w:hAnsi="Wingdings"/>
      </w:rPr>
    </w:lvl>
    <w:lvl w:ilvl="6" w:tplc="CAB04BA6" w:tentative="1">
      <w:start w:val="1"/>
      <w:numFmt w:val="bullet"/>
      <w:lvlText w:val=""/>
      <w:lvlJc w:val="left"/>
      <w:pPr>
        <w:ind w:left="5040" w:hanging="360"/>
      </w:pPr>
      <w:rPr>
        <w:rFonts w:ascii="Symbol" w:hAnsi="Symbol"/>
      </w:rPr>
    </w:lvl>
    <w:lvl w:ilvl="7" w:tplc="9DCC01BC" w:tentative="1">
      <w:start w:val="1"/>
      <w:numFmt w:val="bullet"/>
      <w:lvlText w:val="o"/>
      <w:lvlJc w:val="left"/>
      <w:pPr>
        <w:ind w:left="5760" w:hanging="360"/>
      </w:pPr>
      <w:rPr>
        <w:rFonts w:ascii="Courier New" w:hAnsi="Courier New"/>
      </w:rPr>
    </w:lvl>
    <w:lvl w:ilvl="8" w:tplc="D83AA402" w:tentative="1">
      <w:start w:val="1"/>
      <w:numFmt w:val="bullet"/>
      <w:lvlText w:val=""/>
      <w:lvlJc w:val="left"/>
      <w:pPr>
        <w:ind w:left="6480" w:hanging="360"/>
      </w:pPr>
      <w:rPr>
        <w:rFonts w:ascii="Wingdings" w:hAnsi="Wingdings"/>
      </w:rPr>
    </w:lvl>
  </w:abstractNum>
  <w:abstractNum w:abstractNumId="5" w15:restartNumberingAfterBreak="0">
    <w:nsid w:val="2E842A9E"/>
    <w:multiLevelType w:val="hybridMultilevel"/>
    <w:tmpl w:val="59A0CC7C"/>
    <w:lvl w:ilvl="0" w:tplc="2E6C34BE">
      <w:start w:val="1"/>
      <w:numFmt w:val="bullet"/>
      <w:lvlText w:val=""/>
      <w:lvlJc w:val="left"/>
      <w:pPr>
        <w:ind w:left="720" w:hanging="360"/>
      </w:pPr>
      <w:rPr>
        <w:rFonts w:ascii="Symbol" w:hAnsi="Symbol"/>
      </w:rPr>
    </w:lvl>
    <w:lvl w:ilvl="1" w:tplc="E2989E98" w:tentative="1">
      <w:start w:val="1"/>
      <w:numFmt w:val="bullet"/>
      <w:lvlText w:val="o"/>
      <w:lvlJc w:val="left"/>
      <w:pPr>
        <w:ind w:left="1440" w:hanging="360"/>
      </w:pPr>
      <w:rPr>
        <w:rFonts w:ascii="Courier New" w:hAnsi="Courier New"/>
      </w:rPr>
    </w:lvl>
    <w:lvl w:ilvl="2" w:tplc="9C8077A4" w:tentative="1">
      <w:start w:val="1"/>
      <w:numFmt w:val="bullet"/>
      <w:lvlText w:val=""/>
      <w:lvlJc w:val="left"/>
      <w:pPr>
        <w:ind w:left="2160" w:hanging="360"/>
      </w:pPr>
      <w:rPr>
        <w:rFonts w:ascii="Wingdings" w:hAnsi="Wingdings"/>
      </w:rPr>
    </w:lvl>
    <w:lvl w:ilvl="3" w:tplc="6370189E" w:tentative="1">
      <w:start w:val="1"/>
      <w:numFmt w:val="bullet"/>
      <w:lvlText w:val=""/>
      <w:lvlJc w:val="left"/>
      <w:pPr>
        <w:ind w:left="2880" w:hanging="360"/>
      </w:pPr>
      <w:rPr>
        <w:rFonts w:ascii="Symbol" w:hAnsi="Symbol"/>
      </w:rPr>
    </w:lvl>
    <w:lvl w:ilvl="4" w:tplc="C07CE4CC" w:tentative="1">
      <w:start w:val="1"/>
      <w:numFmt w:val="bullet"/>
      <w:lvlText w:val="o"/>
      <w:lvlJc w:val="left"/>
      <w:pPr>
        <w:ind w:left="3600" w:hanging="360"/>
      </w:pPr>
      <w:rPr>
        <w:rFonts w:ascii="Courier New" w:hAnsi="Courier New"/>
      </w:rPr>
    </w:lvl>
    <w:lvl w:ilvl="5" w:tplc="2142397E" w:tentative="1">
      <w:start w:val="1"/>
      <w:numFmt w:val="bullet"/>
      <w:lvlText w:val=""/>
      <w:lvlJc w:val="left"/>
      <w:pPr>
        <w:ind w:left="4320" w:hanging="360"/>
      </w:pPr>
      <w:rPr>
        <w:rFonts w:ascii="Wingdings" w:hAnsi="Wingdings"/>
      </w:rPr>
    </w:lvl>
    <w:lvl w:ilvl="6" w:tplc="110E94B6" w:tentative="1">
      <w:start w:val="1"/>
      <w:numFmt w:val="bullet"/>
      <w:lvlText w:val=""/>
      <w:lvlJc w:val="left"/>
      <w:pPr>
        <w:ind w:left="5040" w:hanging="360"/>
      </w:pPr>
      <w:rPr>
        <w:rFonts w:ascii="Symbol" w:hAnsi="Symbol"/>
      </w:rPr>
    </w:lvl>
    <w:lvl w:ilvl="7" w:tplc="9A5C2622" w:tentative="1">
      <w:start w:val="1"/>
      <w:numFmt w:val="bullet"/>
      <w:lvlText w:val="o"/>
      <w:lvlJc w:val="left"/>
      <w:pPr>
        <w:ind w:left="5760" w:hanging="360"/>
      </w:pPr>
      <w:rPr>
        <w:rFonts w:ascii="Courier New" w:hAnsi="Courier New"/>
      </w:rPr>
    </w:lvl>
    <w:lvl w:ilvl="8" w:tplc="44607BF2" w:tentative="1">
      <w:start w:val="1"/>
      <w:numFmt w:val="bullet"/>
      <w:lvlText w:val=""/>
      <w:lvlJc w:val="left"/>
      <w:pPr>
        <w:ind w:left="6480" w:hanging="360"/>
      </w:pPr>
      <w:rPr>
        <w:rFonts w:ascii="Wingdings" w:hAnsi="Wingdings"/>
      </w:rPr>
    </w:lvl>
  </w:abstractNum>
  <w:abstractNum w:abstractNumId="6" w15:restartNumberingAfterBreak="0">
    <w:nsid w:val="2F1E5C4C"/>
    <w:multiLevelType w:val="hybridMultilevel"/>
    <w:tmpl w:val="40349AB0"/>
    <w:lvl w:ilvl="0" w:tplc="B83A026C">
      <w:start w:val="1"/>
      <w:numFmt w:val="bullet"/>
      <w:lvlText w:val=""/>
      <w:lvlJc w:val="left"/>
      <w:pPr>
        <w:ind w:left="720" w:hanging="360"/>
      </w:pPr>
      <w:rPr>
        <w:rFonts w:ascii="Symbol" w:hAnsi="Symbol"/>
      </w:rPr>
    </w:lvl>
    <w:lvl w:ilvl="1" w:tplc="3544F4A6" w:tentative="1">
      <w:start w:val="1"/>
      <w:numFmt w:val="bullet"/>
      <w:lvlText w:val="o"/>
      <w:lvlJc w:val="left"/>
      <w:pPr>
        <w:ind w:left="1440" w:hanging="360"/>
      </w:pPr>
      <w:rPr>
        <w:rFonts w:ascii="Courier New" w:hAnsi="Courier New"/>
      </w:rPr>
    </w:lvl>
    <w:lvl w:ilvl="2" w:tplc="4B6CCB1E" w:tentative="1">
      <w:start w:val="1"/>
      <w:numFmt w:val="bullet"/>
      <w:lvlText w:val=""/>
      <w:lvlJc w:val="left"/>
      <w:pPr>
        <w:ind w:left="2160" w:hanging="360"/>
      </w:pPr>
      <w:rPr>
        <w:rFonts w:ascii="Wingdings" w:hAnsi="Wingdings"/>
      </w:rPr>
    </w:lvl>
    <w:lvl w:ilvl="3" w:tplc="FA7A9CE6" w:tentative="1">
      <w:start w:val="1"/>
      <w:numFmt w:val="bullet"/>
      <w:lvlText w:val=""/>
      <w:lvlJc w:val="left"/>
      <w:pPr>
        <w:ind w:left="2880" w:hanging="360"/>
      </w:pPr>
      <w:rPr>
        <w:rFonts w:ascii="Symbol" w:hAnsi="Symbol"/>
      </w:rPr>
    </w:lvl>
    <w:lvl w:ilvl="4" w:tplc="B67C2334" w:tentative="1">
      <w:start w:val="1"/>
      <w:numFmt w:val="bullet"/>
      <w:lvlText w:val="o"/>
      <w:lvlJc w:val="left"/>
      <w:pPr>
        <w:ind w:left="3600" w:hanging="360"/>
      </w:pPr>
      <w:rPr>
        <w:rFonts w:ascii="Courier New" w:hAnsi="Courier New"/>
      </w:rPr>
    </w:lvl>
    <w:lvl w:ilvl="5" w:tplc="E0B03F02" w:tentative="1">
      <w:start w:val="1"/>
      <w:numFmt w:val="bullet"/>
      <w:lvlText w:val=""/>
      <w:lvlJc w:val="left"/>
      <w:pPr>
        <w:ind w:left="4320" w:hanging="360"/>
      </w:pPr>
      <w:rPr>
        <w:rFonts w:ascii="Wingdings" w:hAnsi="Wingdings"/>
      </w:rPr>
    </w:lvl>
    <w:lvl w:ilvl="6" w:tplc="8D16F91C" w:tentative="1">
      <w:start w:val="1"/>
      <w:numFmt w:val="bullet"/>
      <w:lvlText w:val=""/>
      <w:lvlJc w:val="left"/>
      <w:pPr>
        <w:ind w:left="5040" w:hanging="360"/>
      </w:pPr>
      <w:rPr>
        <w:rFonts w:ascii="Symbol" w:hAnsi="Symbol"/>
      </w:rPr>
    </w:lvl>
    <w:lvl w:ilvl="7" w:tplc="30FED558" w:tentative="1">
      <w:start w:val="1"/>
      <w:numFmt w:val="bullet"/>
      <w:lvlText w:val="o"/>
      <w:lvlJc w:val="left"/>
      <w:pPr>
        <w:ind w:left="5760" w:hanging="360"/>
      </w:pPr>
      <w:rPr>
        <w:rFonts w:ascii="Courier New" w:hAnsi="Courier New"/>
      </w:rPr>
    </w:lvl>
    <w:lvl w:ilvl="8" w:tplc="0C2A00E2" w:tentative="1">
      <w:start w:val="1"/>
      <w:numFmt w:val="bullet"/>
      <w:lvlText w:val=""/>
      <w:lvlJc w:val="left"/>
      <w:pPr>
        <w:ind w:left="6480" w:hanging="360"/>
      </w:pPr>
      <w:rPr>
        <w:rFonts w:ascii="Wingdings" w:hAnsi="Wingdings"/>
      </w:rPr>
    </w:lvl>
  </w:abstractNum>
  <w:abstractNum w:abstractNumId="7" w15:restartNumberingAfterBreak="0">
    <w:nsid w:val="42CB362A"/>
    <w:multiLevelType w:val="hybridMultilevel"/>
    <w:tmpl w:val="4BEE6690"/>
    <w:lvl w:ilvl="0" w:tplc="3F365D34">
      <w:start w:val="1"/>
      <w:numFmt w:val="bullet"/>
      <w:lvlText w:val=""/>
      <w:lvlJc w:val="left"/>
      <w:pPr>
        <w:ind w:left="720" w:hanging="360"/>
      </w:pPr>
      <w:rPr>
        <w:rFonts w:ascii="Symbol" w:hAnsi="Symbol"/>
      </w:rPr>
    </w:lvl>
    <w:lvl w:ilvl="1" w:tplc="274270FE" w:tentative="1">
      <w:start w:val="1"/>
      <w:numFmt w:val="bullet"/>
      <w:lvlText w:val="o"/>
      <w:lvlJc w:val="left"/>
      <w:pPr>
        <w:ind w:left="1440" w:hanging="360"/>
      </w:pPr>
      <w:rPr>
        <w:rFonts w:ascii="Courier New" w:hAnsi="Courier New"/>
      </w:rPr>
    </w:lvl>
    <w:lvl w:ilvl="2" w:tplc="2B884792" w:tentative="1">
      <w:start w:val="1"/>
      <w:numFmt w:val="bullet"/>
      <w:lvlText w:val=""/>
      <w:lvlJc w:val="left"/>
      <w:pPr>
        <w:ind w:left="2160" w:hanging="360"/>
      </w:pPr>
      <w:rPr>
        <w:rFonts w:ascii="Wingdings" w:hAnsi="Wingdings"/>
      </w:rPr>
    </w:lvl>
    <w:lvl w:ilvl="3" w:tplc="F9AC022C" w:tentative="1">
      <w:start w:val="1"/>
      <w:numFmt w:val="bullet"/>
      <w:lvlText w:val=""/>
      <w:lvlJc w:val="left"/>
      <w:pPr>
        <w:ind w:left="2880" w:hanging="360"/>
      </w:pPr>
      <w:rPr>
        <w:rFonts w:ascii="Symbol" w:hAnsi="Symbol"/>
      </w:rPr>
    </w:lvl>
    <w:lvl w:ilvl="4" w:tplc="948A1876" w:tentative="1">
      <w:start w:val="1"/>
      <w:numFmt w:val="bullet"/>
      <w:lvlText w:val="o"/>
      <w:lvlJc w:val="left"/>
      <w:pPr>
        <w:ind w:left="3600" w:hanging="360"/>
      </w:pPr>
      <w:rPr>
        <w:rFonts w:ascii="Courier New" w:hAnsi="Courier New"/>
      </w:rPr>
    </w:lvl>
    <w:lvl w:ilvl="5" w:tplc="DE4ED0B8" w:tentative="1">
      <w:start w:val="1"/>
      <w:numFmt w:val="bullet"/>
      <w:lvlText w:val=""/>
      <w:lvlJc w:val="left"/>
      <w:pPr>
        <w:ind w:left="4320" w:hanging="360"/>
      </w:pPr>
      <w:rPr>
        <w:rFonts w:ascii="Wingdings" w:hAnsi="Wingdings"/>
      </w:rPr>
    </w:lvl>
    <w:lvl w:ilvl="6" w:tplc="B53AFBA4" w:tentative="1">
      <w:start w:val="1"/>
      <w:numFmt w:val="bullet"/>
      <w:lvlText w:val=""/>
      <w:lvlJc w:val="left"/>
      <w:pPr>
        <w:ind w:left="5040" w:hanging="360"/>
      </w:pPr>
      <w:rPr>
        <w:rFonts w:ascii="Symbol" w:hAnsi="Symbol"/>
      </w:rPr>
    </w:lvl>
    <w:lvl w:ilvl="7" w:tplc="6DEEDE88" w:tentative="1">
      <w:start w:val="1"/>
      <w:numFmt w:val="bullet"/>
      <w:lvlText w:val="o"/>
      <w:lvlJc w:val="left"/>
      <w:pPr>
        <w:ind w:left="5760" w:hanging="360"/>
      </w:pPr>
      <w:rPr>
        <w:rFonts w:ascii="Courier New" w:hAnsi="Courier New"/>
      </w:rPr>
    </w:lvl>
    <w:lvl w:ilvl="8" w:tplc="B88ECEFE" w:tentative="1">
      <w:start w:val="1"/>
      <w:numFmt w:val="bullet"/>
      <w:lvlText w:val=""/>
      <w:lvlJc w:val="left"/>
      <w:pPr>
        <w:ind w:left="6480" w:hanging="360"/>
      </w:pPr>
      <w:rPr>
        <w:rFonts w:ascii="Wingdings" w:hAnsi="Wingdings"/>
      </w:rPr>
    </w:lvl>
  </w:abstractNum>
  <w:abstractNum w:abstractNumId="8" w15:restartNumberingAfterBreak="0">
    <w:nsid w:val="4471689E"/>
    <w:multiLevelType w:val="hybridMultilevel"/>
    <w:tmpl w:val="7F0A398E"/>
    <w:lvl w:ilvl="0" w:tplc="4AF2AD1C">
      <w:start w:val="1"/>
      <w:numFmt w:val="bullet"/>
      <w:lvlText w:val=""/>
      <w:lvlJc w:val="left"/>
      <w:pPr>
        <w:ind w:left="720" w:hanging="360"/>
      </w:pPr>
      <w:rPr>
        <w:rFonts w:ascii="Symbol" w:hAnsi="Symbol"/>
      </w:rPr>
    </w:lvl>
    <w:lvl w:ilvl="1" w:tplc="B05C51E8" w:tentative="1">
      <w:start w:val="1"/>
      <w:numFmt w:val="bullet"/>
      <w:lvlText w:val="o"/>
      <w:lvlJc w:val="left"/>
      <w:pPr>
        <w:ind w:left="1440" w:hanging="360"/>
      </w:pPr>
      <w:rPr>
        <w:rFonts w:ascii="Courier New" w:hAnsi="Courier New"/>
      </w:rPr>
    </w:lvl>
    <w:lvl w:ilvl="2" w:tplc="BB8EBA30" w:tentative="1">
      <w:start w:val="1"/>
      <w:numFmt w:val="bullet"/>
      <w:lvlText w:val=""/>
      <w:lvlJc w:val="left"/>
      <w:pPr>
        <w:ind w:left="2160" w:hanging="360"/>
      </w:pPr>
      <w:rPr>
        <w:rFonts w:ascii="Wingdings" w:hAnsi="Wingdings"/>
      </w:rPr>
    </w:lvl>
    <w:lvl w:ilvl="3" w:tplc="62B40C82" w:tentative="1">
      <w:start w:val="1"/>
      <w:numFmt w:val="bullet"/>
      <w:lvlText w:val=""/>
      <w:lvlJc w:val="left"/>
      <w:pPr>
        <w:ind w:left="2880" w:hanging="360"/>
      </w:pPr>
      <w:rPr>
        <w:rFonts w:ascii="Symbol" w:hAnsi="Symbol"/>
      </w:rPr>
    </w:lvl>
    <w:lvl w:ilvl="4" w:tplc="3BEA143E" w:tentative="1">
      <w:start w:val="1"/>
      <w:numFmt w:val="bullet"/>
      <w:lvlText w:val="o"/>
      <w:lvlJc w:val="left"/>
      <w:pPr>
        <w:ind w:left="3600" w:hanging="360"/>
      </w:pPr>
      <w:rPr>
        <w:rFonts w:ascii="Courier New" w:hAnsi="Courier New"/>
      </w:rPr>
    </w:lvl>
    <w:lvl w:ilvl="5" w:tplc="D8945A2A" w:tentative="1">
      <w:start w:val="1"/>
      <w:numFmt w:val="bullet"/>
      <w:lvlText w:val=""/>
      <w:lvlJc w:val="left"/>
      <w:pPr>
        <w:ind w:left="4320" w:hanging="360"/>
      </w:pPr>
      <w:rPr>
        <w:rFonts w:ascii="Wingdings" w:hAnsi="Wingdings"/>
      </w:rPr>
    </w:lvl>
    <w:lvl w:ilvl="6" w:tplc="8FC615C6" w:tentative="1">
      <w:start w:val="1"/>
      <w:numFmt w:val="bullet"/>
      <w:lvlText w:val=""/>
      <w:lvlJc w:val="left"/>
      <w:pPr>
        <w:ind w:left="5040" w:hanging="360"/>
      </w:pPr>
      <w:rPr>
        <w:rFonts w:ascii="Symbol" w:hAnsi="Symbol"/>
      </w:rPr>
    </w:lvl>
    <w:lvl w:ilvl="7" w:tplc="B1A805BA" w:tentative="1">
      <w:start w:val="1"/>
      <w:numFmt w:val="bullet"/>
      <w:lvlText w:val="o"/>
      <w:lvlJc w:val="left"/>
      <w:pPr>
        <w:ind w:left="5760" w:hanging="360"/>
      </w:pPr>
      <w:rPr>
        <w:rFonts w:ascii="Courier New" w:hAnsi="Courier New"/>
      </w:rPr>
    </w:lvl>
    <w:lvl w:ilvl="8" w:tplc="2F58A6F8" w:tentative="1">
      <w:start w:val="1"/>
      <w:numFmt w:val="bullet"/>
      <w:lvlText w:val=""/>
      <w:lvlJc w:val="left"/>
      <w:pPr>
        <w:ind w:left="6480" w:hanging="360"/>
      </w:pPr>
      <w:rPr>
        <w:rFonts w:ascii="Wingdings" w:hAnsi="Wingdings"/>
      </w:rPr>
    </w:lvl>
  </w:abstractNum>
  <w:num w:numId="1" w16cid:durableId="820804581">
    <w:abstractNumId w:val="0"/>
  </w:num>
  <w:num w:numId="2" w16cid:durableId="166752434">
    <w:abstractNumId w:val="6"/>
  </w:num>
  <w:num w:numId="3" w16cid:durableId="937637306">
    <w:abstractNumId w:val="1"/>
  </w:num>
  <w:num w:numId="4" w16cid:durableId="367293257">
    <w:abstractNumId w:val="5"/>
  </w:num>
  <w:num w:numId="5" w16cid:durableId="1727608350">
    <w:abstractNumId w:val="4"/>
  </w:num>
  <w:num w:numId="6" w16cid:durableId="1632635724">
    <w:abstractNumId w:val="7"/>
  </w:num>
  <w:num w:numId="7" w16cid:durableId="242879474">
    <w:abstractNumId w:val="3"/>
  </w:num>
  <w:num w:numId="8" w16cid:durableId="1754278943">
    <w:abstractNumId w:val="8"/>
  </w:num>
  <w:num w:numId="9" w16cid:durableId="97479341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useFELayout/>
    <w:compatSetting w:name="compatibilityMode" w:uri="http://schemas.microsoft.com/office/word" w:val="14"/>
    <w:compatSetting w:name="useWord2013TrackBottomHyphenation" w:uri="http://schemas.microsoft.com/office/word" w:val="1"/>
  </w:compat>
  <w:rsids>
    <w:rsidRoot w:val="002C36C5"/>
    <w:rsid w:val="00121AEA"/>
    <w:rsid w:val="002C36C5"/>
    <w:rsid w:val="005E1BFD"/>
  </w:rsids>
  <m:mathPr>
    <m:mathFont m:val="Cambria Math"/>
    <m:brkBin m:val="before"/>
    <m:brkBinSub m:val="--"/>
    <m:smallFrac m:val="0"/>
    <m:dispDef/>
    <m:lMargin m:val="0"/>
    <m:rMargin m:val="0"/>
    <m:defJc m:val="centerGroup"/>
    <m:wrapIndent m:val="1440"/>
    <m:intLim m:val="subSup"/>
    <m:naryLim m:val="undOvr"/>
  </m:mathPr>
  <w:themeFontLang w:val="en-US" w:eastAsia="zh-CN" w:bidi="ar-Y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0AD12"/>
  <w15:docId w15:val="{9382AF73-17BE-4D7F-832A-391FF13E59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2F5496" w:themeColor="accent1" w:themeShade="BF"/>
      <w:sz w:val="28"/>
      <w:szCs w:val="28"/>
    </w:rPr>
  </w:style>
  <w:style w:type="paragraph" w:styleId="Heading2">
    <w:name w:val="heading 2"/>
    <w:basedOn w:val="Normal"/>
    <w:next w:val="Normal"/>
    <w:link w:val="Heading2Char"/>
    <w:uiPriority w:val="9"/>
    <w:semiHidden/>
    <w:unhideWhenUsed/>
    <w:qFormat/>
    <w:pPr>
      <w:keepNext/>
      <w:keepLines/>
      <w:spacing w:before="200" w:after="0"/>
      <w:outlineLvl w:val="1"/>
    </w:pPr>
    <w:rPr>
      <w:rFonts w:asciiTheme="majorHAnsi" w:eastAsiaTheme="majorEastAsia" w:hAnsiTheme="majorHAnsi" w:cstheme="majorBidi"/>
      <w:b/>
      <w:bCs/>
      <w:color w:val="4472C4" w:themeColor="accent1"/>
      <w:sz w:val="26"/>
      <w:szCs w:val="26"/>
    </w:rPr>
  </w:style>
  <w:style w:type="paragraph" w:styleId="Heading3">
    <w:name w:val="heading 3"/>
    <w:basedOn w:val="Normal"/>
    <w:next w:val="Normal"/>
    <w:link w:val="Heading3Char"/>
    <w:uiPriority w:val="9"/>
    <w:semiHidden/>
    <w:unhideWhenUsed/>
    <w:qFormat/>
    <w:pPr>
      <w:keepNext/>
      <w:keepLines/>
      <w:spacing w:before="200" w:after="0"/>
      <w:outlineLvl w:val="2"/>
    </w:pPr>
    <w:rPr>
      <w:rFonts w:asciiTheme="majorHAnsi" w:eastAsiaTheme="majorEastAsia" w:hAnsiTheme="majorHAnsi" w:cstheme="majorBidi"/>
      <w:b/>
      <w:bCs/>
      <w:color w:val="4472C4"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472C4"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1F3763" w:themeColor="accent1" w:themeShade="7F"/>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1F3763" w:themeColor="accent1" w:themeShade="7F"/>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pPr>
      <w:spacing w:after="0" w:line="240" w:lineRule="auto"/>
    </w:p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2F5496"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472C4"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472C4" w:themeColor="accent1"/>
    </w:rPr>
  </w:style>
  <w:style w:type="character" w:customStyle="1" w:styleId="Heading4Char">
    <w:name w:val="Heading 4 Char"/>
    <w:basedOn w:val="DefaultParagraphFont"/>
    <w:link w:val="Heading4"/>
    <w:uiPriority w:val="9"/>
    <w:rPr>
      <w:rFonts w:asciiTheme="majorHAnsi" w:eastAsiaTheme="majorEastAsia" w:hAnsiTheme="majorHAnsi" w:cstheme="majorBidi"/>
      <w:b/>
      <w:bCs/>
      <w:i/>
      <w:iCs/>
      <w:color w:val="4472C4" w:themeColor="accent1"/>
    </w:rPr>
  </w:style>
  <w:style w:type="character" w:customStyle="1" w:styleId="Heading5Char">
    <w:name w:val="Heading 5 Char"/>
    <w:basedOn w:val="DefaultParagraphFont"/>
    <w:link w:val="Heading5"/>
    <w:uiPriority w:val="9"/>
    <w:rPr>
      <w:rFonts w:asciiTheme="majorHAnsi" w:eastAsiaTheme="majorEastAsia" w:hAnsiTheme="majorHAnsi" w:cstheme="majorBidi"/>
      <w:color w:val="1F3763" w:themeColor="accent1" w:themeShade="7F"/>
    </w:rPr>
  </w:style>
  <w:style w:type="character" w:customStyle="1" w:styleId="Heading6Char">
    <w:name w:val="Heading 6 Char"/>
    <w:basedOn w:val="DefaultParagraphFont"/>
    <w:link w:val="Heading6"/>
    <w:uiPriority w:val="9"/>
    <w:rPr>
      <w:rFonts w:asciiTheme="majorHAnsi" w:eastAsiaTheme="majorEastAsia" w:hAnsiTheme="majorHAnsi" w:cstheme="majorBidi"/>
      <w:i/>
      <w:iCs/>
      <w:color w:val="1F3763" w:themeColor="accent1" w:themeShade="7F"/>
    </w:rPr>
  </w:style>
  <w:style w:type="character" w:customStyle="1" w:styleId="Heading7Char">
    <w:name w:val="Heading 7 Char"/>
    <w:basedOn w:val="DefaultParagraphFont"/>
    <w:link w:val="Heading7"/>
    <w:uiPriority w:val="9"/>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sz w:val="52"/>
      <w:szCs w:val="52"/>
    </w:rPr>
  </w:style>
  <w:style w:type="character" w:customStyle="1" w:styleId="TitleChar">
    <w:name w:val="Title Char"/>
    <w:basedOn w:val="DefaultParagraphFont"/>
    <w:link w:val="Title"/>
    <w:uiPriority w:val="10"/>
    <w:rPr>
      <w:rFonts w:asciiTheme="majorHAnsi" w:eastAsiaTheme="majorEastAsia" w:hAnsiTheme="majorHAnsi" w:cstheme="majorBidi"/>
      <w:color w:val="323E4F" w:themeColor="text2" w:themeShade="BF"/>
      <w:spacing w:val="5"/>
      <w:sz w:val="52"/>
      <w:szCs w:val="52"/>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472C4" w:themeColor="accent1"/>
      <w:spacing w:val="15"/>
      <w:sz w:val="24"/>
      <w:szCs w:val="24"/>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472C4" w:themeColor="accent1"/>
      <w:spacing w:val="15"/>
      <w:sz w:val="24"/>
      <w:szCs w:val="24"/>
    </w:rPr>
  </w:style>
  <w:style w:type="character" w:styleId="SubtleEmphasis">
    <w:name w:val="Subtle Emphasis"/>
    <w:basedOn w:val="DefaultParagraphFont"/>
    <w:uiPriority w:val="19"/>
    <w:qFormat/>
    <w:rPr>
      <w:i/>
      <w:iCs/>
      <w:color w:val="808080" w:themeColor="text1" w:themeTint="7F"/>
    </w:rPr>
  </w:style>
  <w:style w:type="character" w:styleId="Emphasis">
    <w:name w:val="Emphasis"/>
    <w:basedOn w:val="DefaultParagraphFont"/>
    <w:uiPriority w:val="20"/>
    <w:qFormat/>
    <w:rPr>
      <w:i/>
      <w:iCs/>
    </w:rPr>
  </w:style>
  <w:style w:type="character" w:styleId="IntenseEmphasis">
    <w:name w:val="Intense Emphasis"/>
    <w:basedOn w:val="DefaultParagraphFont"/>
    <w:uiPriority w:val="21"/>
    <w:qFormat/>
    <w:rPr>
      <w:b/>
      <w:bCs/>
      <w:i/>
      <w:iCs/>
      <w:color w:val="4472C4" w:themeColor="accent1"/>
    </w:rPr>
  </w:style>
  <w:style w:type="character" w:styleId="Strong">
    <w:name w:val="Strong"/>
    <w:basedOn w:val="DefaultParagraphFont"/>
    <w:uiPriority w:val="22"/>
    <w:qFormat/>
    <w:rPr>
      <w:b/>
      <w:bCs/>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paragraph" w:styleId="IntenseQuote">
    <w:name w:val="Intense Quote"/>
    <w:basedOn w:val="Normal"/>
    <w:next w:val="Normal"/>
    <w:link w:val="IntenseQuoteChar"/>
    <w:uiPriority w:val="30"/>
    <w:qFormat/>
    <w:pPr>
      <w:pBdr>
        <w:bottom w:val="single" w:sz="4" w:space="4" w:color="4472C4" w:themeColor="accent1"/>
      </w:pBdr>
      <w:spacing w:before="200" w:after="280"/>
      <w:ind w:left="936" w:right="936"/>
    </w:pPr>
    <w:rPr>
      <w:b/>
      <w:bCs/>
      <w:i/>
      <w:iCs/>
      <w:color w:val="4472C4" w:themeColor="accent1"/>
    </w:rPr>
  </w:style>
  <w:style w:type="character" w:customStyle="1" w:styleId="IntenseQuoteChar">
    <w:name w:val="Intense Quote Char"/>
    <w:basedOn w:val="DefaultParagraphFont"/>
    <w:link w:val="IntenseQuote"/>
    <w:uiPriority w:val="30"/>
    <w:rPr>
      <w:b/>
      <w:bCs/>
      <w:i/>
      <w:iCs/>
      <w:color w:val="4472C4" w:themeColor="accent1"/>
    </w:rPr>
  </w:style>
  <w:style w:type="character" w:styleId="SubtleReference">
    <w:name w:val="Subtle Reference"/>
    <w:basedOn w:val="DefaultParagraphFont"/>
    <w:uiPriority w:val="31"/>
    <w:qFormat/>
    <w:rPr>
      <w:smallCaps/>
      <w:color w:val="ED7D31" w:themeColor="accent2"/>
      <w:u w:val="single"/>
    </w:rPr>
  </w:style>
  <w:style w:type="character" w:styleId="IntenseReference">
    <w:name w:val="Intense Reference"/>
    <w:basedOn w:val="DefaultParagraphFont"/>
    <w:uiPriority w:val="32"/>
    <w:qFormat/>
    <w:rPr>
      <w:b/>
      <w:bCs/>
      <w:smallCaps/>
      <w:color w:val="ED7D31" w:themeColor="accent2"/>
      <w:spacing w:val="5"/>
      <w:u w:val="single"/>
    </w:rPr>
  </w:style>
  <w:style w:type="character" w:styleId="BookTitle">
    <w:name w:val="Book Title"/>
    <w:basedOn w:val="DefaultParagraphFont"/>
    <w:uiPriority w:val="33"/>
    <w:qFormat/>
    <w:rPr>
      <w:b/>
      <w:bCs/>
      <w:smallCaps/>
      <w:spacing w:val="5"/>
    </w:rPr>
  </w:style>
  <w:style w:type="paragraph" w:styleId="ListParagraph">
    <w:name w:val="List Paragraph"/>
    <w:basedOn w:val="Normal"/>
    <w:uiPriority w:val="34"/>
    <w:qFormat/>
    <w:pPr>
      <w:ind w:left="720"/>
      <w:contextualSpacing/>
    </w:p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basedOn w:val="DefaultParagraphFont"/>
    <w:link w:val="FootnoteText"/>
    <w:uiPriority w:val="99"/>
    <w:semiHidden/>
    <w:rPr>
      <w:sz w:val="20"/>
      <w:szCs w:val="20"/>
    </w:rPr>
  </w:style>
  <w:style w:type="character" w:styleId="FootnoteReference">
    <w:name w:val="foot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basedOn w:val="DefaultParagraphFont"/>
    <w:link w:val="EndnoteText"/>
    <w:uiPriority w:val="99"/>
    <w:semiHidden/>
    <w:rPr>
      <w:sz w:val="20"/>
      <w:szCs w:val="20"/>
    </w:rPr>
  </w:style>
  <w:style w:type="character" w:styleId="EndnoteReference">
    <w:name w:val="endnote reference"/>
    <w:basedOn w:val="DefaultParagraphFont"/>
    <w:uiPriority w:val="99"/>
    <w:semiHidden/>
    <w:unhideWhenUsed/>
    <w:rPr>
      <w:vertAlign w:val="superscript"/>
    </w:rPr>
  </w:style>
  <w:style w:type="character" w:styleId="Hyperlink">
    <w:name w:val="Hyperlink"/>
    <w:basedOn w:val="DefaultParagraphFont"/>
    <w:uiPriority w:val="99"/>
    <w:unhideWhenUsed/>
    <w:rPr>
      <w:color w:val="0563C1" w:themeColor="hyperlink"/>
      <w:u w:val="single"/>
    </w:rPr>
  </w:style>
  <w:style w:type="character" w:styleId="FollowedHyperlink">
    <w:name w:val="FollowedHyperlink"/>
    <w:basedOn w:val="DefaultParagraphFont"/>
    <w:uiPriority w:val="99"/>
    <w:semiHidden/>
    <w:unhideWhenUsed/>
    <w:rPr>
      <w:color w:val="954F72" w:themeColor="followedHyperlink"/>
      <w:u w:val="single"/>
    </w:rPr>
  </w:style>
  <w:style w:type="paragraph" w:styleId="PlainText">
    <w:name w:val="Plain Text"/>
    <w:basedOn w:val="Normal"/>
    <w:link w:val="PlainTextChar"/>
    <w:uiPriority w:val="99"/>
    <w:semiHidden/>
    <w:unhideWhenUsed/>
    <w:pPr>
      <w:spacing w:after="0" w:line="240" w:lineRule="auto"/>
    </w:pPr>
    <w:rPr>
      <w:rFonts w:ascii="Courier New" w:hAnsi="Courier New" w:cs="Courier New"/>
      <w:sz w:val="21"/>
      <w:szCs w:val="21"/>
    </w:rPr>
  </w:style>
  <w:style w:type="character" w:customStyle="1" w:styleId="PlainTextChar">
    <w:name w:val="Plain Text Char"/>
    <w:basedOn w:val="DefaultParagraphFont"/>
    <w:link w:val="PlainText"/>
    <w:uiPriority w:val="99"/>
    <w:rPr>
      <w:rFonts w:ascii="Courier New" w:hAnsi="Courier New" w:cs="Courier New"/>
      <w:sz w:val="21"/>
      <w:szCs w:val="21"/>
    </w:rPr>
  </w:style>
  <w:style w:type="paragraph" w:styleId="Header">
    <w:name w:val="header"/>
    <w:basedOn w:val="Normal"/>
    <w:link w:val="HeaderChar"/>
    <w:uiPriority w:val="99"/>
    <w:unhideWhenUsed/>
    <w:pPr>
      <w:spacing w:after="0" w:line="240" w:lineRule="auto"/>
    </w:pPr>
  </w:style>
  <w:style w:type="character" w:customStyle="1" w:styleId="HeaderChar">
    <w:name w:val="Header Char"/>
    <w:basedOn w:val="DefaultParagraphFont"/>
    <w:link w:val="Header"/>
    <w:uiPriority w:val="99"/>
  </w:style>
  <w:style w:type="paragraph" w:styleId="Footer">
    <w:name w:val="footer"/>
    <w:basedOn w:val="Normal"/>
    <w:link w:val="FooterChar"/>
    <w:uiPriority w:val="99"/>
    <w:unhideWhenUsed/>
    <w:pPr>
      <w:spacing w:after="0" w:line="240" w:lineRule="auto"/>
    </w:pPr>
  </w:style>
  <w:style w:type="character" w:customStyle="1" w:styleId="FooterChar">
    <w:name w:val="Footer Char"/>
    <w:basedOn w:val="DefaultParagraphFont"/>
    <w:link w:val="Footer"/>
    <w:uiPriority w:val="99"/>
  </w:style>
  <w:style w:type="paragraph" w:styleId="Caption">
    <w:name w:val="caption"/>
    <w:basedOn w:val="Normal"/>
    <w:next w:val="Normal"/>
    <w:uiPriority w:val="35"/>
    <w:unhideWhenUsed/>
    <w:qFormat/>
    <w:pPr>
      <w:spacing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افتراضي">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Arab" typeface="Times New Roman"/>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Times New Roman"/>
        <a:font script="Knda" typeface="Tunga"/>
        <a:font script="Khmr" typeface="MoolBoran"/>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Angsan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Light"/>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Light"/>
        <a:font script="Olck" typeface="Nirmala UI"/>
        <a:font script="Lisu" typeface="Segoe UI"/>
        <a:font script="Sora" typeface="Nirmala UI"/>
      </a:majorFont>
      <a:minorFont>
        <a:latin typeface="Calibri" panose="020F0502020204030204"/>
        <a:ea typeface=""/>
        <a:cs typeface=""/>
        <a:font script="Arab" typeface="Arial"/>
        <a:font script="Armn" typeface="Arial"/>
        <a:font script="Beng" typeface="Vrinda"/>
        <a:font script="Bopo" typeface="Microsoft JhengHei"/>
        <a:font script="Cher" typeface="Plantagenet Cherokee"/>
        <a:font script="Deva" typeface="Mangal"/>
        <a:font script="Ethi" typeface="Nyala"/>
        <a:font script="Geor" typeface="Sylfaen"/>
        <a:font script="Gujr" typeface="Shruti"/>
        <a:font script="Guru" typeface="Raavi"/>
        <a:font script="Hang" typeface="맑은 고딕"/>
        <a:font script="Hebr" typeface="Arial"/>
        <a:font script="Knda" typeface="Tunga"/>
        <a:font script="Khmr" typeface="DaunPenh"/>
        <a:font script="Laoo" typeface="DokChampa"/>
        <a:font script="Mlym" typeface="Kartika"/>
        <a:font script="Mong" typeface="Mongolian Baiti"/>
        <a:font script="Mymr" typeface="Myanmar Text"/>
        <a:font script="Orya" typeface="Kalinga"/>
        <a:font script="Sinh" typeface="Iskoola Pota"/>
        <a:font script="Syrc" typeface="Estrangelo Edessa"/>
        <a:font script="Taml" typeface="Latha"/>
        <a:font script="Telu" typeface="Gautami"/>
        <a:font script="Thaa" typeface="MV Boli"/>
        <a:font script="Thai" typeface="Cordia New"/>
        <a:font script="Tibt" typeface="Microsoft Himalaya"/>
        <a:font script="Cans" typeface="Euphemia"/>
        <a:font script="Yiii" typeface="Microsoft Yi Baiti"/>
        <a:font script="Osma" typeface="Ebrima"/>
        <a:font script="Tale" typeface="Microsoft Tai Le"/>
        <a:font script="Bugi" typeface="Leelawadee UI"/>
        <a:font script="Talu" typeface="Microsoft New Tai Lue"/>
        <a:font script="Tfng" typeface="Ebrima"/>
        <a:font script="Hans" typeface="等线"/>
        <a:font script="Hant" typeface="新細明體"/>
        <a:font script="Java" typeface="Javanese Text"/>
        <a:font script="Nkoo" typeface="Ebrima"/>
        <a:font script="Phag" typeface="Phagspa"/>
        <a:font script="Syre" typeface="Estrangelo Edessa"/>
        <a:font script="Syrj" typeface="Estrangelo Edessa"/>
        <a:font script="Syrn" typeface="Estrangelo Edessa"/>
        <a:font script="Jpan" typeface="游ゴシック"/>
        <a:font script="Olck" typeface="Nirmala UI"/>
        <a:font script="Lisu" typeface="Segoe UI"/>
        <a:font script="Sora" typeface="Nirmala UI"/>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15</Pages>
  <Words>2698</Words>
  <Characters>18136</Characters>
  <Application>Microsoft Office Word</Application>
  <DocSecurity>0</DocSecurity>
  <Lines>329</Lines>
  <Paragraphs>89</Paragraphs>
  <ScaleCrop>false</ScaleCrop>
  <Company/>
  <LinksUpToDate>false</LinksUpToDate>
  <CharactersWithSpaces>20745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Unknown</dc:creator>
  <cp:lastModifiedBy>Ali Saleh Alhammadi</cp:lastModifiedBy>
  <cp:revision>2</cp:revision>
  <dcterms:created xsi:type="dcterms:W3CDTF">2026-01-12T13:06:00Z</dcterms:created>
  <dcterms:modified xsi:type="dcterms:W3CDTF">2026-01-12T13:07:00Z</dcterms:modified>
</cp:coreProperties>
</file>