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E0E5" w14:textId="61AEF96D" w:rsidR="00B00B28" w:rsidRPr="006C5144" w:rsidRDefault="00000000" w:rsidP="00B00B28">
      <w:pPr>
        <w:jc w:val="both"/>
        <w:rPr>
          <w:rFonts w:ascii="Times New Roman" w:hAnsi="Times New Roman" w:cs="Times New Roman"/>
          <w:b/>
          <w:bCs/>
          <w:sz w:val="24"/>
          <w:szCs w:val="24"/>
        </w:rPr>
      </w:pPr>
      <w:r w:rsidRPr="006C5144">
        <w:rPr>
          <w:rFonts w:ascii="Times New Roman" w:hAnsi="Times New Roman" w:cs="Times New Roman"/>
          <w:b/>
          <w:bCs/>
          <w:sz w:val="24"/>
          <w:szCs w:val="24"/>
        </w:rPr>
        <w:t>Nikolaos Archontas</w:t>
      </w:r>
    </w:p>
    <w:p w14:paraId="19493712" w14:textId="40CC8856" w:rsidR="00455723" w:rsidRPr="006C5144" w:rsidRDefault="00000000" w:rsidP="00B00B28">
      <w:pPr>
        <w:jc w:val="both"/>
        <w:rPr>
          <w:rFonts w:ascii="Times New Roman" w:hAnsi="Times New Roman" w:cs="Times New Roman"/>
          <w:sz w:val="24"/>
          <w:szCs w:val="24"/>
        </w:rPr>
      </w:pPr>
      <w:r w:rsidRPr="006C5144">
        <w:rPr>
          <w:rFonts w:ascii="Times New Roman" w:hAnsi="Times New Roman" w:cs="Times New Roman"/>
          <w:sz w:val="24"/>
          <w:szCs w:val="24"/>
        </w:rPr>
        <w:t>The position of Abi is a guest of an essential conflict between professional loyalty toward a customer and superior ethical duty of truth, popular interest, and professionalism. The post clearly identifies that ethical statistics is not merely pursuing non-fabrication, but rather, constructing findings, presenting them and even manipulating them. In that regard, the focus on transparency plays a critical role, as it demonstrates that the concept of selective omission can be as harmful as falsification</w:t>
      </w:r>
      <w:r w:rsidR="006C5144" w:rsidRPr="006C5144">
        <w:rPr>
          <w:rFonts w:ascii="Times New Roman" w:hAnsi="Times New Roman" w:cs="Times New Roman"/>
          <w:sz w:val="24"/>
          <w:szCs w:val="24"/>
          <w:lang w:val="en-US"/>
        </w:rPr>
        <w:t xml:space="preserve"> </w:t>
      </w:r>
      <w:r w:rsidR="006C5144" w:rsidRPr="006C5144">
        <w:rPr>
          <w:rFonts w:ascii="Times New Roman" w:hAnsi="Times New Roman" w:cs="Times New Roman"/>
          <w:sz w:val="24"/>
          <w:szCs w:val="24"/>
        </w:rPr>
        <w:t>(Miao et al., 2023)</w:t>
      </w:r>
      <w:r w:rsidRPr="006C5144">
        <w:rPr>
          <w:rFonts w:ascii="Times New Roman" w:hAnsi="Times New Roman" w:cs="Times New Roman"/>
          <w:sz w:val="24"/>
          <w:szCs w:val="24"/>
        </w:rPr>
        <w:t>. It undermines the reproducibility, distorts decision makers and eventually undermines trust in evidence based practice. The mention of the BCS Code of Ethics is especially useful, as it expands the set of responsibilities that Abi has regarding data quality to societal and professional responsibility. By incorporating his name into the analysis, Abi implicitly makes it clear that his work is full, sincere and it is delivered responsibly</w:t>
      </w:r>
      <w:r w:rsidR="006C5144" w:rsidRPr="006C5144">
        <w:rPr>
          <w:rFonts w:ascii="Times New Roman" w:hAnsi="Times New Roman" w:cs="Times New Roman"/>
          <w:sz w:val="24"/>
          <w:szCs w:val="24"/>
          <w:lang w:val="en-US"/>
        </w:rPr>
        <w:t xml:space="preserve"> (Taquette &amp; Souza, 2022)</w:t>
      </w:r>
      <w:r w:rsidRPr="006C5144">
        <w:rPr>
          <w:rFonts w:ascii="Times New Roman" w:hAnsi="Times New Roman" w:cs="Times New Roman"/>
          <w:sz w:val="24"/>
          <w:szCs w:val="24"/>
        </w:rPr>
        <w:t>. When he decides to selectively disclose information with the understanding of doing so, he will have been involved in the falsification of evidence, though he may not have actually manipulated the information. This is consistent with the claim of Fjeld et al. (2020) that accountability need to be spread throughout the information generation cycle and not only to the technical level. What you propose is thus one which is practical and ethically constructive; that Abi should insist on full disclosure of all the results, including unfavourable results. In case of refusal by the manufacturer, he may express limitations expressly in the report, find written commitments, or, finally, withdraw authorship. These measures safeguard his integrity and give signals that there is no moral obligation stop at the analytical level</w:t>
      </w:r>
      <w:r w:rsidR="006C5144" w:rsidRPr="006C5144">
        <w:rPr>
          <w:rFonts w:ascii="Times New Roman" w:hAnsi="Times New Roman" w:cs="Times New Roman"/>
          <w:sz w:val="24"/>
          <w:szCs w:val="24"/>
          <w:lang w:val="en-US"/>
        </w:rPr>
        <w:t xml:space="preserve"> </w:t>
      </w:r>
      <w:r w:rsidR="006C5144" w:rsidRPr="006C5144">
        <w:rPr>
          <w:rFonts w:ascii="Times New Roman" w:hAnsi="Times New Roman" w:cs="Times New Roman"/>
          <w:sz w:val="24"/>
          <w:szCs w:val="24"/>
        </w:rPr>
        <w:t>(Gouvea, 2024)</w:t>
      </w:r>
      <w:r w:rsidRPr="006C5144">
        <w:rPr>
          <w:rFonts w:ascii="Times New Roman" w:hAnsi="Times New Roman" w:cs="Times New Roman"/>
          <w:sz w:val="24"/>
          <w:szCs w:val="24"/>
        </w:rPr>
        <w:t>. It is also important to mention that transparency helps organisations too, which would bolster argument. Hiding adverse information can lead to the short-term benefit, but it is fraught with regulatory fines, damage to reputation and the decisions. Ethical practice is an asset, thus, strategic, as well as a moral obligation.</w:t>
      </w:r>
    </w:p>
    <w:p w14:paraId="147CF3CE" w14:textId="157F3D6A" w:rsidR="00B00B28" w:rsidRPr="006C5144" w:rsidRDefault="00000000" w:rsidP="00B00B28">
      <w:pPr>
        <w:jc w:val="both"/>
        <w:rPr>
          <w:rFonts w:ascii="Times New Roman" w:hAnsi="Times New Roman" w:cs="Times New Roman"/>
          <w:sz w:val="24"/>
          <w:szCs w:val="24"/>
          <w:lang w:val="en-US"/>
        </w:rPr>
      </w:pPr>
      <w:r w:rsidRPr="006C5144">
        <w:rPr>
          <w:rFonts w:ascii="Times New Roman" w:hAnsi="Times New Roman" w:cs="Times New Roman"/>
          <w:b/>
          <w:bCs/>
          <w:sz w:val="24"/>
          <w:szCs w:val="24"/>
          <w:lang w:val="en-US"/>
        </w:rPr>
        <w:t>References</w:t>
      </w:r>
    </w:p>
    <w:p w14:paraId="4D63C534" w14:textId="055393EA" w:rsidR="00B00B28" w:rsidRPr="006C5144" w:rsidRDefault="00000000" w:rsidP="00B00B28">
      <w:pPr>
        <w:ind w:left="720" w:hanging="720"/>
        <w:jc w:val="both"/>
        <w:rPr>
          <w:rFonts w:ascii="Times New Roman" w:hAnsi="Times New Roman" w:cs="Times New Roman"/>
          <w:color w:val="222222"/>
          <w:sz w:val="24"/>
          <w:szCs w:val="24"/>
          <w:shd w:val="clear" w:color="auto" w:fill="FFFFFF"/>
          <w:lang w:val="en-US"/>
        </w:rPr>
      </w:pPr>
      <w:r w:rsidRPr="006C5144">
        <w:rPr>
          <w:rFonts w:ascii="Times New Roman" w:hAnsi="Times New Roman" w:cs="Times New Roman"/>
          <w:color w:val="222222"/>
          <w:sz w:val="24"/>
          <w:szCs w:val="24"/>
          <w:shd w:val="clear" w:color="auto" w:fill="FFFFFF"/>
        </w:rPr>
        <w:t>Taquette, S.R. and Borges da Matta Souza, L.M., 2022. Ethical dilemmas in qualitative research: A critical literature review. </w:t>
      </w:r>
      <w:r w:rsidRPr="006C5144">
        <w:rPr>
          <w:rFonts w:ascii="Times New Roman" w:hAnsi="Times New Roman" w:cs="Times New Roman"/>
          <w:i/>
          <w:iCs/>
          <w:color w:val="222222"/>
          <w:sz w:val="24"/>
          <w:szCs w:val="24"/>
          <w:shd w:val="clear" w:color="auto" w:fill="FFFFFF"/>
        </w:rPr>
        <w:t>International Journal of Qualitative Methods</w:t>
      </w:r>
      <w:r w:rsidRPr="006C5144">
        <w:rPr>
          <w:rFonts w:ascii="Times New Roman" w:hAnsi="Times New Roman" w:cs="Times New Roman"/>
          <w:color w:val="222222"/>
          <w:sz w:val="24"/>
          <w:szCs w:val="24"/>
          <w:shd w:val="clear" w:color="auto" w:fill="FFFFFF"/>
        </w:rPr>
        <w:t>, </w:t>
      </w:r>
      <w:r w:rsidRPr="006C5144">
        <w:rPr>
          <w:rFonts w:ascii="Times New Roman" w:hAnsi="Times New Roman" w:cs="Times New Roman"/>
          <w:i/>
          <w:iCs/>
          <w:color w:val="222222"/>
          <w:sz w:val="24"/>
          <w:szCs w:val="24"/>
          <w:shd w:val="clear" w:color="auto" w:fill="FFFFFF"/>
        </w:rPr>
        <w:t>21</w:t>
      </w:r>
      <w:r w:rsidRPr="006C5144">
        <w:rPr>
          <w:rFonts w:ascii="Times New Roman" w:hAnsi="Times New Roman" w:cs="Times New Roman"/>
          <w:color w:val="222222"/>
          <w:sz w:val="24"/>
          <w:szCs w:val="24"/>
          <w:shd w:val="clear" w:color="auto" w:fill="FFFFFF"/>
        </w:rPr>
        <w:t>, p.16094069221078731.</w:t>
      </w:r>
      <w:r w:rsidRPr="006C5144">
        <w:rPr>
          <w:rFonts w:ascii="Times New Roman" w:hAnsi="Times New Roman" w:cs="Times New Roman"/>
          <w:color w:val="222222"/>
          <w:sz w:val="24"/>
          <w:szCs w:val="24"/>
          <w:shd w:val="clear" w:color="auto" w:fill="FFFFFF"/>
          <w:lang w:val="en-US"/>
        </w:rPr>
        <w:t xml:space="preserve"> Available at: </w:t>
      </w:r>
      <w:hyperlink r:id="rId4" w:history="1">
        <w:r w:rsidR="00B00B28" w:rsidRPr="006C5144">
          <w:rPr>
            <w:rStyle w:val="Hyperlink"/>
            <w:rFonts w:ascii="Times New Roman" w:hAnsi="Times New Roman" w:cs="Times New Roman"/>
            <w:sz w:val="24"/>
            <w:szCs w:val="24"/>
            <w:shd w:val="clear" w:color="auto" w:fill="FFFFFF"/>
          </w:rPr>
          <w:t>https://doi.org/10.1177/1609406922107873</w:t>
        </w:r>
      </w:hyperlink>
      <w:r w:rsidRPr="006C5144">
        <w:rPr>
          <w:rFonts w:ascii="Times New Roman" w:hAnsi="Times New Roman" w:cs="Times New Roman"/>
          <w:sz w:val="24"/>
          <w:szCs w:val="24"/>
          <w:lang w:val="en-US"/>
        </w:rPr>
        <w:t xml:space="preserve"> [Accessed: 10 December 2025]</w:t>
      </w:r>
    </w:p>
    <w:p w14:paraId="5F4F812E" w14:textId="33E6CE83" w:rsidR="00B00B28" w:rsidRPr="006C5144" w:rsidRDefault="00000000" w:rsidP="00B00B28">
      <w:pPr>
        <w:ind w:left="720" w:hanging="720"/>
        <w:jc w:val="both"/>
        <w:rPr>
          <w:rFonts w:ascii="Times New Roman" w:hAnsi="Times New Roman" w:cs="Times New Roman"/>
          <w:color w:val="222222"/>
          <w:sz w:val="24"/>
          <w:szCs w:val="24"/>
          <w:shd w:val="clear" w:color="auto" w:fill="FFFFFF"/>
          <w:lang w:val="en-US"/>
        </w:rPr>
      </w:pPr>
      <w:r w:rsidRPr="006C5144">
        <w:rPr>
          <w:rFonts w:ascii="Times New Roman" w:hAnsi="Times New Roman" w:cs="Times New Roman"/>
          <w:color w:val="222222"/>
          <w:sz w:val="24"/>
          <w:szCs w:val="24"/>
          <w:shd w:val="clear" w:color="auto" w:fill="FFFFFF"/>
        </w:rPr>
        <w:t>Miao, J., Thongprayoon, C., Suppadungsuk, S., Garcia Valencia, O.A., Qureshi, F. and Cheungpasitporn, W., 2023. Ethical dilemmas in using AI for academic writing and an example framework for peer review in nephrology academia: a narrative review. </w:t>
      </w:r>
      <w:r w:rsidRPr="006C5144">
        <w:rPr>
          <w:rFonts w:ascii="Times New Roman" w:hAnsi="Times New Roman" w:cs="Times New Roman"/>
          <w:i/>
          <w:iCs/>
          <w:color w:val="222222"/>
          <w:sz w:val="24"/>
          <w:szCs w:val="24"/>
          <w:shd w:val="clear" w:color="auto" w:fill="FFFFFF"/>
        </w:rPr>
        <w:t>Clinics and Practice</w:t>
      </w:r>
      <w:r w:rsidRPr="006C5144">
        <w:rPr>
          <w:rFonts w:ascii="Times New Roman" w:hAnsi="Times New Roman" w:cs="Times New Roman"/>
          <w:color w:val="222222"/>
          <w:sz w:val="24"/>
          <w:szCs w:val="24"/>
          <w:shd w:val="clear" w:color="auto" w:fill="FFFFFF"/>
        </w:rPr>
        <w:t>, </w:t>
      </w:r>
      <w:r w:rsidRPr="006C5144">
        <w:rPr>
          <w:rFonts w:ascii="Times New Roman" w:hAnsi="Times New Roman" w:cs="Times New Roman"/>
          <w:i/>
          <w:iCs/>
          <w:color w:val="222222"/>
          <w:sz w:val="24"/>
          <w:szCs w:val="24"/>
          <w:shd w:val="clear" w:color="auto" w:fill="FFFFFF"/>
        </w:rPr>
        <w:t>14</w:t>
      </w:r>
      <w:r w:rsidRPr="006C5144">
        <w:rPr>
          <w:rFonts w:ascii="Times New Roman" w:hAnsi="Times New Roman" w:cs="Times New Roman"/>
          <w:color w:val="222222"/>
          <w:sz w:val="24"/>
          <w:szCs w:val="24"/>
          <w:shd w:val="clear" w:color="auto" w:fill="FFFFFF"/>
        </w:rPr>
        <w:t>(1), pp.89-105.</w:t>
      </w:r>
      <w:r w:rsidRPr="006C5144">
        <w:rPr>
          <w:rFonts w:ascii="Times New Roman" w:hAnsi="Times New Roman" w:cs="Times New Roman"/>
          <w:color w:val="222222"/>
          <w:sz w:val="24"/>
          <w:szCs w:val="24"/>
          <w:shd w:val="clear" w:color="auto" w:fill="FFFFFF"/>
          <w:lang w:val="en-US"/>
        </w:rPr>
        <w:t xml:space="preserve"> Available at: </w:t>
      </w:r>
      <w:hyperlink r:id="rId5" w:history="1">
        <w:r w:rsidR="00B00B28" w:rsidRPr="006C5144">
          <w:rPr>
            <w:rStyle w:val="Hyperlink"/>
            <w:rFonts w:ascii="Times New Roman" w:hAnsi="Times New Roman" w:cs="Times New Roman"/>
            <w:b/>
            <w:bCs/>
            <w:color w:val="4F5671"/>
            <w:sz w:val="24"/>
            <w:szCs w:val="24"/>
            <w:shd w:val="clear" w:color="auto" w:fill="FFFFFF"/>
          </w:rPr>
          <w:t>https://doi.org/10.3390/clinpract14010008</w:t>
        </w:r>
      </w:hyperlink>
      <w:r w:rsidRPr="006C5144">
        <w:rPr>
          <w:rFonts w:ascii="Times New Roman" w:hAnsi="Times New Roman" w:cs="Times New Roman"/>
          <w:sz w:val="24"/>
          <w:szCs w:val="24"/>
          <w:lang w:val="en-US"/>
        </w:rPr>
        <w:t xml:space="preserve"> [Accessed: 10 December 10, 2025]</w:t>
      </w:r>
    </w:p>
    <w:p w14:paraId="134907B8" w14:textId="20B4A9E1" w:rsidR="00B00B28" w:rsidRPr="006C5144" w:rsidRDefault="00000000" w:rsidP="00B00B28">
      <w:pPr>
        <w:ind w:left="720" w:hanging="720"/>
        <w:jc w:val="both"/>
        <w:rPr>
          <w:rFonts w:ascii="Times New Roman" w:hAnsi="Times New Roman" w:cs="Times New Roman"/>
          <w:sz w:val="24"/>
          <w:szCs w:val="24"/>
          <w:lang w:val="en-US"/>
        </w:rPr>
      </w:pPr>
      <w:r w:rsidRPr="006C5144">
        <w:rPr>
          <w:rFonts w:ascii="Times New Roman" w:hAnsi="Times New Roman" w:cs="Times New Roman"/>
          <w:color w:val="222222"/>
          <w:sz w:val="24"/>
          <w:szCs w:val="24"/>
          <w:shd w:val="clear" w:color="auto" w:fill="FFFFFF"/>
        </w:rPr>
        <w:t>Gouvea, J.S., 2024. Ethical dilemmas in current uses of AI in science education. </w:t>
      </w:r>
      <w:r w:rsidRPr="006C5144">
        <w:rPr>
          <w:rFonts w:ascii="Times New Roman" w:hAnsi="Times New Roman" w:cs="Times New Roman"/>
          <w:i/>
          <w:iCs/>
          <w:color w:val="222222"/>
          <w:sz w:val="24"/>
          <w:szCs w:val="24"/>
          <w:shd w:val="clear" w:color="auto" w:fill="FFFFFF"/>
        </w:rPr>
        <w:t>CBE—Life Sciences Education</w:t>
      </w:r>
      <w:r w:rsidRPr="006C5144">
        <w:rPr>
          <w:rFonts w:ascii="Times New Roman" w:hAnsi="Times New Roman" w:cs="Times New Roman"/>
          <w:color w:val="222222"/>
          <w:sz w:val="24"/>
          <w:szCs w:val="24"/>
          <w:shd w:val="clear" w:color="auto" w:fill="FFFFFF"/>
        </w:rPr>
        <w:t>, </w:t>
      </w:r>
      <w:r w:rsidRPr="006C5144">
        <w:rPr>
          <w:rFonts w:ascii="Times New Roman" w:hAnsi="Times New Roman" w:cs="Times New Roman"/>
          <w:i/>
          <w:iCs/>
          <w:color w:val="222222"/>
          <w:sz w:val="24"/>
          <w:szCs w:val="24"/>
          <w:shd w:val="clear" w:color="auto" w:fill="FFFFFF"/>
        </w:rPr>
        <w:t>23</w:t>
      </w:r>
      <w:r w:rsidRPr="006C5144">
        <w:rPr>
          <w:rFonts w:ascii="Times New Roman" w:hAnsi="Times New Roman" w:cs="Times New Roman"/>
          <w:color w:val="222222"/>
          <w:sz w:val="24"/>
          <w:szCs w:val="24"/>
          <w:shd w:val="clear" w:color="auto" w:fill="FFFFFF"/>
        </w:rPr>
        <w:t>(1), p.fe3.</w:t>
      </w:r>
      <w:r w:rsidRPr="006C5144">
        <w:rPr>
          <w:rFonts w:ascii="Times New Roman" w:hAnsi="Times New Roman" w:cs="Times New Roman"/>
          <w:color w:val="222222"/>
          <w:sz w:val="24"/>
          <w:szCs w:val="24"/>
          <w:shd w:val="clear" w:color="auto" w:fill="FFFFFF"/>
          <w:lang w:val="en-US"/>
        </w:rPr>
        <w:t xml:space="preserve"> Available at: </w:t>
      </w:r>
      <w:hyperlink r:id="rId6" w:history="1">
        <w:r w:rsidR="00B00B28" w:rsidRPr="006C5144">
          <w:rPr>
            <w:rStyle w:val="Hyperlink"/>
            <w:rFonts w:ascii="Times New Roman" w:hAnsi="Times New Roman" w:cs="Times New Roman"/>
            <w:color w:val="5881B7"/>
            <w:sz w:val="24"/>
            <w:szCs w:val="24"/>
            <w:shd w:val="clear" w:color="auto" w:fill="FFFFFF"/>
          </w:rPr>
          <w:t>https://doi.org/10.1187/cbe.23-12-0239</w:t>
        </w:r>
      </w:hyperlink>
      <w:r w:rsidRPr="006C5144">
        <w:rPr>
          <w:rFonts w:ascii="Times New Roman" w:hAnsi="Times New Roman" w:cs="Times New Roman"/>
          <w:sz w:val="24"/>
          <w:szCs w:val="24"/>
          <w:lang w:val="en-US"/>
        </w:rPr>
        <w:t xml:space="preserve"> [Accessed: 10 December 10, 2025]</w:t>
      </w:r>
    </w:p>
    <w:p w14:paraId="4DE5DDA0" w14:textId="06742882" w:rsidR="00B00B28" w:rsidRPr="006C5144" w:rsidRDefault="00000000">
      <w:pPr>
        <w:rPr>
          <w:rFonts w:ascii="Times New Roman" w:hAnsi="Times New Roman" w:cs="Times New Roman"/>
          <w:sz w:val="24"/>
          <w:szCs w:val="24"/>
          <w:lang w:val="en-US"/>
        </w:rPr>
      </w:pPr>
      <w:r w:rsidRPr="006C5144">
        <w:rPr>
          <w:rFonts w:ascii="Times New Roman" w:hAnsi="Times New Roman" w:cs="Times New Roman"/>
          <w:sz w:val="24"/>
          <w:szCs w:val="24"/>
          <w:lang w:val="en-US"/>
        </w:rPr>
        <w:br w:type="page"/>
      </w:r>
    </w:p>
    <w:p w14:paraId="3142AD7D" w14:textId="6D3AB1DE" w:rsidR="00B00B28" w:rsidRPr="006C5144" w:rsidRDefault="00000000" w:rsidP="00B00B28">
      <w:pPr>
        <w:ind w:left="720" w:hanging="720"/>
        <w:jc w:val="both"/>
        <w:rPr>
          <w:rFonts w:ascii="Times New Roman" w:hAnsi="Times New Roman" w:cs="Times New Roman"/>
          <w:b/>
          <w:bCs/>
          <w:sz w:val="24"/>
          <w:szCs w:val="24"/>
          <w:lang w:val="en-US"/>
        </w:rPr>
      </w:pPr>
      <w:r w:rsidRPr="006C5144">
        <w:rPr>
          <w:rFonts w:ascii="Times New Roman" w:hAnsi="Times New Roman" w:cs="Times New Roman"/>
          <w:b/>
          <w:bCs/>
          <w:sz w:val="24"/>
          <w:szCs w:val="24"/>
        </w:rPr>
        <w:lastRenderedPageBreak/>
        <w:t>Reply to Tobias Zeier</w:t>
      </w:r>
    </w:p>
    <w:p w14:paraId="1C9003A7" w14:textId="3C63F208" w:rsidR="00B00B28" w:rsidRPr="006C5144" w:rsidRDefault="00000000" w:rsidP="00B00B28">
      <w:pPr>
        <w:jc w:val="both"/>
        <w:rPr>
          <w:rFonts w:ascii="Times New Roman" w:hAnsi="Times New Roman" w:cs="Times New Roman"/>
          <w:sz w:val="24"/>
          <w:szCs w:val="24"/>
          <w:lang w:val="en-US"/>
        </w:rPr>
      </w:pPr>
      <w:r w:rsidRPr="006C5144">
        <w:rPr>
          <w:rFonts w:ascii="Times New Roman" w:hAnsi="Times New Roman" w:cs="Times New Roman"/>
          <w:sz w:val="24"/>
          <w:szCs w:val="24"/>
          <w:lang w:val="en-US"/>
        </w:rPr>
        <w:t>Your argument brings a good point to the situation faced by Abi as it bases the debate on research integrity, social responsibility, and professional reputation. The strongest point of your argument is that manipulation does not even have to be fabricated data in order to be unethical. The rejection of unwanted analyses or the attempt to influence the interpretation to suit a sponsor is bound to give incorrect knowledge and the actions negatively affect the trust of society to research findings and statistical careers. It is specifically important in terms of the focus on governance structures and integrity standards</w:t>
      </w:r>
      <w:r w:rsidR="006C5144" w:rsidRPr="006C5144">
        <w:rPr>
          <w:rFonts w:ascii="Times New Roman" w:hAnsi="Times New Roman" w:cs="Times New Roman"/>
          <w:sz w:val="24"/>
          <w:szCs w:val="24"/>
          <w:lang w:val="en-US"/>
        </w:rPr>
        <w:t xml:space="preserve"> </w:t>
      </w:r>
      <w:r w:rsidR="006C5144" w:rsidRPr="006C5144">
        <w:rPr>
          <w:rFonts w:ascii="Times New Roman" w:hAnsi="Times New Roman" w:cs="Times New Roman"/>
          <w:sz w:val="24"/>
          <w:szCs w:val="24"/>
        </w:rPr>
        <w:t>(Arar &amp; Saiti, 2022)</w:t>
      </w:r>
      <w:r w:rsidRPr="006C5144">
        <w:rPr>
          <w:rFonts w:ascii="Times New Roman" w:hAnsi="Times New Roman" w:cs="Times New Roman"/>
          <w:sz w:val="24"/>
          <w:szCs w:val="24"/>
          <w:lang w:val="en-US"/>
        </w:rPr>
        <w:t xml:space="preserve">. The existence of these systems can only be attributed to the fact that organisations, particularly those that conduct research, whether commercial or health related, are under the pressure of external forces that can tempt one to be dishonest when it comes to transparency. With by putting the responsibility of Abi into these broader contexts, you are right to emphasize the idea that ethical responsibility is not an issue of choice but something controlled. This argument is further supported by the mention of public safety since in case the faulty product ends up causing injury to its users the moral violation does not only occur in the laboratory, but also </w:t>
      </w:r>
      <w:r w:rsidRPr="006C5144">
        <w:rPr>
          <w:rFonts w:ascii="Times New Roman" w:hAnsi="Times New Roman" w:cs="Times New Roman"/>
          <w:sz w:val="24"/>
          <w:szCs w:val="24"/>
        </w:rPr>
        <w:t>directly</w:t>
      </w:r>
      <w:r w:rsidRPr="006C5144">
        <w:rPr>
          <w:rFonts w:ascii="Times New Roman" w:hAnsi="Times New Roman" w:cs="Times New Roman"/>
          <w:sz w:val="24"/>
          <w:szCs w:val="24"/>
          <w:lang w:val="en-US"/>
        </w:rPr>
        <w:t xml:space="preserve"> in the society</w:t>
      </w:r>
      <w:r w:rsidR="006C5144" w:rsidRPr="006C5144">
        <w:rPr>
          <w:rFonts w:ascii="Times New Roman" w:hAnsi="Times New Roman" w:cs="Times New Roman"/>
          <w:sz w:val="24"/>
          <w:szCs w:val="24"/>
          <w:lang w:val="en-US"/>
        </w:rPr>
        <w:t xml:space="preserve"> </w:t>
      </w:r>
      <w:r w:rsidR="006C5144" w:rsidRPr="006C5144">
        <w:rPr>
          <w:rFonts w:ascii="Times New Roman" w:hAnsi="Times New Roman" w:cs="Times New Roman"/>
          <w:sz w:val="24"/>
          <w:szCs w:val="24"/>
        </w:rPr>
        <w:t>(Kousholt &amp; Juhl, 2023)</w:t>
      </w:r>
      <w:r w:rsidRPr="006C5144">
        <w:rPr>
          <w:rFonts w:ascii="Times New Roman" w:hAnsi="Times New Roman" w:cs="Times New Roman"/>
          <w:sz w:val="24"/>
          <w:szCs w:val="24"/>
          <w:lang w:val="en-US"/>
        </w:rPr>
        <w:t>. Your final recommendation that Abi might have to separate himself with the report is positive. Donors tend to believe that their work has no control over him or her as soon as their analysis is submitted but even in such a situation such professionals retain moral credibility to the extent that their name is linked to the research. Authorship separations, demarcating constraints, or tabled resistance are all acceptable answers that enable Abi to save his image as well as enact his endorsement of integrity standards</w:t>
      </w:r>
      <w:r w:rsidR="006C5144" w:rsidRPr="006C5144">
        <w:rPr>
          <w:rFonts w:ascii="Times New Roman" w:hAnsi="Times New Roman" w:cs="Times New Roman"/>
          <w:sz w:val="24"/>
          <w:szCs w:val="24"/>
          <w:lang w:val="en-US"/>
        </w:rPr>
        <w:t xml:space="preserve"> </w:t>
      </w:r>
      <w:r w:rsidR="006C5144" w:rsidRPr="006C5144">
        <w:rPr>
          <w:rFonts w:ascii="Times New Roman" w:hAnsi="Times New Roman" w:cs="Times New Roman"/>
          <w:sz w:val="24"/>
          <w:szCs w:val="24"/>
        </w:rPr>
        <w:t>(Fjeld et al., 2020)</w:t>
      </w:r>
      <w:r w:rsidRPr="006C5144">
        <w:rPr>
          <w:rFonts w:ascii="Times New Roman" w:hAnsi="Times New Roman" w:cs="Times New Roman"/>
          <w:sz w:val="24"/>
          <w:szCs w:val="24"/>
          <w:lang w:val="en-US"/>
        </w:rPr>
        <w:t xml:space="preserve">. This argument can be further reinforced by taking a look at the practical working experience which Abi might have to go through, like a strain on the part of the employer, a contract decision or fear of her career. </w:t>
      </w:r>
    </w:p>
    <w:p w14:paraId="1B708756" w14:textId="590C7D2A" w:rsidR="00B00B28" w:rsidRPr="006C5144" w:rsidRDefault="00000000" w:rsidP="00B00B28">
      <w:pPr>
        <w:jc w:val="both"/>
        <w:rPr>
          <w:rFonts w:ascii="Times New Roman" w:hAnsi="Times New Roman" w:cs="Times New Roman"/>
          <w:sz w:val="24"/>
          <w:szCs w:val="24"/>
          <w:lang w:val="en-US"/>
        </w:rPr>
      </w:pPr>
      <w:r w:rsidRPr="006C5144">
        <w:rPr>
          <w:rFonts w:ascii="Times New Roman" w:hAnsi="Times New Roman" w:cs="Times New Roman"/>
          <w:sz w:val="24"/>
          <w:szCs w:val="24"/>
          <w:lang w:val="en-US"/>
        </w:rPr>
        <w:t>References</w:t>
      </w:r>
    </w:p>
    <w:p w14:paraId="32D8D780" w14:textId="63EF3130" w:rsidR="00661882" w:rsidRPr="00661882" w:rsidRDefault="00661882" w:rsidP="00B00B28">
      <w:pPr>
        <w:ind w:left="720" w:hanging="720"/>
        <w:jc w:val="both"/>
        <w:rPr>
          <w:rFonts w:ascii="Times New Roman" w:hAnsi="Times New Roman" w:cs="Times New Roman"/>
          <w:color w:val="222222"/>
          <w:sz w:val="24"/>
          <w:szCs w:val="24"/>
          <w:shd w:val="clear" w:color="auto" w:fill="FFFFFF"/>
          <w:lang w:val="en-US"/>
        </w:rPr>
      </w:pPr>
      <w:r w:rsidRPr="00661882">
        <w:rPr>
          <w:rFonts w:ascii="Times New Roman" w:hAnsi="Times New Roman" w:cs="Times New Roman"/>
          <w:color w:val="222222"/>
          <w:sz w:val="24"/>
          <w:szCs w:val="24"/>
          <w:shd w:val="clear" w:color="auto" w:fill="FFFFFF"/>
        </w:rPr>
        <w:t>Arar, K. and Saiti, A., 2022. Ethical leadership, ethical dilemmas and decision making among school administrators. </w:t>
      </w:r>
      <w:r w:rsidRPr="00661882">
        <w:rPr>
          <w:rFonts w:ascii="Times New Roman" w:hAnsi="Times New Roman" w:cs="Times New Roman"/>
          <w:i/>
          <w:iCs/>
          <w:color w:val="222222"/>
          <w:sz w:val="24"/>
          <w:szCs w:val="24"/>
          <w:shd w:val="clear" w:color="auto" w:fill="FFFFFF"/>
        </w:rPr>
        <w:t>Equity in Education &amp; Society</w:t>
      </w:r>
      <w:r w:rsidRPr="00661882">
        <w:rPr>
          <w:rFonts w:ascii="Times New Roman" w:hAnsi="Times New Roman" w:cs="Times New Roman"/>
          <w:color w:val="222222"/>
          <w:sz w:val="24"/>
          <w:szCs w:val="24"/>
          <w:shd w:val="clear" w:color="auto" w:fill="FFFFFF"/>
        </w:rPr>
        <w:t>, </w:t>
      </w:r>
      <w:r w:rsidRPr="00661882">
        <w:rPr>
          <w:rFonts w:ascii="Times New Roman" w:hAnsi="Times New Roman" w:cs="Times New Roman"/>
          <w:i/>
          <w:iCs/>
          <w:color w:val="222222"/>
          <w:sz w:val="24"/>
          <w:szCs w:val="24"/>
          <w:shd w:val="clear" w:color="auto" w:fill="FFFFFF"/>
        </w:rPr>
        <w:t>1</w:t>
      </w:r>
      <w:r w:rsidRPr="00661882">
        <w:rPr>
          <w:rFonts w:ascii="Times New Roman" w:hAnsi="Times New Roman" w:cs="Times New Roman"/>
          <w:color w:val="222222"/>
          <w:sz w:val="24"/>
          <w:szCs w:val="24"/>
          <w:shd w:val="clear" w:color="auto" w:fill="FFFFFF"/>
        </w:rPr>
        <w:t>(1), pp.126-141.</w:t>
      </w:r>
      <w:r w:rsidRPr="00661882">
        <w:rPr>
          <w:rFonts w:ascii="Times New Roman" w:hAnsi="Times New Roman" w:cs="Times New Roman"/>
          <w:color w:val="222222"/>
          <w:sz w:val="24"/>
          <w:szCs w:val="24"/>
          <w:shd w:val="clear" w:color="auto" w:fill="FFFFFF"/>
          <w:lang w:val="en-US"/>
        </w:rPr>
        <w:t xml:space="preserve"> Available at: </w:t>
      </w:r>
      <w:hyperlink r:id="rId7" w:history="1">
        <w:r w:rsidRPr="00661882">
          <w:rPr>
            <w:rStyle w:val="Hyperlink"/>
            <w:rFonts w:ascii="Times New Roman" w:hAnsi="Times New Roman" w:cs="Times New Roman"/>
            <w:sz w:val="24"/>
            <w:szCs w:val="24"/>
            <w:u w:val="none"/>
            <w:shd w:val="clear" w:color="auto" w:fill="FFFFFF"/>
          </w:rPr>
          <w:t>https://doi.org/10.1177/27526461211070828</w:t>
        </w:r>
      </w:hyperlink>
      <w:r w:rsidRPr="00661882">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661882">
        <w:rPr>
          <w:rFonts w:ascii="Times New Roman" w:hAnsi="Times New Roman" w:cs="Times New Roman"/>
          <w:sz w:val="24"/>
          <w:szCs w:val="24"/>
          <w:lang w:val="en-US"/>
        </w:rPr>
        <w:t>Accessed: 10 December, 2025</w:t>
      </w:r>
      <w:r>
        <w:rPr>
          <w:rFonts w:ascii="Times New Roman" w:hAnsi="Times New Roman" w:cs="Times New Roman"/>
          <w:sz w:val="24"/>
          <w:szCs w:val="24"/>
          <w:lang w:val="en-US"/>
        </w:rPr>
        <w:t>)</w:t>
      </w:r>
    </w:p>
    <w:p w14:paraId="43D02058" w14:textId="44F1992F" w:rsidR="00661882" w:rsidRPr="00661882" w:rsidRDefault="00661882" w:rsidP="00B00B28">
      <w:pPr>
        <w:ind w:left="720" w:hanging="720"/>
        <w:jc w:val="both"/>
        <w:rPr>
          <w:rFonts w:ascii="Times New Roman" w:hAnsi="Times New Roman" w:cs="Times New Roman"/>
          <w:color w:val="222222"/>
          <w:sz w:val="24"/>
          <w:szCs w:val="24"/>
          <w:shd w:val="clear" w:color="auto" w:fill="FFFFFF"/>
          <w:lang w:val="en-US"/>
        </w:rPr>
      </w:pPr>
      <w:r w:rsidRPr="00661882">
        <w:rPr>
          <w:rFonts w:ascii="Times New Roman" w:hAnsi="Times New Roman" w:cs="Times New Roman"/>
          <w:color w:val="222222"/>
          <w:sz w:val="24"/>
          <w:szCs w:val="24"/>
          <w:shd w:val="clear" w:color="auto" w:fill="FFFFFF"/>
        </w:rPr>
        <w:t>Kousholt, D. and Juhl, P., 2023. Addressing ethical dilemmas in research with young children and families. Situated ethics in collaborative research. </w:t>
      </w:r>
      <w:r w:rsidRPr="00661882">
        <w:rPr>
          <w:rFonts w:ascii="Times New Roman" w:hAnsi="Times New Roman" w:cs="Times New Roman"/>
          <w:i/>
          <w:iCs/>
          <w:color w:val="222222"/>
          <w:sz w:val="24"/>
          <w:szCs w:val="24"/>
          <w:shd w:val="clear" w:color="auto" w:fill="FFFFFF"/>
        </w:rPr>
        <w:t>Human Arenas</w:t>
      </w:r>
      <w:r w:rsidRPr="00661882">
        <w:rPr>
          <w:rFonts w:ascii="Times New Roman" w:hAnsi="Times New Roman" w:cs="Times New Roman"/>
          <w:color w:val="222222"/>
          <w:sz w:val="24"/>
          <w:szCs w:val="24"/>
          <w:shd w:val="clear" w:color="auto" w:fill="FFFFFF"/>
        </w:rPr>
        <w:t>, </w:t>
      </w:r>
      <w:r w:rsidRPr="00661882">
        <w:rPr>
          <w:rFonts w:ascii="Times New Roman" w:hAnsi="Times New Roman" w:cs="Times New Roman"/>
          <w:i/>
          <w:iCs/>
          <w:color w:val="222222"/>
          <w:sz w:val="24"/>
          <w:szCs w:val="24"/>
          <w:shd w:val="clear" w:color="auto" w:fill="FFFFFF"/>
        </w:rPr>
        <w:t>6</w:t>
      </w:r>
      <w:r w:rsidRPr="00661882">
        <w:rPr>
          <w:rFonts w:ascii="Times New Roman" w:hAnsi="Times New Roman" w:cs="Times New Roman"/>
          <w:color w:val="222222"/>
          <w:sz w:val="24"/>
          <w:szCs w:val="24"/>
          <w:shd w:val="clear" w:color="auto" w:fill="FFFFFF"/>
        </w:rPr>
        <w:t>(3), pp.560-579.</w:t>
      </w:r>
      <w:r w:rsidRPr="00661882">
        <w:rPr>
          <w:rFonts w:ascii="Times New Roman" w:hAnsi="Times New Roman" w:cs="Times New Roman"/>
          <w:color w:val="222222"/>
          <w:sz w:val="24"/>
          <w:szCs w:val="24"/>
          <w:shd w:val="clear" w:color="auto" w:fill="FFFFFF"/>
          <w:lang w:val="en-US"/>
        </w:rPr>
        <w:t xml:space="preserve"> Available at: </w:t>
      </w:r>
      <w:hyperlink r:id="rId8" w:history="1">
        <w:r w:rsidRPr="00661882">
          <w:rPr>
            <w:rStyle w:val="Hyperlink"/>
            <w:rFonts w:ascii="Times New Roman" w:hAnsi="Times New Roman" w:cs="Times New Roman"/>
            <w:sz w:val="24"/>
            <w:szCs w:val="24"/>
            <w:u w:val="none"/>
            <w:shd w:val="clear" w:color="auto" w:fill="FFFFFF"/>
            <w:lang w:val="en-US"/>
          </w:rPr>
          <w:t>https://doi.org/10.1007/s42087-021-00236-9</w:t>
        </w:r>
      </w:hyperlink>
      <w:r w:rsidRPr="00661882">
        <w:rPr>
          <w:rFonts w:ascii="Times New Roman" w:hAnsi="Times New Roman" w:cs="Times New Roman"/>
          <w:color w:val="222222"/>
          <w:sz w:val="24"/>
          <w:szCs w:val="24"/>
          <w:shd w:val="clear" w:color="auto" w:fill="FFFFFF"/>
          <w:lang w:val="en-US"/>
        </w:rPr>
        <w:t xml:space="preserve"> </w:t>
      </w:r>
      <w:r>
        <w:rPr>
          <w:rFonts w:ascii="Times New Roman" w:hAnsi="Times New Roman" w:cs="Times New Roman"/>
          <w:color w:val="222222"/>
          <w:sz w:val="24"/>
          <w:szCs w:val="24"/>
          <w:shd w:val="clear" w:color="auto" w:fill="FFFFFF"/>
          <w:lang w:val="en-US"/>
        </w:rPr>
        <w:t>(</w:t>
      </w:r>
      <w:r w:rsidRPr="00661882">
        <w:rPr>
          <w:rFonts w:ascii="Times New Roman" w:hAnsi="Times New Roman" w:cs="Times New Roman"/>
          <w:color w:val="222222"/>
          <w:sz w:val="24"/>
          <w:szCs w:val="24"/>
          <w:shd w:val="clear" w:color="auto" w:fill="FFFFFF"/>
          <w:lang w:val="en-US"/>
        </w:rPr>
        <w:t>Accessed: 10 December, 2025</w:t>
      </w:r>
      <w:r>
        <w:rPr>
          <w:rFonts w:ascii="Times New Roman" w:hAnsi="Times New Roman" w:cs="Times New Roman"/>
          <w:color w:val="222222"/>
          <w:sz w:val="24"/>
          <w:szCs w:val="24"/>
          <w:shd w:val="clear" w:color="auto" w:fill="FFFFFF"/>
          <w:lang w:val="en-US"/>
        </w:rPr>
        <w:t>)</w:t>
      </w:r>
    </w:p>
    <w:p w14:paraId="22759774" w14:textId="0DB84BB1" w:rsidR="00661882" w:rsidRPr="00661882" w:rsidRDefault="00661882" w:rsidP="00B00B28">
      <w:pPr>
        <w:ind w:left="720" w:hanging="720"/>
        <w:jc w:val="both"/>
        <w:rPr>
          <w:rFonts w:ascii="Times New Roman" w:hAnsi="Times New Roman" w:cs="Times New Roman"/>
          <w:color w:val="222222"/>
          <w:sz w:val="24"/>
          <w:szCs w:val="24"/>
          <w:shd w:val="clear" w:color="auto" w:fill="FFFFFF"/>
          <w:lang w:val="en-US"/>
        </w:rPr>
      </w:pPr>
      <w:r w:rsidRPr="00661882">
        <w:rPr>
          <w:rFonts w:ascii="Times New Roman" w:hAnsi="Times New Roman" w:cs="Times New Roman"/>
          <w:color w:val="222222"/>
          <w:sz w:val="24"/>
          <w:szCs w:val="24"/>
          <w:shd w:val="clear" w:color="auto" w:fill="FFFFFF"/>
        </w:rPr>
        <w:t>Kwame, A. and Petrucka, P.M., 2024. Ethical dilemmas in cross-national qualitative research: A reflection on personal experiences of ethics from a doctoral research project. </w:t>
      </w:r>
      <w:r w:rsidRPr="00661882">
        <w:rPr>
          <w:rFonts w:ascii="Times New Roman" w:hAnsi="Times New Roman" w:cs="Times New Roman"/>
          <w:i/>
          <w:iCs/>
          <w:color w:val="222222"/>
          <w:sz w:val="24"/>
          <w:szCs w:val="24"/>
          <w:shd w:val="clear" w:color="auto" w:fill="FFFFFF"/>
        </w:rPr>
        <w:t>Journal of Academic Ethics</w:t>
      </w:r>
      <w:r w:rsidRPr="00661882">
        <w:rPr>
          <w:rFonts w:ascii="Times New Roman" w:hAnsi="Times New Roman" w:cs="Times New Roman"/>
          <w:color w:val="222222"/>
          <w:sz w:val="24"/>
          <w:szCs w:val="24"/>
          <w:shd w:val="clear" w:color="auto" w:fill="FFFFFF"/>
        </w:rPr>
        <w:t>, </w:t>
      </w:r>
      <w:r w:rsidRPr="00661882">
        <w:rPr>
          <w:rFonts w:ascii="Times New Roman" w:hAnsi="Times New Roman" w:cs="Times New Roman"/>
          <w:i/>
          <w:iCs/>
          <w:color w:val="222222"/>
          <w:sz w:val="24"/>
          <w:szCs w:val="24"/>
          <w:shd w:val="clear" w:color="auto" w:fill="FFFFFF"/>
        </w:rPr>
        <w:t>22</w:t>
      </w:r>
      <w:r w:rsidRPr="00661882">
        <w:rPr>
          <w:rFonts w:ascii="Times New Roman" w:hAnsi="Times New Roman" w:cs="Times New Roman"/>
          <w:color w:val="222222"/>
          <w:sz w:val="24"/>
          <w:szCs w:val="24"/>
          <w:shd w:val="clear" w:color="auto" w:fill="FFFFFF"/>
        </w:rPr>
        <w:t>(2), pp.251-268.</w:t>
      </w:r>
      <w:r w:rsidRPr="00661882">
        <w:rPr>
          <w:rFonts w:ascii="Times New Roman" w:hAnsi="Times New Roman" w:cs="Times New Roman"/>
          <w:color w:val="222222"/>
          <w:sz w:val="24"/>
          <w:szCs w:val="24"/>
          <w:shd w:val="clear" w:color="auto" w:fill="FFFFFF"/>
          <w:lang w:val="en-US"/>
        </w:rPr>
        <w:t xml:space="preserve"> Available at: </w:t>
      </w:r>
      <w:hyperlink r:id="rId9" w:history="1">
        <w:r w:rsidRPr="00661882">
          <w:rPr>
            <w:rStyle w:val="Hyperlink"/>
            <w:rFonts w:ascii="Times New Roman" w:hAnsi="Times New Roman" w:cs="Times New Roman"/>
            <w:sz w:val="24"/>
            <w:szCs w:val="24"/>
            <w:u w:val="none"/>
            <w:shd w:val="clear" w:color="auto" w:fill="FFFFFF"/>
          </w:rPr>
          <w:t>https://doi.org/10.1007/s10805-023-09484-6</w:t>
        </w:r>
      </w:hyperlink>
      <w:r w:rsidRPr="00661882">
        <w:rPr>
          <w:rFonts w:ascii="Times New Roman" w:hAnsi="Times New Roman" w:cs="Times New Roman"/>
          <w:color w:val="222222"/>
          <w:sz w:val="24"/>
          <w:szCs w:val="24"/>
          <w:shd w:val="clear" w:color="auto" w:fill="FFFFFF"/>
          <w:lang w:val="en-US"/>
        </w:rPr>
        <w:t xml:space="preserve"> </w:t>
      </w:r>
      <w:r>
        <w:rPr>
          <w:rFonts w:ascii="Times New Roman" w:hAnsi="Times New Roman" w:cs="Times New Roman"/>
          <w:color w:val="222222"/>
          <w:sz w:val="24"/>
          <w:szCs w:val="24"/>
          <w:shd w:val="clear" w:color="auto" w:fill="FFFFFF"/>
          <w:lang w:val="en-US"/>
        </w:rPr>
        <w:t>(</w:t>
      </w:r>
      <w:r w:rsidRPr="00661882">
        <w:rPr>
          <w:rFonts w:ascii="Times New Roman" w:hAnsi="Times New Roman" w:cs="Times New Roman"/>
          <w:color w:val="222222"/>
          <w:sz w:val="24"/>
          <w:szCs w:val="24"/>
          <w:shd w:val="clear" w:color="auto" w:fill="FFFFFF"/>
          <w:lang w:val="en-US"/>
        </w:rPr>
        <w:t>Accessed: 10 December, 2025</w:t>
      </w:r>
      <w:r>
        <w:rPr>
          <w:rFonts w:ascii="Times New Roman" w:hAnsi="Times New Roman" w:cs="Times New Roman"/>
          <w:color w:val="222222"/>
          <w:sz w:val="24"/>
          <w:szCs w:val="24"/>
          <w:shd w:val="clear" w:color="auto" w:fill="FFFFFF"/>
          <w:lang w:val="en-US"/>
        </w:rPr>
        <w:t>)</w:t>
      </w:r>
    </w:p>
    <w:p w14:paraId="70CA52F3" w14:textId="1CDD28CB" w:rsidR="00C34950" w:rsidRPr="006C5144" w:rsidRDefault="00C34950" w:rsidP="00B00B28">
      <w:pPr>
        <w:ind w:left="720" w:hanging="720"/>
        <w:jc w:val="both"/>
        <w:rPr>
          <w:rFonts w:ascii="Times New Roman" w:hAnsi="Times New Roman" w:cs="Times New Roman"/>
          <w:color w:val="222222"/>
          <w:sz w:val="24"/>
          <w:szCs w:val="24"/>
          <w:shd w:val="clear" w:color="auto" w:fill="FFFFFF"/>
          <w:lang w:val="en-US"/>
        </w:rPr>
      </w:pPr>
    </w:p>
    <w:p w14:paraId="6B72B89A" w14:textId="2B20E960" w:rsidR="00C34950" w:rsidRPr="006C5144" w:rsidRDefault="00C34950" w:rsidP="00B00B28">
      <w:pPr>
        <w:ind w:left="720" w:hanging="720"/>
        <w:jc w:val="both"/>
        <w:rPr>
          <w:rFonts w:ascii="Times New Roman" w:hAnsi="Times New Roman" w:cs="Times New Roman"/>
          <w:color w:val="222222"/>
          <w:sz w:val="24"/>
          <w:szCs w:val="24"/>
          <w:shd w:val="clear" w:color="auto" w:fill="FFFFFF"/>
          <w:lang w:val="en-US"/>
        </w:rPr>
      </w:pPr>
    </w:p>
    <w:p w14:paraId="28A5E46A" w14:textId="7F38767E" w:rsidR="00C34950" w:rsidRPr="006C5144" w:rsidRDefault="00C34950" w:rsidP="00B00B28">
      <w:pPr>
        <w:ind w:left="720" w:hanging="720"/>
        <w:jc w:val="both"/>
        <w:rPr>
          <w:rFonts w:ascii="Times New Roman" w:hAnsi="Times New Roman" w:cs="Times New Roman"/>
          <w:color w:val="222222"/>
          <w:sz w:val="24"/>
          <w:szCs w:val="24"/>
          <w:shd w:val="clear" w:color="auto" w:fill="FFFFFF"/>
          <w:lang w:val="en-US"/>
        </w:rPr>
      </w:pPr>
    </w:p>
    <w:p w14:paraId="3426C49F" w14:textId="4E51E38C" w:rsidR="00C34950" w:rsidRPr="006C5144" w:rsidRDefault="00C34950" w:rsidP="00B00B28">
      <w:pPr>
        <w:ind w:left="720" w:hanging="720"/>
        <w:jc w:val="both"/>
        <w:rPr>
          <w:rFonts w:ascii="Times New Roman" w:hAnsi="Times New Roman" w:cs="Times New Roman"/>
          <w:color w:val="222222"/>
          <w:sz w:val="24"/>
          <w:szCs w:val="24"/>
          <w:shd w:val="clear" w:color="auto" w:fill="FFFFFF"/>
          <w:lang w:val="en-US"/>
        </w:rPr>
      </w:pPr>
    </w:p>
    <w:p w14:paraId="36935F41" w14:textId="4EBA21F2" w:rsidR="00C34950" w:rsidRPr="006C5144" w:rsidRDefault="00C34950" w:rsidP="00B00B28">
      <w:pPr>
        <w:ind w:left="720" w:hanging="720"/>
        <w:jc w:val="both"/>
        <w:rPr>
          <w:rFonts w:ascii="Times New Roman" w:hAnsi="Times New Roman" w:cs="Times New Roman"/>
          <w:color w:val="222222"/>
          <w:sz w:val="24"/>
          <w:szCs w:val="24"/>
          <w:shd w:val="clear" w:color="auto" w:fill="FFFFFF"/>
          <w:lang w:val="en-US"/>
        </w:rPr>
      </w:pPr>
    </w:p>
    <w:p w14:paraId="55B518E1" w14:textId="1F885305" w:rsidR="00C34950" w:rsidRPr="006C5144" w:rsidRDefault="00C34950" w:rsidP="00B00B28">
      <w:pPr>
        <w:ind w:left="720" w:hanging="720"/>
        <w:jc w:val="both"/>
        <w:rPr>
          <w:rFonts w:ascii="Times New Roman" w:hAnsi="Times New Roman" w:cs="Times New Roman"/>
          <w:color w:val="222222"/>
          <w:sz w:val="24"/>
          <w:szCs w:val="24"/>
          <w:shd w:val="clear" w:color="auto" w:fill="FFFFFF"/>
          <w:lang w:val="en-US"/>
        </w:rPr>
      </w:pPr>
    </w:p>
    <w:p w14:paraId="3561C8D2" w14:textId="77777777" w:rsidR="00C34950" w:rsidRPr="006C5144" w:rsidRDefault="00000000" w:rsidP="00C34950">
      <w:pPr>
        <w:ind w:left="720" w:hanging="720"/>
        <w:jc w:val="both"/>
        <w:rPr>
          <w:rFonts w:ascii="Times New Roman" w:hAnsi="Times New Roman" w:cs="Times New Roman"/>
          <w:b/>
          <w:bCs/>
          <w:sz w:val="24"/>
          <w:szCs w:val="24"/>
          <w:lang w:val="en-US"/>
        </w:rPr>
      </w:pPr>
      <w:r w:rsidRPr="006C5144">
        <w:rPr>
          <w:rFonts w:ascii="Times New Roman" w:hAnsi="Times New Roman" w:cs="Times New Roman"/>
          <w:b/>
          <w:bCs/>
          <w:sz w:val="24"/>
          <w:szCs w:val="24"/>
          <w:lang w:val="en-US"/>
        </w:rPr>
        <w:t>Response to Gesine Linn Hamberger.</w:t>
      </w:r>
    </w:p>
    <w:p w14:paraId="4BE5B424" w14:textId="10438C3D" w:rsidR="00C34950" w:rsidRPr="006C5144" w:rsidRDefault="00000000" w:rsidP="00C34950">
      <w:pPr>
        <w:jc w:val="both"/>
        <w:rPr>
          <w:rFonts w:ascii="Times New Roman" w:hAnsi="Times New Roman" w:cs="Times New Roman"/>
          <w:sz w:val="24"/>
          <w:szCs w:val="24"/>
          <w:lang w:val="en-US"/>
        </w:rPr>
      </w:pPr>
      <w:r w:rsidRPr="006C5144">
        <w:rPr>
          <w:rFonts w:ascii="Times New Roman" w:hAnsi="Times New Roman" w:cs="Times New Roman"/>
          <w:sz w:val="24"/>
          <w:szCs w:val="24"/>
          <w:lang w:val="en-US"/>
        </w:rPr>
        <w:t>Your discussion is an important extension of the dilemma of Abi in that it aims at analytical bias and not at open falsification. This difference is important, as it understands that unethical results can also be a consequence of not only manipulated values but also the choice of a method that purposefully forms evidence presentation. It is important to point out this subtlety, which explains why the problem of statistical integrity is far-reaching concerning data input and extends deeply into the research design and reporting processes</w:t>
      </w:r>
      <w:r w:rsidR="006C5144" w:rsidRPr="006C5144">
        <w:rPr>
          <w:rFonts w:ascii="Times New Roman" w:hAnsi="Times New Roman" w:cs="Times New Roman"/>
          <w:sz w:val="24"/>
          <w:szCs w:val="24"/>
          <w:lang w:val="en-US"/>
        </w:rPr>
        <w:t xml:space="preserve"> </w:t>
      </w:r>
      <w:r w:rsidR="006C5144" w:rsidRPr="006C5144">
        <w:rPr>
          <w:rFonts w:ascii="Times New Roman" w:hAnsi="Times New Roman" w:cs="Times New Roman"/>
          <w:sz w:val="24"/>
          <w:szCs w:val="24"/>
        </w:rPr>
        <w:t>(Putra, 2023)</w:t>
      </w:r>
      <w:r w:rsidRPr="006C5144">
        <w:rPr>
          <w:rFonts w:ascii="Times New Roman" w:hAnsi="Times New Roman" w:cs="Times New Roman"/>
          <w:sz w:val="24"/>
          <w:szCs w:val="24"/>
          <w:lang w:val="en-US"/>
        </w:rPr>
        <w:t>. That the false analysis can impact on the health of the consumers is especially significant in your argument. Ethical research being is not an abstract concept but a guarantee that will not harm the real persons. In case Whizzz is risky but is advanced under the subjective selection of statistics, the effects would include harm, regulatory incompetence, and denial of trust in statistical field. This confirms the fact that the responsibility of Abi does not only lie in the technical accuracy but in altruistic interpretation and communication of findings. Your response strategies are realistic and positive. Offering a cohesive report, contextualising unexpected discrepancies, addressing organisations with ethical agencies, or applying whistleblowing apparatus are all valid avenues to integrity preservation where organisational forces act against the ethical guidelines. The addition of legal safeguards can help to prove that professional ethics is institutionally rather than being morally encouraged. This could be slightly improved by admitting that such actions are not always easy, especially to the young practitioners who are not always in a position of power or security. Another critical aspect that conclusion brings up is that, there are systemic consequences to misleading reporting</w:t>
      </w:r>
      <w:r w:rsidR="006C5144" w:rsidRPr="006C5144">
        <w:rPr>
          <w:rFonts w:ascii="Times New Roman" w:hAnsi="Times New Roman" w:cs="Times New Roman"/>
          <w:sz w:val="24"/>
          <w:szCs w:val="24"/>
          <w:lang w:val="en-US"/>
        </w:rPr>
        <w:t xml:space="preserve"> </w:t>
      </w:r>
      <w:r w:rsidR="006C5144" w:rsidRPr="006C5144">
        <w:rPr>
          <w:rFonts w:ascii="Times New Roman" w:hAnsi="Times New Roman" w:cs="Times New Roman"/>
          <w:sz w:val="24"/>
          <w:szCs w:val="24"/>
        </w:rPr>
        <w:t>(Gilliland et al., 2023)</w:t>
      </w:r>
      <w:r w:rsidRPr="006C5144">
        <w:rPr>
          <w:rFonts w:ascii="Times New Roman" w:hAnsi="Times New Roman" w:cs="Times New Roman"/>
          <w:sz w:val="24"/>
          <w:szCs w:val="24"/>
          <w:lang w:val="en-US"/>
        </w:rPr>
        <w:t>. In addition to causing consumer harm, it compromises regulatory supervision and erodes the credibility of science, and harms the long-term professional identity of Abi</w:t>
      </w:r>
      <w:r w:rsidR="006C5144" w:rsidRPr="006C5144">
        <w:rPr>
          <w:rFonts w:ascii="Times New Roman" w:hAnsi="Times New Roman" w:cs="Times New Roman"/>
          <w:sz w:val="24"/>
          <w:szCs w:val="24"/>
          <w:lang w:val="en-US"/>
        </w:rPr>
        <w:t xml:space="preserve"> </w:t>
      </w:r>
      <w:r w:rsidR="006C5144" w:rsidRPr="006C5144">
        <w:rPr>
          <w:rFonts w:ascii="Times New Roman" w:hAnsi="Times New Roman" w:cs="Times New Roman"/>
          <w:sz w:val="24"/>
          <w:szCs w:val="24"/>
        </w:rPr>
        <w:t>(Miller &amp; Spiegel, 2025)</w:t>
      </w:r>
      <w:r w:rsidRPr="006C5144">
        <w:rPr>
          <w:rFonts w:ascii="Times New Roman" w:hAnsi="Times New Roman" w:cs="Times New Roman"/>
          <w:sz w:val="24"/>
          <w:szCs w:val="24"/>
          <w:lang w:val="en-US"/>
        </w:rPr>
        <w:t>. Thus, not only ethical but also advantageous, transparency helps in avoiding reputation losses and sustain trust in widespread professional examination of the situation.</w:t>
      </w:r>
    </w:p>
    <w:p w14:paraId="1E827744" w14:textId="21970E8A" w:rsidR="00C34950" w:rsidRPr="006C5144" w:rsidRDefault="00000000" w:rsidP="00C34950">
      <w:pPr>
        <w:jc w:val="both"/>
        <w:rPr>
          <w:rFonts w:ascii="Times New Roman" w:hAnsi="Times New Roman" w:cs="Times New Roman"/>
          <w:sz w:val="24"/>
          <w:szCs w:val="24"/>
          <w:lang w:val="en-US"/>
        </w:rPr>
      </w:pPr>
      <w:r w:rsidRPr="006C5144">
        <w:rPr>
          <w:rFonts w:ascii="Times New Roman" w:hAnsi="Times New Roman" w:cs="Times New Roman"/>
          <w:sz w:val="24"/>
          <w:szCs w:val="24"/>
          <w:lang w:val="en-US"/>
        </w:rPr>
        <w:t>References</w:t>
      </w:r>
    </w:p>
    <w:p w14:paraId="6A36A69F" w14:textId="7B8B7E92" w:rsidR="00607901" w:rsidRPr="00607901" w:rsidRDefault="00607901" w:rsidP="006C5144">
      <w:pPr>
        <w:ind w:left="720" w:hanging="720"/>
        <w:jc w:val="both"/>
        <w:rPr>
          <w:rFonts w:ascii="Times New Roman" w:hAnsi="Times New Roman" w:cs="Times New Roman"/>
          <w:sz w:val="24"/>
          <w:szCs w:val="24"/>
          <w:lang w:val="en-US"/>
        </w:rPr>
      </w:pPr>
      <w:r w:rsidRPr="00607901">
        <w:rPr>
          <w:rFonts w:ascii="Times New Roman" w:hAnsi="Times New Roman" w:cs="Times New Roman"/>
          <w:color w:val="222222"/>
          <w:sz w:val="24"/>
          <w:szCs w:val="24"/>
          <w:shd w:val="clear" w:color="auto" w:fill="FFFFFF"/>
        </w:rPr>
        <w:t>Gilliland, B., Kunkel, M., Nguyen, T.H., Urada, K. and Christenson, C., 2023. Ethical dilemmas of teacher research in applied linguistics. </w:t>
      </w:r>
      <w:r w:rsidRPr="00607901">
        <w:rPr>
          <w:rFonts w:ascii="Times New Roman" w:hAnsi="Times New Roman" w:cs="Times New Roman"/>
          <w:i/>
          <w:iCs/>
          <w:color w:val="222222"/>
          <w:sz w:val="24"/>
          <w:szCs w:val="24"/>
          <w:shd w:val="clear" w:color="auto" w:fill="FFFFFF"/>
        </w:rPr>
        <w:t>Research Methods in Applied Linguistics</w:t>
      </w:r>
      <w:r w:rsidRPr="00607901">
        <w:rPr>
          <w:rFonts w:ascii="Times New Roman" w:hAnsi="Times New Roman" w:cs="Times New Roman"/>
          <w:color w:val="222222"/>
          <w:sz w:val="24"/>
          <w:szCs w:val="24"/>
          <w:shd w:val="clear" w:color="auto" w:fill="FFFFFF"/>
        </w:rPr>
        <w:t>, </w:t>
      </w:r>
      <w:r w:rsidRPr="00607901">
        <w:rPr>
          <w:rFonts w:ascii="Times New Roman" w:hAnsi="Times New Roman" w:cs="Times New Roman"/>
          <w:i/>
          <w:iCs/>
          <w:color w:val="222222"/>
          <w:sz w:val="24"/>
          <w:szCs w:val="24"/>
          <w:shd w:val="clear" w:color="auto" w:fill="FFFFFF"/>
        </w:rPr>
        <w:t>2</w:t>
      </w:r>
      <w:r w:rsidRPr="00607901">
        <w:rPr>
          <w:rFonts w:ascii="Times New Roman" w:hAnsi="Times New Roman" w:cs="Times New Roman"/>
          <w:color w:val="222222"/>
          <w:sz w:val="24"/>
          <w:szCs w:val="24"/>
          <w:shd w:val="clear" w:color="auto" w:fill="FFFFFF"/>
        </w:rPr>
        <w:t>(3), p.100072.</w:t>
      </w:r>
      <w:r w:rsidRPr="00607901">
        <w:rPr>
          <w:rFonts w:ascii="Times New Roman" w:hAnsi="Times New Roman" w:cs="Times New Roman"/>
          <w:color w:val="222222"/>
          <w:sz w:val="24"/>
          <w:szCs w:val="24"/>
          <w:shd w:val="clear" w:color="auto" w:fill="FFFFFF"/>
          <w:lang w:val="en-US"/>
        </w:rPr>
        <w:t xml:space="preserve"> Available at: </w:t>
      </w:r>
      <w:hyperlink r:id="rId10" w:tgtFrame="_blank" w:tooltip="Persistent link using digital object identifier" w:history="1">
        <w:r w:rsidRPr="00607901">
          <w:rPr>
            <w:rStyle w:val="anchor-text"/>
            <w:rFonts w:ascii="Times New Roman" w:hAnsi="Times New Roman" w:cs="Times New Roman"/>
            <w:color w:val="0272B1"/>
            <w:sz w:val="24"/>
            <w:szCs w:val="24"/>
          </w:rPr>
          <w:t>https://doi.org/10.1016/j.rmal.2023.100072</w:t>
        </w:r>
      </w:hyperlink>
      <w:r w:rsidRPr="00607901">
        <w:rPr>
          <w:rFonts w:ascii="Times New Roman" w:hAnsi="Times New Roman" w:cs="Times New Roman"/>
          <w:sz w:val="24"/>
          <w:szCs w:val="24"/>
          <w:lang w:val="en-US"/>
        </w:rPr>
        <w:t xml:space="preserve"> </w:t>
      </w:r>
      <w:r w:rsidR="00F3789E">
        <w:rPr>
          <w:rFonts w:ascii="Times New Roman" w:hAnsi="Times New Roman" w:cs="Times New Roman"/>
          <w:sz w:val="24"/>
          <w:szCs w:val="24"/>
          <w:lang w:val="en-US"/>
        </w:rPr>
        <w:t>(</w:t>
      </w:r>
      <w:r w:rsidRPr="00607901">
        <w:rPr>
          <w:rFonts w:ascii="Times New Roman" w:hAnsi="Times New Roman" w:cs="Times New Roman"/>
          <w:sz w:val="24"/>
          <w:szCs w:val="24"/>
          <w:lang w:val="en-US"/>
        </w:rPr>
        <w:t>Accessed: 10 December 2025</w:t>
      </w:r>
      <w:r w:rsidR="00F3789E">
        <w:rPr>
          <w:rFonts w:ascii="Times New Roman" w:hAnsi="Times New Roman" w:cs="Times New Roman"/>
          <w:sz w:val="24"/>
          <w:szCs w:val="24"/>
          <w:lang w:val="en-US"/>
        </w:rPr>
        <w:t>)</w:t>
      </w:r>
    </w:p>
    <w:p w14:paraId="4DA306C4" w14:textId="14AC1580" w:rsidR="00607901" w:rsidRPr="00607901" w:rsidRDefault="00607901" w:rsidP="006C5144">
      <w:pPr>
        <w:ind w:left="720" w:hanging="720"/>
        <w:rPr>
          <w:rFonts w:ascii="Times New Roman" w:hAnsi="Times New Roman" w:cs="Times New Roman"/>
          <w:sz w:val="24"/>
          <w:szCs w:val="24"/>
          <w:lang w:val="en-US"/>
        </w:rPr>
      </w:pPr>
      <w:r w:rsidRPr="00607901">
        <w:rPr>
          <w:rFonts w:ascii="Times New Roman" w:hAnsi="Times New Roman" w:cs="Times New Roman"/>
          <w:sz w:val="24"/>
          <w:szCs w:val="24"/>
          <w:lang w:val="en-US"/>
        </w:rPr>
        <w:t xml:space="preserve">Miller, G. and Spiegel, E. </w:t>
      </w:r>
      <w:proofErr w:type="gramStart"/>
      <w:r w:rsidRPr="00607901">
        <w:rPr>
          <w:rFonts w:ascii="Times New Roman" w:hAnsi="Times New Roman" w:cs="Times New Roman"/>
          <w:sz w:val="24"/>
          <w:szCs w:val="24"/>
          <w:lang w:val="en-US"/>
        </w:rPr>
        <w:t>2025, ‘</w:t>
      </w:r>
      <w:proofErr w:type="gramEnd"/>
      <w:r w:rsidRPr="00607901">
        <w:rPr>
          <w:rFonts w:ascii="Times New Roman" w:hAnsi="Times New Roman" w:cs="Times New Roman"/>
          <w:sz w:val="24"/>
          <w:szCs w:val="24"/>
          <w:lang w:val="en-US"/>
        </w:rPr>
        <w:t>Guidelines for Research Data Integrity (GRDI)’, </w:t>
      </w:r>
      <w:r w:rsidRPr="00607901">
        <w:rPr>
          <w:rFonts w:ascii="Times New Roman" w:hAnsi="Times New Roman" w:cs="Times New Roman"/>
          <w:i/>
          <w:iCs/>
          <w:sz w:val="24"/>
          <w:szCs w:val="24"/>
          <w:lang w:val="en-US"/>
        </w:rPr>
        <w:t>Scientific Data</w:t>
      </w:r>
      <w:r w:rsidRPr="00607901">
        <w:rPr>
          <w:rFonts w:ascii="Times New Roman" w:hAnsi="Times New Roman" w:cs="Times New Roman"/>
          <w:sz w:val="24"/>
          <w:szCs w:val="24"/>
          <w:lang w:val="en-US"/>
        </w:rPr>
        <w:t>, 12(1). Available at: </w:t>
      </w:r>
      <w:hyperlink r:id="rId11" w:history="1">
        <w:r w:rsidRPr="00607901">
          <w:rPr>
            <w:rStyle w:val="Hyperlink"/>
            <w:rFonts w:ascii="Times New Roman" w:hAnsi="Times New Roman" w:cs="Times New Roman"/>
            <w:b/>
            <w:bCs/>
            <w:sz w:val="24"/>
            <w:szCs w:val="24"/>
            <w:u w:val="none"/>
            <w:lang w:val="en-US"/>
          </w:rPr>
          <w:t>https://doi.org/10.1038/s41597-024-04312-x</w:t>
        </w:r>
      </w:hyperlink>
      <w:r w:rsidRPr="00607901">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607901">
        <w:rPr>
          <w:rFonts w:ascii="Times New Roman" w:hAnsi="Times New Roman" w:cs="Times New Roman"/>
          <w:sz w:val="24"/>
          <w:szCs w:val="24"/>
          <w:lang w:val="en-US"/>
        </w:rPr>
        <w:t>Accessed: 10 December 2025</w:t>
      </w:r>
      <w:r>
        <w:rPr>
          <w:rFonts w:ascii="Times New Roman" w:hAnsi="Times New Roman" w:cs="Times New Roman"/>
          <w:sz w:val="24"/>
          <w:szCs w:val="24"/>
          <w:lang w:val="en-US"/>
        </w:rPr>
        <w:t>)</w:t>
      </w:r>
    </w:p>
    <w:p w14:paraId="0247615A" w14:textId="60D70BFD" w:rsidR="00607901" w:rsidRPr="00607901" w:rsidRDefault="00607901" w:rsidP="006C5144">
      <w:pPr>
        <w:ind w:left="720" w:hanging="720"/>
        <w:jc w:val="both"/>
        <w:rPr>
          <w:rFonts w:ascii="Times New Roman" w:hAnsi="Times New Roman" w:cs="Times New Roman"/>
          <w:color w:val="222222"/>
          <w:sz w:val="24"/>
          <w:szCs w:val="24"/>
          <w:shd w:val="clear" w:color="auto" w:fill="FFFFFF"/>
          <w:lang w:val="en-US"/>
        </w:rPr>
      </w:pPr>
      <w:r w:rsidRPr="00607901">
        <w:rPr>
          <w:rFonts w:ascii="Times New Roman" w:hAnsi="Times New Roman" w:cs="Times New Roman"/>
          <w:color w:val="222222"/>
          <w:sz w:val="24"/>
          <w:szCs w:val="24"/>
          <w:shd w:val="clear" w:color="auto" w:fill="FFFFFF"/>
        </w:rPr>
        <w:t>Putra, B.A., 2023. Complexities of the ethical dilemmas in qualitative international relations research: Research subjects, ethical codes, and constructing qualitative rigor. </w:t>
      </w:r>
      <w:r w:rsidRPr="00607901">
        <w:rPr>
          <w:rFonts w:ascii="Times New Roman" w:hAnsi="Times New Roman" w:cs="Times New Roman"/>
          <w:i/>
          <w:iCs/>
          <w:color w:val="222222"/>
          <w:sz w:val="24"/>
          <w:szCs w:val="24"/>
          <w:shd w:val="clear" w:color="auto" w:fill="FFFFFF"/>
        </w:rPr>
        <w:t>Social Sciences</w:t>
      </w:r>
      <w:r w:rsidRPr="00607901">
        <w:rPr>
          <w:rFonts w:ascii="Times New Roman" w:hAnsi="Times New Roman" w:cs="Times New Roman"/>
          <w:color w:val="222222"/>
          <w:sz w:val="24"/>
          <w:szCs w:val="24"/>
          <w:shd w:val="clear" w:color="auto" w:fill="FFFFFF"/>
        </w:rPr>
        <w:t>, </w:t>
      </w:r>
      <w:r w:rsidRPr="00607901">
        <w:rPr>
          <w:rFonts w:ascii="Times New Roman" w:hAnsi="Times New Roman" w:cs="Times New Roman"/>
          <w:i/>
          <w:iCs/>
          <w:color w:val="222222"/>
          <w:sz w:val="24"/>
          <w:szCs w:val="24"/>
          <w:shd w:val="clear" w:color="auto" w:fill="FFFFFF"/>
        </w:rPr>
        <w:t>12</w:t>
      </w:r>
      <w:r w:rsidRPr="00607901">
        <w:rPr>
          <w:rFonts w:ascii="Times New Roman" w:hAnsi="Times New Roman" w:cs="Times New Roman"/>
          <w:color w:val="222222"/>
          <w:sz w:val="24"/>
          <w:szCs w:val="24"/>
          <w:shd w:val="clear" w:color="auto" w:fill="FFFFFF"/>
        </w:rPr>
        <w:t>(3), p.157.</w:t>
      </w:r>
      <w:r w:rsidRPr="00607901">
        <w:rPr>
          <w:rFonts w:ascii="Times New Roman" w:hAnsi="Times New Roman" w:cs="Times New Roman"/>
          <w:color w:val="222222"/>
          <w:sz w:val="24"/>
          <w:szCs w:val="24"/>
          <w:shd w:val="clear" w:color="auto" w:fill="FFFFFF"/>
          <w:lang w:val="en-US"/>
        </w:rPr>
        <w:t xml:space="preserve"> Available at: </w:t>
      </w:r>
      <w:hyperlink r:id="rId12" w:history="1">
        <w:r w:rsidRPr="00607901">
          <w:rPr>
            <w:rStyle w:val="Hyperlink"/>
            <w:rFonts w:ascii="Times New Roman" w:hAnsi="Times New Roman" w:cs="Times New Roman"/>
            <w:b/>
            <w:bCs/>
            <w:color w:val="4F5671"/>
            <w:sz w:val="24"/>
            <w:szCs w:val="24"/>
            <w:u w:val="none"/>
            <w:shd w:val="clear" w:color="auto" w:fill="FFFFFF"/>
          </w:rPr>
          <w:t>https://doi.org/10.3390/socsci12030157</w:t>
        </w:r>
      </w:hyperlink>
      <w:r w:rsidRPr="00607901">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607901">
        <w:rPr>
          <w:rFonts w:ascii="Times New Roman" w:hAnsi="Times New Roman" w:cs="Times New Roman"/>
          <w:sz w:val="24"/>
          <w:szCs w:val="24"/>
          <w:lang w:val="en-US"/>
        </w:rPr>
        <w:t>Accessed: 10 December 2025</w:t>
      </w:r>
      <w:r>
        <w:rPr>
          <w:rFonts w:ascii="Times New Roman" w:hAnsi="Times New Roman" w:cs="Times New Roman"/>
          <w:sz w:val="24"/>
          <w:szCs w:val="24"/>
          <w:lang w:val="en-US"/>
        </w:rPr>
        <w:t>)</w:t>
      </w:r>
    </w:p>
    <w:p w14:paraId="4BC395AD" w14:textId="77777777" w:rsidR="00C34950" w:rsidRPr="006C5144" w:rsidRDefault="00C34950" w:rsidP="00C34950">
      <w:pPr>
        <w:jc w:val="both"/>
        <w:rPr>
          <w:rFonts w:ascii="Times New Roman" w:hAnsi="Times New Roman" w:cs="Times New Roman"/>
          <w:color w:val="222222"/>
          <w:sz w:val="24"/>
          <w:szCs w:val="24"/>
          <w:shd w:val="clear" w:color="auto" w:fill="FFFFFF"/>
          <w:lang w:val="en-US"/>
        </w:rPr>
      </w:pPr>
    </w:p>
    <w:p w14:paraId="6DFF9083" w14:textId="77777777" w:rsidR="00C34950" w:rsidRPr="006C5144" w:rsidRDefault="00C34950" w:rsidP="00C34950">
      <w:pPr>
        <w:jc w:val="both"/>
        <w:rPr>
          <w:rFonts w:ascii="Times New Roman" w:hAnsi="Times New Roman" w:cs="Times New Roman"/>
          <w:sz w:val="24"/>
          <w:szCs w:val="24"/>
          <w:lang w:val="en-US"/>
        </w:rPr>
      </w:pPr>
    </w:p>
    <w:sectPr w:rsidR="00C34950" w:rsidRPr="006C5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B28"/>
    <w:rsid w:val="00455723"/>
    <w:rsid w:val="00605C71"/>
    <w:rsid w:val="00607901"/>
    <w:rsid w:val="00661882"/>
    <w:rsid w:val="006C5144"/>
    <w:rsid w:val="00A75929"/>
    <w:rsid w:val="00B00B28"/>
    <w:rsid w:val="00C34950"/>
    <w:rsid w:val="00F378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E125"/>
  <w15:chartTrackingRefBased/>
  <w15:docId w15:val="{4C1CF5F9-A3EE-4380-8501-0C8C1E01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0B28"/>
    <w:rPr>
      <w:color w:val="0000FF"/>
      <w:u w:val="single"/>
    </w:rPr>
  </w:style>
  <w:style w:type="character" w:styleId="UnresolvedMention">
    <w:name w:val="Unresolved Mention"/>
    <w:basedOn w:val="DefaultParagraphFont"/>
    <w:uiPriority w:val="99"/>
    <w:semiHidden/>
    <w:unhideWhenUsed/>
    <w:rsid w:val="00C34950"/>
    <w:rPr>
      <w:color w:val="605E5C"/>
      <w:shd w:val="clear" w:color="auto" w:fill="E1DFDD"/>
    </w:rPr>
  </w:style>
  <w:style w:type="character" w:customStyle="1" w:styleId="anchor-text">
    <w:name w:val="anchor-text"/>
    <w:basedOn w:val="DefaultParagraphFont"/>
    <w:rsid w:val="00C34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ckpoint.url-protection.com/v1/r07/url?o=https%3A//doi.org/10.1007/s42087-021-00236-9&amp;g=YjgyZmVjMzcwZDZlNTkxOA==&amp;h=M2M4OTU5MDg3NzczMGU3NTlkMzk1YzFmMDUxNTRjMWIwYWRjMGNkYzMyMGQwNTc5MTkxZDA0ZmZhODk5ODhjYw==&amp;p=bWVjMTp0YXFhdHJhbnNtaXNzaW9uYW5kZGlzdHJpYnV0aW9uOmM6bzpmZDg4ODY2MWQxZjA0ODBhYzE4MWEwZmU4N2QwZDdiNTo3OnA6VA=="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heckpoint.url-protection.com/v1/r07/url?o=https%3A//doi.org/10.1177/27526461211070828&amp;g=OTZlYzc0MTE3ZThlMWQ1Mw==&amp;h=ZjBiMjUxNWFmOTRhZTRhNzhkMzVmMmZhNmNhNzNkZWQzMDI3NmVjYjdiZTg1YTc5NTVkNzg0NDIxN2YxOTYzMQ==&amp;p=bWVjMTp0YXFhdHJhbnNtaXNzaW9uYW5kZGlzdHJpYnV0aW9uOmM6bzpmZDg4ODY2MWQxZjA0ODBhYzE4MWEwZmU4N2QwZDdiNTo3OnA6VA==" TargetMode="External"/><Relationship Id="rId12" Type="http://schemas.openxmlformats.org/officeDocument/2006/relationships/hyperlink" Target="https://checkpoint.url-protection.com/v1/r07/url?o=https%3A//doi.org/10.3390/socsci12030157&amp;g=NGI0YzczYmYxMWI0NWMxMQ==&amp;h=MjU2ZTFjYTQyMGM5Y2M2YjYyMTc3NTdiNDY0ZjA3ZGE0ZGQ4NWQwM2Q1YWExZWQ2NTllNTdhOTcxMDIyYzRjMA==&amp;p=bWVjMTp0YXFhdHJhbnNtaXNzaW9uYW5kZGlzdHJpYnV0aW9uOmM6bzpmZDg4ODY2MWQxZjA0ODBhYzE4MWEwZmU4N2QwZDdiNTo3OnA6V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eckpoint.url-protection.com/v1/r07/url?o=https%3A//doi.org/10.1187/cbe.23-12-0239&amp;g=YTliOTJmYTJjYmExZDI3Yg==&amp;h=OGZhMWQyMTg1NDM4YmVhZjhkYzMwMWYxMDJlY2NjMWY4MWQ1NGZmMzc5M2Y5YzJjNzExZGQ4Nzk2MzQxODBlNA==&amp;p=bWVjMTp0YXFhdHJhbnNtaXNzaW9uYW5kZGlzdHJpYnV0aW9uOmM6bzpmZDg4ODY2MWQxZjA0ODBhYzE4MWEwZmU4N2QwZDdiNTo3OnA6VA==" TargetMode="External"/><Relationship Id="rId11" Type="http://schemas.openxmlformats.org/officeDocument/2006/relationships/hyperlink" Target="https://checkpoint.url-protection.com/v1/r07/url?o=https%3A//doi.org/10.1038/s41597-024-04312-x&amp;g=OGFjNTdjNTY1Y2EzNDk2Yw==&amp;h=MzMzMmM0MDA2NzJlZWJlZGE2MzQzZDljMGZlYjk4NzI4MzdiNGUzOWEwZGIyMDJiZjVkMjcwNjE2Yjk2Y2RlNQ==&amp;p=bWVjMTp0YXFhdHJhbnNtaXNzaW9uYW5kZGlzdHJpYnV0aW9uOmM6bzpmZDg4ODY2MWQxZjA0ODBhYzE4MWEwZmU4N2QwZDdiNTo3OnA6VA==" TargetMode="External"/><Relationship Id="rId5" Type="http://schemas.openxmlformats.org/officeDocument/2006/relationships/hyperlink" Target="https://checkpoint.url-protection.com/v1/r07/url?o=https%3A//doi.org/10.3390/clinpract14010008&amp;g=NDE5MDI1OWVjYTBjOGI2OQ==&amp;h=ZTAzYWUyNGViM2JjYjI4MzQ1YWRiNTBiMWMzZWIzMjFjZDhlMTA1NmU3ZTM5MzVhOGViNDYyZGQ3M2RhNGRhMw==&amp;p=bWVjMTp0YXFhdHJhbnNtaXNzaW9uYW5kZGlzdHJpYnV0aW9uOmM6bzpmZDg4ODY2MWQxZjA0ODBhYzE4MWEwZmU4N2QwZDdiNTo3OnA6VA==" TargetMode="External"/><Relationship Id="rId10" Type="http://schemas.openxmlformats.org/officeDocument/2006/relationships/hyperlink" Target="https://checkpoint.url-protection.com/v1/r07/url?o=https%3A//doi.org/10.1016/j.rmal.2023.100072&amp;g=NDUzYTM0YzdkYzk4NmI2Yg==&amp;h=MGU0ZTRmYTZkMDVhMWM1ODc5ZDI3NDk2MzY4MWI5MzVkYjQyNDNhMzE0NTZmOTkyYjI2MTkyMjU4MWY0MDkwMA==&amp;p=bWVjMTp0YXFhdHJhbnNtaXNzaW9uYW5kZGlzdHJpYnV0aW9uOmM6bzpmZDg4ODY2MWQxZjA0ODBhYzE4MWEwZmU4N2QwZDdiNTo3OnA6VA==" TargetMode="External"/><Relationship Id="rId4" Type="http://schemas.openxmlformats.org/officeDocument/2006/relationships/hyperlink" Target="https://checkpoint.url-protection.com/v1/r07/url?o=https%3A//doi.org/10.1177/16094069221078731&amp;g=ZWMyMzY4NDc2YTQ2MjM3Zg==&amp;h=Yzc5YmJiMTJmOTlmNjNhNDY0OTA0ZWJkZjFkNWZjM2IzMjEzZjMxZTYyZGM0ZDAyYjE3ZmZhY2FkNzQ1ODdkZg==&amp;p=bWVjMTp0YXFhdHJhbnNtaXNzaW9uYW5kZGlzdHJpYnV0aW9uOmM6bzpmZDg4ODY2MWQxZjA0ODBhYzE4MWEwZmU4N2QwZDdiNTo3OnA6VA==" TargetMode="External"/><Relationship Id="rId9" Type="http://schemas.openxmlformats.org/officeDocument/2006/relationships/hyperlink" Target="https://checkpoint.url-protection.com/v1/r07/url?o=https%3A//doi.org/10.1007/s10805-023-09484-6&amp;g=MjY3MjY1MzBkYWFmMzQ1NA==&amp;h=ODE1Y2MyYmVmMGFiNGQwMTA3MDUxNjA5ZDE0MzQ2MGE0ZmM0NTMzZDM5OTdmOGU1NGVkNWI0OGI2Yzc0MjMzNw==&amp;p=bWVjMTp0YXFhdHJhbnNtaXNzaW9uYW5kZGlzdHJpYnV0aW9uOmM6bzpmZDg4ODY2MWQxZjA0ODBhYzE4MWEwZmU4N2QwZDdiNTo3OnA6V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1777</Words>
  <Characters>10451</Characters>
  <Application>Microsoft Office Word</Application>
  <DocSecurity>0</DocSecurity>
  <Lines>160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Minahil</dc:creator>
  <cp:lastModifiedBy>Ali Saleh Alhammadi</cp:lastModifiedBy>
  <cp:revision>5</cp:revision>
  <dcterms:created xsi:type="dcterms:W3CDTF">2025-12-10T11:22:00Z</dcterms:created>
  <dcterms:modified xsi:type="dcterms:W3CDTF">2025-12-11T10:38:00Z</dcterms:modified>
</cp:coreProperties>
</file>