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D2B7" w14:textId="69D7A9DA" w:rsidR="004C74F5" w:rsidRPr="009D1B42" w:rsidRDefault="00000000" w:rsidP="009D1B42">
      <w:pPr>
        <w:jc w:val="center"/>
        <w:rPr>
          <w:rFonts w:ascii="Times New Roman" w:hAnsi="Times New Roman" w:cs="Times New Roman"/>
          <w:b/>
          <w:bCs/>
        </w:rPr>
      </w:pPr>
      <w:r w:rsidRPr="009D1B42">
        <w:rPr>
          <w:rFonts w:ascii="Times New Roman" w:hAnsi="Times New Roman" w:cs="Times New Roman"/>
          <w:b/>
          <w:bCs/>
        </w:rPr>
        <w:t>Discussion Topic: Codes of Ethics and Professional Conduct</w:t>
      </w:r>
    </w:p>
    <w:p w14:paraId="4B934C28" w14:textId="77777777" w:rsidR="00392635" w:rsidRPr="00392635" w:rsidRDefault="00000000" w:rsidP="009D1B42">
      <w:pPr>
        <w:jc w:val="center"/>
        <w:rPr>
          <w:rFonts w:ascii="Times New Roman" w:hAnsi="Times New Roman" w:cs="Times New Roman"/>
          <w:lang w:val="en-US"/>
        </w:rPr>
      </w:pPr>
      <w:r w:rsidRPr="00392635">
        <w:rPr>
          <w:rFonts w:ascii="Times New Roman" w:hAnsi="Times New Roman" w:cs="Times New Roman"/>
          <w:b/>
          <w:bCs/>
          <w:lang w:val="en-US"/>
        </w:rPr>
        <w:t>Case Study: “Data Breach at a Medical Database” (ACM Case Study)</w:t>
      </w:r>
    </w:p>
    <w:p w14:paraId="2562B2D3" w14:textId="383BB343" w:rsidR="00D63C26" w:rsidRPr="00D63C26" w:rsidRDefault="00000000" w:rsidP="00D63C26">
      <w:pPr>
        <w:jc w:val="both"/>
        <w:rPr>
          <w:rFonts w:ascii="Times New Roman" w:hAnsi="Times New Roman" w:cs="Times New Roman"/>
          <w:lang w:val="en-US"/>
        </w:rPr>
      </w:pPr>
      <w:r w:rsidRPr="00D63C26">
        <w:rPr>
          <w:rFonts w:ascii="Times New Roman" w:hAnsi="Times New Roman" w:cs="Times New Roman"/>
          <w:lang w:val="en-US"/>
        </w:rPr>
        <w:t xml:space="preserve">The ACM </w:t>
      </w:r>
      <w:r>
        <w:rPr>
          <w:rFonts w:ascii="Times New Roman" w:hAnsi="Times New Roman" w:cs="Times New Roman"/>
          <w:lang w:val="en-US"/>
        </w:rPr>
        <w:t>Code</w:t>
      </w:r>
      <w:r w:rsidRPr="00D63C26">
        <w:rPr>
          <w:rFonts w:ascii="Times New Roman" w:hAnsi="Times New Roman" w:cs="Times New Roman"/>
          <w:lang w:val="en-US"/>
        </w:rPr>
        <w:t xml:space="preserve"> of Ethics (2018) is a guideline on data ethics and accountability to computing professionals. To not infringe Principles 1.2 (Avoid Harm) and 1.6 (Respect Privacy), in the Case of a Data Breach at a Medical Database, the act of not publicizing the disclosure of patient data endangers these principles. Such inactivity not only vindicates the profession but </w:t>
      </w:r>
      <w:r>
        <w:rPr>
          <w:rFonts w:ascii="Times New Roman" w:hAnsi="Times New Roman" w:cs="Times New Roman"/>
          <w:lang w:val="en-US"/>
        </w:rPr>
        <w:t>also</w:t>
      </w:r>
      <w:r w:rsidRPr="00D63C26">
        <w:rPr>
          <w:rFonts w:ascii="Times New Roman" w:hAnsi="Times New Roman" w:cs="Times New Roman"/>
          <w:lang w:val="en-US"/>
        </w:rPr>
        <w:t xml:space="preserve"> endangers people as well as harms the profession in terms of its morals.</w:t>
      </w:r>
    </w:p>
    <w:p w14:paraId="56730E7C" w14:textId="6C794176" w:rsidR="00D63C26" w:rsidRPr="00D63C26" w:rsidRDefault="00000000" w:rsidP="00D63C26">
      <w:pPr>
        <w:jc w:val="both"/>
        <w:rPr>
          <w:rFonts w:ascii="Times New Roman" w:hAnsi="Times New Roman" w:cs="Times New Roman"/>
          <w:lang w:val="en-US"/>
        </w:rPr>
      </w:pPr>
      <w:r w:rsidRPr="00D63C26">
        <w:rPr>
          <w:rFonts w:ascii="Times New Roman" w:hAnsi="Times New Roman" w:cs="Times New Roman"/>
          <w:lang w:val="en-US"/>
        </w:rPr>
        <w:t xml:space="preserve">One of the studies, by Nemec Zlatolas, Welzer, and </w:t>
      </w:r>
      <w:proofErr w:type="spellStart"/>
      <w:r w:rsidRPr="00D63C26">
        <w:rPr>
          <w:rFonts w:ascii="Times New Roman" w:hAnsi="Times New Roman" w:cs="Times New Roman"/>
          <w:lang w:val="en-US"/>
        </w:rPr>
        <w:t>Lhotska</w:t>
      </w:r>
      <w:proofErr w:type="spellEnd"/>
      <w:r w:rsidRPr="00D63C26">
        <w:rPr>
          <w:rFonts w:ascii="Times New Roman" w:hAnsi="Times New Roman" w:cs="Times New Roman"/>
          <w:lang w:val="en-US"/>
        </w:rPr>
        <w:t xml:space="preserve"> (2024), proves that responsible disclosure is an ethically pressing matter, and healthcare is one of the leaders in cyberattacks. Hacking and unauthorized access were the most prevalent threats identified in their systematic review, and to combat them, ethical awareness and advanced technologies, such as blockchain and encryption, are needed. Similarly, Ugwu et al. (2022) show that the failure to act ethically in addressing a data breach in healthcare can have a harmful effect, especially in the setting of artificial intelligence and automated systems, because data abuse can lead to ongoing injustice and breach of privacy.</w:t>
      </w:r>
    </w:p>
    <w:p w14:paraId="16FF8FFA" w14:textId="050CCB8B" w:rsidR="00D63C26" w:rsidRPr="00D63C26" w:rsidRDefault="00000000" w:rsidP="00D63C26">
      <w:pPr>
        <w:jc w:val="both"/>
        <w:rPr>
          <w:rFonts w:ascii="Times New Roman" w:hAnsi="Times New Roman" w:cs="Times New Roman"/>
          <w:lang w:val="en-US"/>
        </w:rPr>
      </w:pPr>
      <w:proofErr w:type="spellStart"/>
      <w:r w:rsidRPr="00D63C26">
        <w:rPr>
          <w:rFonts w:ascii="Times New Roman" w:hAnsi="Times New Roman" w:cs="Times New Roman"/>
          <w:lang w:val="en-US"/>
        </w:rPr>
        <w:t>Prentosito</w:t>
      </w:r>
      <w:proofErr w:type="spellEnd"/>
      <w:r w:rsidRPr="00D63C26">
        <w:rPr>
          <w:rFonts w:ascii="Times New Roman" w:hAnsi="Times New Roman" w:cs="Times New Roman"/>
          <w:lang w:val="en-US"/>
        </w:rPr>
        <w:t xml:space="preserve"> et al. (2022) further reveal that the consequences of not observing sufficient measures of session security and ethical responsibility are devastating, as observed in the case of CVS Health in 2021. The General Data Protection Regulation (GDPR) and the UK legislation on protecting data also impose on the organi</w:t>
      </w:r>
      <w:r>
        <w:rPr>
          <w:rFonts w:ascii="Times New Roman" w:hAnsi="Times New Roman" w:cs="Times New Roman"/>
          <w:lang w:val="en-US"/>
        </w:rPr>
        <w:t>z</w:t>
      </w:r>
      <w:r w:rsidRPr="00D63C26">
        <w:rPr>
          <w:rFonts w:ascii="Times New Roman" w:hAnsi="Times New Roman" w:cs="Times New Roman"/>
          <w:lang w:val="en-US"/>
        </w:rPr>
        <w:t>ation a duty to report breaches as soon as possible, a duty that complements the ACM ethical expectations of data protection.</w:t>
      </w:r>
    </w:p>
    <w:p w14:paraId="72DF2794" w14:textId="5033AE68" w:rsidR="00392635" w:rsidRPr="00392635" w:rsidRDefault="00000000" w:rsidP="00D63C26">
      <w:pPr>
        <w:jc w:val="both"/>
        <w:rPr>
          <w:rFonts w:ascii="Times New Roman" w:hAnsi="Times New Roman" w:cs="Times New Roman"/>
          <w:lang w:val="en-US"/>
        </w:rPr>
      </w:pPr>
      <w:r w:rsidRPr="00D63C26">
        <w:rPr>
          <w:rFonts w:ascii="Times New Roman" w:hAnsi="Times New Roman" w:cs="Times New Roman"/>
          <w:lang w:val="en-US"/>
        </w:rPr>
        <w:t>In comparison, the interest of the public, integrity, and competence are also of great importance to the British Computer Society (BCS) Code of Conduct (2024). It asks professionals not only to take social and personal health, privacy, and well-being seriously, but also to behave ethically appropriately. Both the ACM and BCS Codes promote transparency, accountability, and human dignity</w:t>
      </w:r>
      <w:r>
        <w:rPr>
          <w:rFonts w:ascii="Times New Roman" w:hAnsi="Times New Roman" w:cs="Times New Roman"/>
          <w:lang w:val="en-US"/>
        </w:rPr>
        <w:t>, which</w:t>
      </w:r>
      <w:r w:rsidRPr="00D63C26">
        <w:rPr>
          <w:rFonts w:ascii="Times New Roman" w:hAnsi="Times New Roman" w:cs="Times New Roman"/>
          <w:lang w:val="en-US"/>
        </w:rPr>
        <w:t xml:space="preserve"> are key attributes of professional behavior in healthcare cybersecurity.</w:t>
      </w:r>
    </w:p>
    <w:p w14:paraId="74103FD3" w14:textId="77777777" w:rsidR="007F0E64" w:rsidRPr="009D1B42" w:rsidRDefault="00000000" w:rsidP="009D1B42">
      <w:pPr>
        <w:jc w:val="both"/>
        <w:rPr>
          <w:rFonts w:ascii="Times New Roman" w:hAnsi="Times New Roman" w:cs="Times New Roman"/>
          <w:lang w:val="en-US"/>
        </w:rPr>
      </w:pPr>
      <w:r w:rsidRPr="00392635">
        <w:rPr>
          <w:rFonts w:ascii="Times New Roman" w:hAnsi="Times New Roman" w:cs="Times New Roman"/>
          <w:b/>
          <w:bCs/>
          <w:lang w:val="en-US"/>
        </w:rPr>
        <w:t>References</w:t>
      </w:r>
    </w:p>
    <w:p w14:paraId="3E504ACB" w14:textId="0A14AED2" w:rsidR="00481314" w:rsidRPr="00481314" w:rsidRDefault="00481314" w:rsidP="009D1B42">
      <w:pPr>
        <w:ind w:left="720" w:hanging="720"/>
        <w:jc w:val="both"/>
        <w:rPr>
          <w:rFonts w:ascii="Times New Roman" w:hAnsi="Times New Roman" w:cs="Times New Roman"/>
          <w:lang w:val="en-US"/>
        </w:rPr>
      </w:pPr>
      <w:r w:rsidRPr="00481314">
        <w:rPr>
          <w:rFonts w:ascii="Times New Roman" w:hAnsi="Times New Roman" w:cs="Times New Roman"/>
          <w:lang w:val="en-US"/>
        </w:rPr>
        <w:t xml:space="preserve">Association for Computing Machinery (ACM). (2018). </w:t>
      </w:r>
      <w:r w:rsidRPr="00481314">
        <w:rPr>
          <w:rFonts w:ascii="Times New Roman" w:hAnsi="Times New Roman" w:cs="Times New Roman"/>
          <w:i/>
          <w:iCs/>
          <w:lang w:val="en-US"/>
        </w:rPr>
        <w:t>ACM Code of Ethics and Professional Conduct</w:t>
      </w:r>
      <w:r w:rsidRPr="00481314">
        <w:rPr>
          <w:rFonts w:ascii="Times New Roman" w:hAnsi="Times New Roman" w:cs="Times New Roman"/>
          <w:lang w:val="en-US"/>
        </w:rPr>
        <w:t xml:space="preserve">. </w:t>
      </w:r>
      <w:r w:rsidRPr="00481314">
        <w:rPr>
          <w:rFonts w:ascii="Times New Roman" w:hAnsi="Times New Roman" w:cs="Times New Roman"/>
        </w:rPr>
        <w:t xml:space="preserve">Available at: </w:t>
      </w:r>
      <w:hyperlink r:id="rId4" w:history="1">
        <w:r w:rsidRPr="00481314">
          <w:rPr>
            <w:rStyle w:val="Hyperlink"/>
            <w:rFonts w:ascii="Times New Roman" w:hAnsi="Times New Roman" w:cs="Times New Roman"/>
            <w:u w:val="none"/>
            <w:lang w:val="en-US"/>
          </w:rPr>
          <w:t>https://www.acm.org/code-of-ethics</w:t>
        </w:r>
      </w:hyperlink>
      <w:r w:rsidRPr="00481314">
        <w:rPr>
          <w:rFonts w:ascii="Times New Roman" w:hAnsi="Times New Roman" w:cs="Times New Roman"/>
          <w:lang w:val="en-US"/>
        </w:rPr>
        <w:t xml:space="preserve"> </w:t>
      </w:r>
      <w:r>
        <w:rPr>
          <w:rFonts w:ascii="Times New Roman" w:hAnsi="Times New Roman" w:cs="Times New Roman"/>
        </w:rPr>
        <w:t>(</w:t>
      </w:r>
      <w:r w:rsidRPr="00481314">
        <w:rPr>
          <w:rFonts w:ascii="Times New Roman" w:hAnsi="Times New Roman" w:cs="Times New Roman"/>
        </w:rPr>
        <w:t>6 November 2025</w:t>
      </w:r>
      <w:r>
        <w:rPr>
          <w:rFonts w:ascii="Times New Roman" w:hAnsi="Times New Roman" w:cs="Times New Roman"/>
        </w:rPr>
        <w:t>)</w:t>
      </w:r>
      <w:r w:rsidRPr="00481314">
        <w:rPr>
          <w:rFonts w:ascii="Times New Roman" w:hAnsi="Times New Roman" w:cs="Times New Roman"/>
        </w:rPr>
        <w:t>.</w:t>
      </w:r>
    </w:p>
    <w:p w14:paraId="29523646" w14:textId="5B9F333E" w:rsidR="00481314" w:rsidRPr="00481314" w:rsidRDefault="00481314" w:rsidP="009D1B42">
      <w:pPr>
        <w:ind w:left="720" w:hanging="720"/>
        <w:jc w:val="both"/>
        <w:rPr>
          <w:rFonts w:ascii="Times New Roman" w:hAnsi="Times New Roman" w:cs="Times New Roman"/>
        </w:rPr>
      </w:pPr>
      <w:r w:rsidRPr="00481314">
        <w:rPr>
          <w:rFonts w:ascii="Times New Roman" w:hAnsi="Times New Roman" w:cs="Times New Roman"/>
          <w:lang w:val="en-US"/>
        </w:rPr>
        <w:t xml:space="preserve">British Computer Society (BCS). (2024). </w:t>
      </w:r>
      <w:r w:rsidRPr="00481314">
        <w:rPr>
          <w:rFonts w:ascii="Times New Roman" w:hAnsi="Times New Roman" w:cs="Times New Roman"/>
          <w:i/>
          <w:iCs/>
          <w:lang w:val="en-US"/>
        </w:rPr>
        <w:t>BCS Code of Conduct</w:t>
      </w:r>
      <w:r w:rsidRPr="00481314">
        <w:rPr>
          <w:rFonts w:ascii="Times New Roman" w:hAnsi="Times New Roman" w:cs="Times New Roman"/>
          <w:lang w:val="en-US"/>
        </w:rPr>
        <w:t xml:space="preserve">. </w:t>
      </w:r>
      <w:r w:rsidRPr="00481314">
        <w:rPr>
          <w:rFonts w:ascii="Times New Roman" w:hAnsi="Times New Roman" w:cs="Times New Roman"/>
        </w:rPr>
        <w:t xml:space="preserve">Available at: </w:t>
      </w:r>
      <w:hyperlink r:id="rId5" w:history="1">
        <w:r w:rsidRPr="00481314">
          <w:rPr>
            <w:rStyle w:val="Hyperlink"/>
            <w:rFonts w:ascii="Times New Roman" w:hAnsi="Times New Roman" w:cs="Times New Roman"/>
            <w:u w:val="none"/>
            <w:lang w:val="en-US"/>
          </w:rPr>
          <w:t>https://www.bcs.org/membership/become-a-member/bcs-code-of-conduct/</w:t>
        </w:r>
      </w:hyperlink>
      <w:r w:rsidRPr="00481314">
        <w:rPr>
          <w:rFonts w:ascii="Times New Roman" w:hAnsi="Times New Roman" w:cs="Times New Roman"/>
          <w:lang w:val="en-US"/>
        </w:rPr>
        <w:t xml:space="preserve"> </w:t>
      </w:r>
      <w:r>
        <w:rPr>
          <w:rFonts w:ascii="Times New Roman" w:hAnsi="Times New Roman" w:cs="Times New Roman"/>
        </w:rPr>
        <w:t>(</w:t>
      </w:r>
      <w:r w:rsidRPr="00481314">
        <w:rPr>
          <w:rFonts w:ascii="Times New Roman" w:hAnsi="Times New Roman" w:cs="Times New Roman"/>
        </w:rPr>
        <w:t>6 November 2025</w:t>
      </w:r>
      <w:r>
        <w:rPr>
          <w:rFonts w:ascii="Times New Roman" w:hAnsi="Times New Roman" w:cs="Times New Roman"/>
        </w:rPr>
        <w:t>)</w:t>
      </w:r>
      <w:r w:rsidRPr="00481314">
        <w:rPr>
          <w:rFonts w:ascii="Times New Roman" w:hAnsi="Times New Roman" w:cs="Times New Roman"/>
        </w:rPr>
        <w:t>.</w:t>
      </w:r>
    </w:p>
    <w:p w14:paraId="51F8DDD1" w14:textId="74633D1B" w:rsidR="00481314" w:rsidRPr="00481314" w:rsidRDefault="00481314" w:rsidP="009D1B42">
      <w:pPr>
        <w:ind w:left="720" w:hanging="720"/>
        <w:jc w:val="both"/>
        <w:rPr>
          <w:rFonts w:ascii="Times New Roman" w:hAnsi="Times New Roman" w:cs="Times New Roman"/>
          <w:lang w:val="en-US"/>
        </w:rPr>
      </w:pPr>
      <w:r w:rsidRPr="00481314">
        <w:rPr>
          <w:rFonts w:ascii="Times New Roman" w:hAnsi="Times New Roman" w:cs="Times New Roman"/>
          <w:lang w:val="en-US"/>
        </w:rPr>
        <w:t xml:space="preserve">Nemec Zlatolas, L., Welzer, T., &amp; </w:t>
      </w:r>
      <w:proofErr w:type="spellStart"/>
      <w:r w:rsidRPr="00481314">
        <w:rPr>
          <w:rFonts w:ascii="Times New Roman" w:hAnsi="Times New Roman" w:cs="Times New Roman"/>
          <w:lang w:val="en-US"/>
        </w:rPr>
        <w:t>Lhotska</w:t>
      </w:r>
      <w:proofErr w:type="spellEnd"/>
      <w:r w:rsidRPr="00481314">
        <w:rPr>
          <w:rFonts w:ascii="Times New Roman" w:hAnsi="Times New Roman" w:cs="Times New Roman"/>
          <w:lang w:val="en-US"/>
        </w:rPr>
        <w:t xml:space="preserve">, L. (2024). </w:t>
      </w:r>
      <w:r w:rsidRPr="00481314">
        <w:rPr>
          <w:rFonts w:ascii="Times New Roman" w:hAnsi="Times New Roman" w:cs="Times New Roman"/>
          <w:i/>
          <w:iCs/>
          <w:lang w:val="en-US"/>
        </w:rPr>
        <w:t>Data breaches in healthcare: Security mechanisms for attack mitigation</w:t>
      </w:r>
      <w:r w:rsidRPr="00481314">
        <w:rPr>
          <w:rFonts w:ascii="Times New Roman" w:hAnsi="Times New Roman" w:cs="Times New Roman"/>
          <w:lang w:val="en-US"/>
        </w:rPr>
        <w:t xml:space="preserve">. </w:t>
      </w:r>
      <w:r w:rsidRPr="00481314">
        <w:rPr>
          <w:rFonts w:ascii="Times New Roman" w:hAnsi="Times New Roman" w:cs="Times New Roman"/>
          <w:i/>
          <w:iCs/>
          <w:lang w:val="en-US"/>
        </w:rPr>
        <w:t>Cluster Computing, 27</w:t>
      </w:r>
      <w:r w:rsidRPr="00481314">
        <w:rPr>
          <w:rFonts w:ascii="Times New Roman" w:hAnsi="Times New Roman" w:cs="Times New Roman"/>
          <w:lang w:val="en-US"/>
        </w:rPr>
        <w:t xml:space="preserve">(7), 8639–8654. </w:t>
      </w:r>
      <w:r w:rsidRPr="00481314">
        <w:rPr>
          <w:rFonts w:ascii="Times New Roman" w:hAnsi="Times New Roman" w:cs="Times New Roman"/>
        </w:rPr>
        <w:t xml:space="preserve">Available at: </w:t>
      </w:r>
      <w:hyperlink r:id="rId6" w:history="1">
        <w:r w:rsidRPr="00481314">
          <w:rPr>
            <w:rStyle w:val="Hyperlink"/>
            <w:rFonts w:ascii="Times New Roman" w:hAnsi="Times New Roman" w:cs="Times New Roman"/>
            <w:u w:val="none"/>
            <w:lang w:val="en-US"/>
          </w:rPr>
          <w:t>https://doi.org/10.1007/s10586-024-04507-2</w:t>
        </w:r>
      </w:hyperlink>
      <w:r w:rsidRPr="00481314">
        <w:rPr>
          <w:rFonts w:ascii="Times New Roman" w:hAnsi="Times New Roman" w:cs="Times New Roman"/>
          <w:lang w:val="en-US"/>
        </w:rPr>
        <w:t xml:space="preserve"> </w:t>
      </w:r>
      <w:r>
        <w:rPr>
          <w:rFonts w:ascii="Times New Roman" w:hAnsi="Times New Roman" w:cs="Times New Roman"/>
        </w:rPr>
        <w:t>(</w:t>
      </w:r>
      <w:r w:rsidRPr="00481314">
        <w:rPr>
          <w:rFonts w:ascii="Times New Roman" w:hAnsi="Times New Roman" w:cs="Times New Roman"/>
        </w:rPr>
        <w:t>6 November 2025</w:t>
      </w:r>
      <w:r>
        <w:rPr>
          <w:rFonts w:ascii="Times New Roman" w:hAnsi="Times New Roman" w:cs="Times New Roman"/>
        </w:rPr>
        <w:t>)</w:t>
      </w:r>
      <w:r w:rsidRPr="00481314">
        <w:rPr>
          <w:rFonts w:ascii="Times New Roman" w:hAnsi="Times New Roman" w:cs="Times New Roman"/>
        </w:rPr>
        <w:t>.</w:t>
      </w:r>
    </w:p>
    <w:p w14:paraId="53627237" w14:textId="1D14375F" w:rsidR="00481314" w:rsidRPr="00481314" w:rsidRDefault="00481314" w:rsidP="009D1B42">
      <w:pPr>
        <w:ind w:left="720" w:hanging="720"/>
        <w:jc w:val="both"/>
        <w:rPr>
          <w:rFonts w:ascii="Times New Roman" w:hAnsi="Times New Roman" w:cs="Times New Roman"/>
          <w:lang w:val="en-US"/>
        </w:rPr>
      </w:pPr>
      <w:r w:rsidRPr="00481314">
        <w:rPr>
          <w:rFonts w:ascii="Times New Roman" w:hAnsi="Times New Roman" w:cs="Times New Roman"/>
        </w:rPr>
        <w:t>Prentosito, A., Skoczen, M., Kahrs, L., &amp; Bhunia, S. (2022, August). Case study on a session hijacking attack: The 2021 cvs health data breach. In </w:t>
      </w:r>
      <w:r w:rsidRPr="00481314">
        <w:rPr>
          <w:rFonts w:ascii="Times New Roman" w:hAnsi="Times New Roman" w:cs="Times New Roman"/>
          <w:i/>
          <w:iCs/>
        </w:rPr>
        <w:t>International Conference on Mobile Web and Intelligent Information Systems</w:t>
      </w:r>
      <w:r w:rsidRPr="00481314">
        <w:rPr>
          <w:rFonts w:ascii="Times New Roman" w:hAnsi="Times New Roman" w:cs="Times New Roman"/>
        </w:rPr>
        <w:t xml:space="preserve"> (pp. 93-105). Cham: Springer </w:t>
      </w:r>
      <w:r w:rsidRPr="00481314">
        <w:rPr>
          <w:rFonts w:ascii="Times New Roman" w:hAnsi="Times New Roman" w:cs="Times New Roman"/>
        </w:rPr>
        <w:lastRenderedPageBreak/>
        <w:t xml:space="preserve">International Publishing. Available at: </w:t>
      </w:r>
      <w:hyperlink r:id="rId7" w:history="1">
        <w:r w:rsidRPr="00481314">
          <w:rPr>
            <w:rStyle w:val="Hyperlink"/>
            <w:rFonts w:ascii="Times New Roman" w:hAnsi="Times New Roman" w:cs="Times New Roman"/>
            <w:u w:val="none"/>
          </w:rPr>
          <w:t>https://doi.org/10.1007/978-3-031-14391-5_7</w:t>
        </w:r>
      </w:hyperlink>
      <w:r w:rsidRPr="00481314">
        <w:rPr>
          <w:rFonts w:ascii="Times New Roman" w:hAnsi="Times New Roman" w:cs="Times New Roman"/>
        </w:rPr>
        <w:t xml:space="preserve"> </w:t>
      </w:r>
      <w:r>
        <w:rPr>
          <w:rFonts w:ascii="Times New Roman" w:hAnsi="Times New Roman" w:cs="Times New Roman"/>
        </w:rPr>
        <w:t>(</w:t>
      </w:r>
      <w:r w:rsidRPr="00481314">
        <w:rPr>
          <w:rFonts w:ascii="Times New Roman" w:hAnsi="Times New Roman" w:cs="Times New Roman"/>
        </w:rPr>
        <w:t>6 November 2025</w:t>
      </w:r>
      <w:r>
        <w:rPr>
          <w:rFonts w:ascii="Times New Roman" w:hAnsi="Times New Roman" w:cs="Times New Roman"/>
        </w:rPr>
        <w:t>)</w:t>
      </w:r>
      <w:r w:rsidRPr="00481314">
        <w:rPr>
          <w:rFonts w:ascii="Times New Roman" w:hAnsi="Times New Roman" w:cs="Times New Roman"/>
        </w:rPr>
        <w:t>.</w:t>
      </w:r>
    </w:p>
    <w:p w14:paraId="02C49947" w14:textId="7D6ABA6B" w:rsidR="00481314" w:rsidRPr="00481314" w:rsidRDefault="00481314" w:rsidP="009D1B42">
      <w:pPr>
        <w:ind w:left="720" w:hanging="720"/>
        <w:jc w:val="both"/>
        <w:rPr>
          <w:rFonts w:ascii="Times New Roman" w:hAnsi="Times New Roman" w:cs="Times New Roman"/>
        </w:rPr>
      </w:pPr>
      <w:r w:rsidRPr="00481314">
        <w:rPr>
          <w:rFonts w:ascii="Times New Roman" w:hAnsi="Times New Roman" w:cs="Times New Roman"/>
        </w:rPr>
        <w:t>Ugwu, A. O., Gao, X., Ugwu, J. O., &amp; Chang, V. (2022, September). Ethical implications of AI in healthcare data: a case study using healthcare data breaches from the US department of health and human services breach portal between 2009-2021. In </w:t>
      </w:r>
      <w:r w:rsidRPr="00481314">
        <w:rPr>
          <w:rFonts w:ascii="Times New Roman" w:hAnsi="Times New Roman" w:cs="Times New Roman"/>
          <w:i/>
          <w:iCs/>
        </w:rPr>
        <w:t>2022 International Conference on Industrial IoT, Big Data and Supply Chain (IIoTBDSC)</w:t>
      </w:r>
      <w:r w:rsidRPr="00481314">
        <w:rPr>
          <w:rFonts w:ascii="Times New Roman" w:hAnsi="Times New Roman" w:cs="Times New Roman"/>
        </w:rPr>
        <w:t xml:space="preserve"> (pp. 343-349). IEEE. Available at: </w:t>
      </w:r>
      <w:hyperlink r:id="rId8" w:history="1">
        <w:r w:rsidRPr="00481314">
          <w:rPr>
            <w:rStyle w:val="Hyperlink"/>
            <w:rFonts w:ascii="Times New Roman" w:hAnsi="Times New Roman" w:cs="Times New Roman"/>
            <w:u w:val="none"/>
          </w:rPr>
          <w:t>https://doi.org/10.1109/IIoTBDSC57192.2022.00070</w:t>
        </w:r>
      </w:hyperlink>
      <w:r w:rsidRPr="00481314">
        <w:rPr>
          <w:rFonts w:ascii="Times New Roman" w:hAnsi="Times New Roman" w:cs="Times New Roman"/>
        </w:rPr>
        <w:t xml:space="preserve"> </w:t>
      </w:r>
      <w:r>
        <w:rPr>
          <w:rFonts w:ascii="Times New Roman" w:hAnsi="Times New Roman" w:cs="Times New Roman"/>
        </w:rPr>
        <w:t>(</w:t>
      </w:r>
      <w:r w:rsidRPr="00481314">
        <w:rPr>
          <w:rFonts w:ascii="Times New Roman" w:hAnsi="Times New Roman" w:cs="Times New Roman"/>
        </w:rPr>
        <w:t>6 November 2025</w:t>
      </w:r>
      <w:r>
        <w:rPr>
          <w:rFonts w:ascii="Times New Roman" w:hAnsi="Times New Roman" w:cs="Times New Roman"/>
        </w:rPr>
        <w:t>)</w:t>
      </w:r>
      <w:r w:rsidRPr="00481314">
        <w:rPr>
          <w:rFonts w:ascii="Times New Roman" w:hAnsi="Times New Roman" w:cs="Times New Roman"/>
        </w:rPr>
        <w:t>.</w:t>
      </w:r>
    </w:p>
    <w:p w14:paraId="46AF04EC" w14:textId="77777777" w:rsidR="004C74F5" w:rsidRPr="009D1B42" w:rsidRDefault="004C74F5" w:rsidP="009D1B42">
      <w:pPr>
        <w:jc w:val="both"/>
        <w:rPr>
          <w:rFonts w:ascii="Times New Roman" w:hAnsi="Times New Roman" w:cs="Times New Roman"/>
        </w:rPr>
      </w:pPr>
    </w:p>
    <w:sectPr w:rsidR="004C74F5" w:rsidRPr="009D1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5"/>
    <w:rsid w:val="00392635"/>
    <w:rsid w:val="00481314"/>
    <w:rsid w:val="004C74F5"/>
    <w:rsid w:val="007C5288"/>
    <w:rsid w:val="007F0E64"/>
    <w:rsid w:val="009141EC"/>
    <w:rsid w:val="009D1B42"/>
    <w:rsid w:val="00B67A57"/>
    <w:rsid w:val="00D63C26"/>
    <w:rsid w:val="00E95D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E63794"/>
  <w15:chartTrackingRefBased/>
  <w15:docId w15:val="{C658425F-C9FC-4D04-A719-22CE48A8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4F5"/>
    <w:rPr>
      <w:rFonts w:eastAsiaTheme="majorEastAsia" w:cstheme="majorBidi"/>
      <w:color w:val="272727" w:themeColor="text1" w:themeTint="D8"/>
    </w:rPr>
  </w:style>
  <w:style w:type="paragraph" w:styleId="Title">
    <w:name w:val="Title"/>
    <w:basedOn w:val="Normal"/>
    <w:next w:val="Normal"/>
    <w:link w:val="TitleChar"/>
    <w:uiPriority w:val="10"/>
    <w:qFormat/>
    <w:rsid w:val="004C7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4F5"/>
    <w:pPr>
      <w:spacing w:before="160"/>
      <w:jc w:val="center"/>
    </w:pPr>
    <w:rPr>
      <w:i/>
      <w:iCs/>
      <w:color w:val="404040" w:themeColor="text1" w:themeTint="BF"/>
    </w:rPr>
  </w:style>
  <w:style w:type="character" w:customStyle="1" w:styleId="QuoteChar">
    <w:name w:val="Quote Char"/>
    <w:basedOn w:val="DefaultParagraphFont"/>
    <w:link w:val="Quote"/>
    <w:uiPriority w:val="29"/>
    <w:rsid w:val="004C74F5"/>
    <w:rPr>
      <w:i/>
      <w:iCs/>
      <w:color w:val="404040" w:themeColor="text1" w:themeTint="BF"/>
    </w:rPr>
  </w:style>
  <w:style w:type="paragraph" w:styleId="ListParagraph">
    <w:name w:val="List Paragraph"/>
    <w:basedOn w:val="Normal"/>
    <w:uiPriority w:val="34"/>
    <w:qFormat/>
    <w:rsid w:val="004C74F5"/>
    <w:pPr>
      <w:ind w:left="720"/>
      <w:contextualSpacing/>
    </w:pPr>
  </w:style>
  <w:style w:type="character" w:styleId="IntenseEmphasis">
    <w:name w:val="Intense Emphasis"/>
    <w:basedOn w:val="DefaultParagraphFont"/>
    <w:uiPriority w:val="21"/>
    <w:qFormat/>
    <w:rsid w:val="004C74F5"/>
    <w:rPr>
      <w:i/>
      <w:iCs/>
      <w:color w:val="0F4761" w:themeColor="accent1" w:themeShade="BF"/>
    </w:rPr>
  </w:style>
  <w:style w:type="paragraph" w:styleId="IntenseQuote">
    <w:name w:val="Intense Quote"/>
    <w:basedOn w:val="Normal"/>
    <w:next w:val="Normal"/>
    <w:link w:val="IntenseQuoteChar"/>
    <w:uiPriority w:val="30"/>
    <w:qFormat/>
    <w:rsid w:val="004C7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4F5"/>
    <w:rPr>
      <w:i/>
      <w:iCs/>
      <w:color w:val="0F4761" w:themeColor="accent1" w:themeShade="BF"/>
    </w:rPr>
  </w:style>
  <w:style w:type="character" w:styleId="IntenseReference">
    <w:name w:val="Intense Reference"/>
    <w:basedOn w:val="DefaultParagraphFont"/>
    <w:uiPriority w:val="32"/>
    <w:qFormat/>
    <w:rsid w:val="004C74F5"/>
    <w:rPr>
      <w:b/>
      <w:bCs/>
      <w:smallCaps/>
      <w:color w:val="0F4761" w:themeColor="accent1" w:themeShade="BF"/>
      <w:spacing w:val="5"/>
    </w:rPr>
  </w:style>
  <w:style w:type="character" w:styleId="Hyperlink">
    <w:name w:val="Hyperlink"/>
    <w:basedOn w:val="DefaultParagraphFont"/>
    <w:uiPriority w:val="99"/>
    <w:unhideWhenUsed/>
    <w:rsid w:val="004C74F5"/>
    <w:rPr>
      <w:color w:val="467886" w:themeColor="hyperlink"/>
      <w:u w:val="single"/>
    </w:rPr>
  </w:style>
  <w:style w:type="character" w:styleId="UnresolvedMention">
    <w:name w:val="Unresolved Mention"/>
    <w:basedOn w:val="DefaultParagraphFont"/>
    <w:uiPriority w:val="99"/>
    <w:semiHidden/>
    <w:unhideWhenUsed/>
    <w:rsid w:val="004C74F5"/>
    <w:rPr>
      <w:color w:val="605E5C"/>
      <w:shd w:val="clear" w:color="auto" w:fill="E1DFDD"/>
    </w:rPr>
  </w:style>
  <w:style w:type="character" w:styleId="FollowedHyperlink">
    <w:name w:val="FollowedHyperlink"/>
    <w:basedOn w:val="DefaultParagraphFont"/>
    <w:uiPriority w:val="99"/>
    <w:semiHidden/>
    <w:unhideWhenUsed/>
    <w:rsid w:val="003926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ckpoint.url-protection.com/v1/r07/url?o=https%3A//doi.org/10.1109/IIoTBDSC57192.2022.00070&amp;g=YTliMzM4MDRhMWMyNDYyMQ==&amp;h=NDViYTFmMDA2ZjdkNTVjYzFhN2Q5YmFmMDIyM2JmZjg4NzY4NmZhZjQ5MDE1MDg2YjRkMzY5NDU3MDVmYThhYg==&amp;p=bWVjMTp0YXFhdHJhbnNtaXNzaW9uYW5kZGlzdHJpYnV0aW9uOmM6bzo2MzkxODRkOWEzZDQ2Mzc1OWQ4ZTQ1NWZlMGZhN2QyNTo3OnA6VA==" TargetMode="External"/><Relationship Id="rId3" Type="http://schemas.openxmlformats.org/officeDocument/2006/relationships/webSettings" Target="webSettings.xml"/><Relationship Id="rId7" Type="http://schemas.openxmlformats.org/officeDocument/2006/relationships/hyperlink" Target="https://checkpoint.url-protection.com/v1/r07/url?o=https%3A//doi.org/10.1007/978-3-031-14391-5_7&amp;g=NmI5ZDc1NTNlYjc2YzdhZg==&amp;h=YTNkMzAyZThjNzRhNmJhNTZjZjRiYmQ0NzZjMjRmNTE1NmM4OTIxMDQ0ZmUzNjI3NWM1ZWY3MDdjYTZhODdiMg==&amp;p=bWVjMTp0YXFhdHJhbnNtaXNzaW9uYW5kZGlzdHJpYnV0aW9uOmM6bzo2MzkxODRkOWEzZDQ2Mzc1OWQ4ZTQ1NWZlMGZhN2QyNTo3OnA6V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eckpoint.url-protection.com/v1/r07/url?o=https%3A//doi.org/10.1007/s10586-024-04507-2&amp;g=OTM4ZmMyMTFiYzdmN2E4Mg==&amp;h=ODM4MzRjNTcwZTU1MjFhYTY3ZTcyZWRlNTFmNjM3ZmIxMGQ2YjdlYWNiOWFmZjMzZWI3YjE1MzI0MTRkMTVlMg==&amp;p=bWVjMTp0YXFhdHJhbnNtaXNzaW9uYW5kZGlzdHJpYnV0aW9uOmM6bzo2MzkxODRkOWEzZDQ2Mzc1OWQ4ZTQ1NWZlMGZhN2QyNTo3OnA6VA==" TargetMode="External"/><Relationship Id="rId5" Type="http://schemas.openxmlformats.org/officeDocument/2006/relationships/hyperlink" Target="https://checkpoint.url-protection.com/v1/r07/url?o=https%3A//www.bcs.org/membership/become-a-member/bcs-code-of-conduct/&amp;g=Y2FhZWZkNmQzMDU2MGY2Mg==&amp;h=MTA2ZjM2MWNhNjRiZTY4NTUyNTBmNmZmY2I5ZjVmYmM5YzVkYTRlYzhkYjY2ZmMwMDk2OGVmMGM4NzNjZDg4ZA==&amp;p=bWVjMTp0YXFhdHJhbnNtaXNzaW9uYW5kZGlzdHJpYnV0aW9uOmM6bzo2MzkxODRkOWEzZDQ2Mzc1OWQ4ZTQ1NWZlMGZhN2QyNTo3OnA6VA==" TargetMode="External"/><Relationship Id="rId10" Type="http://schemas.openxmlformats.org/officeDocument/2006/relationships/theme" Target="theme/theme1.xml"/><Relationship Id="rId4" Type="http://schemas.openxmlformats.org/officeDocument/2006/relationships/hyperlink" Target="https://checkpoint.url-protection.com/v1/r07/url?o=https%3A//www.acm.org/code-of-ethics&amp;g=MTYzNjhlZmE1ZTNiYWZlOQ==&amp;h=NGFiZDVhNTFjMjczYWY4YTQwZWUzNmJiMDE2ZTdhNGQ4YjNkYzljNDJmNWI1MjVlZTU0Yjk3MzlhZjc3MTgwMg==&amp;p=bWVjMTp0YXFhdHJhbnNtaXNzaW9uYW5kZGlzdHJpYnV0aW9uOmM6bzo2MzkxODRkOWEzZDQ2Mzc1OWQ4ZTQ1NWZlMGZhN2QyNTo3OnA6V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755</Words>
  <Characters>4516</Characters>
  <Application>Microsoft Office Word</Application>
  <DocSecurity>0</DocSecurity>
  <Lines>67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Fahad Saleh Murad Abdallah</dc:creator>
  <cp:lastModifiedBy>Ali Saleh Alhammadi</cp:lastModifiedBy>
  <cp:revision>18</cp:revision>
  <dcterms:created xsi:type="dcterms:W3CDTF">2025-11-05T07:59:00Z</dcterms:created>
  <dcterms:modified xsi:type="dcterms:W3CDTF">2025-11-09T14:25:00Z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e07df96b-bcc4-4bc5-92f8-e07d3fd5ea17</vt:lpwstr>
  </property>
</Properties>
</file>