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682879" w14:textId="77777777" w:rsidR="00D43B39" w:rsidRPr="00D43B39" w:rsidRDefault="00D43B39" w:rsidP="00D43B39">
      <w:pPr>
        <w:rPr>
          <w:rFonts w:asciiTheme="majorHAnsi" w:eastAsiaTheme="majorEastAsia" w:hAnsiTheme="majorHAnsi" w:cstheme="majorBidi"/>
          <w:b/>
          <w:bCs/>
          <w:color w:val="365F91" w:themeColor="accent1" w:themeShade="BF"/>
          <w:sz w:val="28"/>
          <w:szCs w:val="28"/>
        </w:rPr>
      </w:pPr>
      <w:r w:rsidRPr="00D43B39">
        <w:rPr>
          <w:rFonts w:asciiTheme="majorHAnsi" w:eastAsiaTheme="majorEastAsia" w:hAnsiTheme="majorHAnsi" w:cstheme="majorBidi"/>
          <w:b/>
          <w:bCs/>
          <w:color w:val="365F91" w:themeColor="accent1" w:themeShade="BF"/>
          <w:sz w:val="28"/>
          <w:szCs w:val="28"/>
        </w:rPr>
        <w:t xml:space="preserve">Use of Information Systems (IS) to transform the Healthcare Sector </w:t>
      </w:r>
      <w:proofErr w:type="gramStart"/>
      <w:r w:rsidRPr="00D43B39">
        <w:rPr>
          <w:rFonts w:asciiTheme="majorHAnsi" w:eastAsiaTheme="majorEastAsia" w:hAnsiTheme="majorHAnsi" w:cstheme="majorBidi"/>
          <w:b/>
          <w:bCs/>
          <w:color w:val="365F91" w:themeColor="accent1" w:themeShade="BF"/>
          <w:sz w:val="28"/>
          <w:szCs w:val="28"/>
        </w:rPr>
        <w:t>in</w:t>
      </w:r>
      <w:proofErr w:type="gramEnd"/>
      <w:r w:rsidRPr="00D43B39">
        <w:rPr>
          <w:rFonts w:asciiTheme="majorHAnsi" w:eastAsiaTheme="majorEastAsia" w:hAnsiTheme="majorHAnsi" w:cstheme="majorBidi"/>
          <w:b/>
          <w:bCs/>
          <w:color w:val="365F91" w:themeColor="accent1" w:themeShade="BF"/>
          <w:sz w:val="28"/>
          <w:szCs w:val="28"/>
        </w:rPr>
        <w:t xml:space="preserve"> UAE</w:t>
      </w:r>
    </w:p>
    <w:p w14:paraId="129575B7" w14:textId="1AA56A46" w:rsidR="001C638B" w:rsidRDefault="00000000">
      <w:pPr>
        <w:pStyle w:val="Heading1"/>
      </w:pPr>
      <w:r>
        <w:t>Literature Review Outline</w:t>
      </w:r>
    </w:p>
    <w:p w14:paraId="0AD1AC93" w14:textId="77777777" w:rsidR="001C638B" w:rsidRDefault="00000000">
      <w:r>
        <w:rPr>
          <w:b/>
        </w:rPr>
        <w:t>1. Provisional title and topic focus</w:t>
      </w:r>
      <w:r>
        <w:rPr>
          <w:b/>
        </w:rPr>
        <w:br/>
      </w:r>
    </w:p>
    <w:p w14:paraId="28D634A2" w14:textId="77777777" w:rsidR="001C638B" w:rsidRDefault="00000000">
      <w:r>
        <w:t>The provisional title of the literature review is: “Use of Information Systems (IS) to Transform the Healthcare Sector in the United Arab Emirates”. The review will focus on how core digital health technologies – in particular electronic medical records (EMRs), health information exchanges (HIEs), telemedicine platforms and artificial intelligence (AI)–enabled decision-support systems – are being deployed within the UAE healthcare system, and the extent to which these systems have contributed to structural, process and outcome‑related transformation in service delivery.</w:t>
      </w:r>
    </w:p>
    <w:p w14:paraId="3CADEB4A" w14:textId="77777777" w:rsidR="001C638B" w:rsidRDefault="00000000">
      <w:r>
        <w:rPr>
          <w:b/>
        </w:rPr>
        <w:t>2. Rationale and research questions</w:t>
      </w:r>
      <w:r>
        <w:rPr>
          <w:b/>
        </w:rPr>
        <w:br/>
      </w:r>
    </w:p>
    <w:p w14:paraId="772857D0" w14:textId="77777777" w:rsidR="001C638B" w:rsidRDefault="00000000">
      <w:r>
        <w:t>The UAE has articulated ambitious digital‑health strategies, positioning information systems as a key enabler of high‑quality, efficient and patient‑centred care. At the same time, the empirical evidence base on the real‑world impact of these systems, and on the methodological robustness of existing evaluations, remains fragmented. A focused literature review is therefore needed to synthesise current knowledge, identify convergent and divergent findings, and highlight gaps that can inform future empirical research in computing and health informatics. The review will be guided by the following research questions: 1) What types of health information systems have been implemented in the UAE healthcare sector, and how are they characterised in the literature? 2) In what ways do existing studies report that these systems have transformed quality, safety, access, efficiency and patient experience? 3) What research designs, data‑collection methods and analytical approaches have been used to evaluate IS in UAE healthcare, and what are their main strengths and limitations?</w:t>
      </w:r>
    </w:p>
    <w:p w14:paraId="61BDAFE9" w14:textId="77777777" w:rsidR="001C638B" w:rsidRDefault="00000000">
      <w:r>
        <w:rPr>
          <w:b/>
        </w:rPr>
        <w:t>3. Planned structure of the literature review</w:t>
      </w:r>
      <w:r>
        <w:rPr>
          <w:b/>
        </w:rPr>
        <w:br/>
      </w:r>
    </w:p>
    <w:p w14:paraId="45126678" w14:textId="77777777" w:rsidR="001C638B" w:rsidRDefault="00000000">
      <w:r>
        <w:t xml:space="preserve">The review will be structured in a logical and coherent way to demonstrate both knowledge of the subject area and critical engagement with the literature. Following the introduction, the first substantive section will outline the policy and strategic context for digital health in the UAE, drawing on official strategies from the Ministry of Health and Prevention (MOHAP), the Department of Health – Abu Dhabi and the Dubai Health Authority. The next section will examine the adoption, maturity and determinants of electronic medical records and hospital information systems, synthesising quantitative and qualitative studies and critically appraising their methodological rigour. A subsequent section will analyse the emergence of health information exchanges and integrated data platforms such as Riayati, Malaffi and Nabidh, with particular attention to evidence on interoperability and </w:t>
      </w:r>
      <w:r>
        <w:lastRenderedPageBreak/>
        <w:t>data‑sharing outcomes. The review will then consider telemedicine, virtual care and AI‑enabled services in the UAE, focusing on regulatory frameworks, utilisation patterns and stakeholder experiences. A dedicated critical‑synthesis section will integrate findings across these domains, highlighting similar and contrasting views, before a final section draws overall conclusions and identifies gaps and directions for future research.</w:t>
      </w:r>
    </w:p>
    <w:p w14:paraId="6DF1E7DA" w14:textId="77777777" w:rsidR="001C638B" w:rsidRDefault="00000000">
      <w:r>
        <w:rPr>
          <w:b/>
        </w:rPr>
        <w:t>4. Search strategy and inclusion criteria</w:t>
      </w:r>
      <w:r>
        <w:rPr>
          <w:b/>
        </w:rPr>
        <w:br/>
      </w:r>
    </w:p>
    <w:p w14:paraId="7458835D" w14:textId="77777777" w:rsidR="001C638B" w:rsidRDefault="00000000">
      <w:r>
        <w:t>The literature search will be conducted systematically using academic databases relevant to computing and health, including Scopus, Web of Science, IEEE Xplore and PubMed, supplemented by Google Scholar for additional peer‑reviewed articles. Search terms will combine concepts relating to information systems and digital health (for example, “electronic medical records”, “health information exchange”, “telemedicine”, “e‑health”, “digital health”, “artificial intelligence”) with terms relating to the UAE context (for example, “United Arab Emirates”, “Abu Dhabi”, “Dubai”). Inclusion criteria will prioritise peer‑reviewed empirical or review studies published from approximately 2010 onwards that focus on the UAE or provide directly relevant comparative evidence from the Gulf region. Policy and industry reports from reputable organisations (such as MOHAP, local health authorities and established consultancy firms) will be used selectively as grey literature to contextualise academic findings, while ensuring transparency about potential limitations and bias.</w:t>
      </w:r>
    </w:p>
    <w:p w14:paraId="02B479A8" w14:textId="77777777" w:rsidR="001C638B" w:rsidRDefault="00000000">
      <w:r>
        <w:rPr>
          <w:b/>
        </w:rPr>
        <w:t>5. Analytical and critical approach</w:t>
      </w:r>
      <w:r>
        <w:rPr>
          <w:b/>
        </w:rPr>
        <w:br/>
      </w:r>
    </w:p>
    <w:p w14:paraId="60ABC0AD" w14:textId="77777777" w:rsidR="001C638B" w:rsidRDefault="00000000">
      <w:r>
        <w:t>The analysis will go beyond descriptive summary to provide a critical evaluation of the literature in line with the module learning outcomes. Conceptual frameworks from information‑systems and technology‑acceptance research, such as the Technology Acceptance Model (TAM) and the Unified Theory of Acceptance and Use of Technology (UTAUT), will be used to interpret findings on EMR and telemedicine adoption. In addition, a socio‑technical perspective will be applied to examine how technical, organisational and human factors interact to shape the success or failure of IS initiatives in the UAE healthcare sector. For each thematic area, the review will compare and contrast studies in terms of their research designs (for example, cross‑sectional surveys, qualitative case studies, narrative reviews), sampling strategies, data‑analysis methods and limitations, highlighting implications for the strength of the evidence and for future research needs.</w:t>
      </w:r>
    </w:p>
    <w:p w14:paraId="380B91DB" w14:textId="77777777" w:rsidR="001C638B" w:rsidRDefault="00000000">
      <w:r>
        <w:rPr>
          <w:b/>
        </w:rPr>
        <w:t>6. Indicative key sources</w:t>
      </w:r>
      <w:r>
        <w:rPr>
          <w:b/>
        </w:rPr>
        <w:br/>
      </w:r>
    </w:p>
    <w:p w14:paraId="2EE74358" w14:textId="77777777" w:rsidR="001C638B" w:rsidRDefault="00000000">
      <w:r>
        <w:t xml:space="preserve">The review will draw on recent empirical and review papers as well as key policy documents. Examples of core academic sources include Abdulrahman et al. (2024), who assess the maturity of EMR implementation in Dubai using the HIMSS EMRAM model; Almarzouqi, Aburayya and Salloum (2022), who apply a SEM–ANN approach to examine </w:t>
      </w:r>
      <w:r>
        <w:lastRenderedPageBreak/>
        <w:t>determinants of EMR adoption among UAE healthcare workers; and Al Meslamani et al. (2022), who investigate nationwide patterns and determinants of telemedicine use during the COVID‑19 pandemic. A regional narrative review by Bany Hamdan, Abdul Manaf and Mahmud (2023) will be used to situate UAE experiences within wider Middle Eastern EMR implementation challenges. Official documents from MOHAP, the Department of Health – Abu Dhabi and the Dubai Health Authority will be referenced to describe national and emirate‑level digital‑health strategies and health information exchange initiatives. These sources will be supplemented by additional peer‑reviewed studies identified through the search strategy described above, ensuring that the review demonstrates awareness of current, relevant literature and fulfils the expectations for criticality, structure and academic integrity.</w:t>
      </w:r>
    </w:p>
    <w:p w14:paraId="790F5710" w14:textId="77777777" w:rsidR="001C638B" w:rsidRDefault="00000000">
      <w:pPr>
        <w:pStyle w:val="Heading2"/>
      </w:pPr>
      <w:r>
        <w:t>Indicative references</w:t>
      </w:r>
    </w:p>
    <w:p w14:paraId="5C8C07AF" w14:textId="77777777" w:rsidR="001C638B" w:rsidRDefault="00000000">
      <w:r>
        <w:t>Abdulrahman, M., El-Hassan, O., Al Redha, M.A. and Almalki, M. (2024) ‘Adoption of Electronic Medical Records in Healthcare Facilities in the Emirate of Dubai’, Healthcare Informatics Research, 30(2), pp. 154–161. doi:10.4258/hir.2024.30.2.154.</w:t>
      </w:r>
    </w:p>
    <w:p w14:paraId="030F9C9E" w14:textId="77777777" w:rsidR="001C638B" w:rsidRDefault="00000000">
      <w:r>
        <w:t>Almarzouqi, A., Aburayya, A. and Salloum, S.A. (2022) ‘Determinants predicting the electronic medical record adoption in healthcare: A SEM–Artificial Neural Network approach’, PLOS ONE, 17(8), e0272735. doi:10.1371/journal.pone.0272735.</w:t>
      </w:r>
    </w:p>
    <w:p w14:paraId="08F81D4A" w14:textId="77777777" w:rsidR="001C638B" w:rsidRDefault="00000000">
      <w:r>
        <w:t>Al Meslamani, A.Z., Aldulaymi, R., El Sharu, H., Alwarawrah, Z., Ibrahim, O.M. and Al Mazrouei, N. (2022) ‘The patterns and determinants of telemedicine use during the COVID-19 crisis: A nationwide study’, Journal of the American Pharmacists Association, 62(6), pp. 1778–1785. doi:10.1016/j.japh.2022.05.020.</w:t>
      </w:r>
    </w:p>
    <w:p w14:paraId="318842BA" w14:textId="77777777" w:rsidR="001C638B" w:rsidRDefault="00000000">
      <w:r>
        <w:t>Bany Hamdan, A., Abdul Manaf, R. and Mahmud, A. (2023) ‘Challenges in the use Electronic Medical Records in Middle Eastern Countries: A narrative review’, Malaysian Journal of Medicine and Health Sciences, 19(3), pp. 334–340. doi:10.47836/mjmhs19.3.43.</w:t>
      </w:r>
    </w:p>
    <w:p w14:paraId="5374B5CC" w14:textId="77777777" w:rsidR="001C638B" w:rsidRDefault="00000000">
      <w:r>
        <w:t>Ministry of Health and Prevention (2021) ‘Riayati: The UAE National Unified Medical Record’. Available at: https://mohap.gov.ae (Accessed: 17 November 2025).</w:t>
      </w:r>
    </w:p>
    <w:p w14:paraId="3F6F34B4" w14:textId="77777777" w:rsidR="001C638B" w:rsidRDefault="00000000">
      <w:r>
        <w:t>Ministry of Health and Prevention (2025) ‘MOHAP Strategy 2023–2026’. Available at: https://mohap.gov.ae (Accessed: 17 November 2025).</w:t>
      </w:r>
    </w:p>
    <w:sectPr w:rsidR="001C638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32411826">
    <w:abstractNumId w:val="8"/>
  </w:num>
  <w:num w:numId="2" w16cid:durableId="717973733">
    <w:abstractNumId w:val="6"/>
  </w:num>
  <w:num w:numId="3" w16cid:durableId="1221526027">
    <w:abstractNumId w:val="5"/>
  </w:num>
  <w:num w:numId="4" w16cid:durableId="1232497131">
    <w:abstractNumId w:val="4"/>
  </w:num>
  <w:num w:numId="5" w16cid:durableId="543831111">
    <w:abstractNumId w:val="7"/>
  </w:num>
  <w:num w:numId="6" w16cid:durableId="391003445">
    <w:abstractNumId w:val="3"/>
  </w:num>
  <w:num w:numId="7" w16cid:durableId="806967644">
    <w:abstractNumId w:val="2"/>
  </w:num>
  <w:num w:numId="8" w16cid:durableId="564339495">
    <w:abstractNumId w:val="1"/>
  </w:num>
  <w:num w:numId="9" w16cid:durableId="10564684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3AD3"/>
    <w:rsid w:val="001C638B"/>
    <w:rsid w:val="0029639D"/>
    <w:rsid w:val="00326F90"/>
    <w:rsid w:val="00451614"/>
    <w:rsid w:val="00AA1D8D"/>
    <w:rsid w:val="00B47730"/>
    <w:rsid w:val="00CB0664"/>
    <w:rsid w:val="00D43B39"/>
    <w:rsid w:val="00F8633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580F399-348A-4B5B-BB16-CE77B6674B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1080</Words>
  <Characters>6820</Characters>
  <Application>Microsoft Office Word</Application>
  <DocSecurity>0</DocSecurity>
  <Lines>106</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Ali Saleh Alhammadi</cp:lastModifiedBy>
  <cp:revision>4</cp:revision>
  <dcterms:created xsi:type="dcterms:W3CDTF">2013-12-23T23:15:00Z</dcterms:created>
  <dcterms:modified xsi:type="dcterms:W3CDTF">2025-11-17T19:47:00Z</dcterms:modified>
  <cp:category/>
</cp:coreProperties>
</file>