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7AEF" w14:textId="16B43EC9" w:rsidR="00DC4CFB" w:rsidRPr="00F64072" w:rsidRDefault="00DC4CFB" w:rsidP="00F64072">
      <w:pPr>
        <w:pStyle w:val="Heading1"/>
      </w:pPr>
      <w:r>
        <w:fldChar w:fldCharType="begin"/>
      </w:r>
      <w:r>
        <w:instrText>HYPERLINK "https://checkpoint.url-protection.com/v1/r07/url?o=https%3A//www.my-course.co.uk/user/view.php%3Fid%3D23916%26course%3D14231&amp;g=M2E0MmY2OGQwNmQ4MWQ4MQ==&amp;h=YzViNDZiMWExZTY2MTczOThiNjFhODQyMGU0YTFiNDI0YmM1YjljMjFiZjU0NDgwMDg2MTA4MjZlODk0ODljMg==&amp;p=bWVjMTp0YXFhdHJhbnNtaXNzaW9uYW5kZGlzdHJpYnV0aW9uOmM6bzpmMDBlMTg3NmVkMTRiNmE2OWI0NTExYTQ5M2VlYmRhOTo3OnA6VA=="</w:instrText>
      </w:r>
      <w:r>
        <w:fldChar w:fldCharType="separate"/>
      </w:r>
      <w:r w:rsidRPr="00DC4CFB">
        <w:t>Matteo Marchi</w:t>
      </w:r>
      <w:r>
        <w:fldChar w:fldCharType="end"/>
      </w:r>
    </w:p>
    <w:p w14:paraId="28661FE1" w14:textId="77777777" w:rsidR="00F64072" w:rsidRDefault="00F64072" w:rsidP="00DC4CFB">
      <w:pPr>
        <w:rPr>
          <w:rFonts w:eastAsia="Times New Roman"/>
          <w:szCs w:val="24"/>
          <w:lang w:val="en-US"/>
        </w:rPr>
      </w:pPr>
    </w:p>
    <w:p w14:paraId="6DB473D5" w14:textId="314AF52E" w:rsidR="00702D8C" w:rsidRPr="00702D8C" w:rsidRDefault="00000000" w:rsidP="00702D8C">
      <w:pPr>
        <w:rPr>
          <w:rFonts w:eastAsia="Times New Roman"/>
          <w:szCs w:val="24"/>
          <w:lang w:val="en-US"/>
        </w:rPr>
      </w:pPr>
      <w:r w:rsidRPr="001F31AB">
        <w:rPr>
          <w:rFonts w:eastAsia="Times New Roman"/>
          <w:szCs w:val="24"/>
          <w:lang w:val="en-US"/>
        </w:rPr>
        <w:t xml:space="preserve">Matteo, your </w:t>
      </w:r>
      <w:proofErr w:type="spellStart"/>
      <w:r w:rsidRPr="001F31AB">
        <w:rPr>
          <w:rFonts w:eastAsia="Times New Roman"/>
          <w:szCs w:val="24"/>
          <w:lang w:val="en-US"/>
        </w:rPr>
        <w:t>AllTogether</w:t>
      </w:r>
      <w:proofErr w:type="spellEnd"/>
      <w:r w:rsidRPr="001F31AB">
        <w:rPr>
          <w:rFonts w:eastAsia="Times New Roman"/>
          <w:szCs w:val="24"/>
          <w:lang w:val="en-US"/>
        </w:rPr>
        <w:t xml:space="preserve"> case study critique unveils why accessibility should be viewed as a key factor in software development</w:t>
      </w:r>
      <w:r w:rsidRPr="00702D8C">
        <w:rPr>
          <w:rFonts w:eastAsia="Times New Roman"/>
          <w:szCs w:val="24"/>
          <w:lang w:val="en-US"/>
        </w:rPr>
        <w:t>. You have mentioned how the fact that the company decides to launch a tool with major issues to do with its accessibility indicates that the principle of ethics, especially inclusiveness and fairness, is violated (</w:t>
      </w:r>
      <w:proofErr w:type="spellStart"/>
      <w:r w:rsidRPr="00702D8C">
        <w:rPr>
          <w:rFonts w:eastAsia="Times New Roman"/>
          <w:szCs w:val="24"/>
          <w:lang w:val="en-US"/>
        </w:rPr>
        <w:t>Biable</w:t>
      </w:r>
      <w:proofErr w:type="spellEnd"/>
      <w:r w:rsidRPr="00702D8C">
        <w:rPr>
          <w:rFonts w:eastAsia="Times New Roman"/>
          <w:szCs w:val="24"/>
          <w:lang w:val="en-US"/>
        </w:rPr>
        <w:t xml:space="preserve"> et al., 2022). </w:t>
      </w:r>
      <w:r w:rsidR="00E33743">
        <w:rPr>
          <w:rFonts w:eastAsia="Times New Roman"/>
          <w:szCs w:val="24"/>
          <w:lang w:val="en-US"/>
        </w:rPr>
        <w:t>The fact that the leadership never considered the possible obstacles to disabled users, even though the latter had been raised during the process of QA testing, highlights</w:t>
      </w:r>
      <w:r w:rsidRPr="00702D8C">
        <w:rPr>
          <w:rFonts w:eastAsia="Times New Roman"/>
          <w:szCs w:val="24"/>
          <w:lang w:val="en-US"/>
        </w:rPr>
        <w:t xml:space="preserve"> the overriding approach to human welfare and equal opportunity as an important ethical concern in technology. The fact that you mentioned the ACM Code of Ethics and the BCS Code of Conduct is important: as a computing professional, you must be able to access the design stage, not as a secondary consideration. Particularly, the aspect of legal implications should be </w:t>
      </w:r>
      <w:proofErr w:type="gramStart"/>
      <w:r w:rsidRPr="00702D8C">
        <w:rPr>
          <w:rFonts w:eastAsia="Times New Roman"/>
          <w:szCs w:val="24"/>
          <w:lang w:val="en-US"/>
        </w:rPr>
        <w:t>taken into account</w:t>
      </w:r>
      <w:proofErr w:type="gramEnd"/>
      <w:r w:rsidRPr="00702D8C">
        <w:rPr>
          <w:rFonts w:eastAsia="Times New Roman"/>
          <w:szCs w:val="24"/>
          <w:lang w:val="en-US"/>
        </w:rPr>
        <w:t xml:space="preserve"> since the inability to comply with the accessibility can be considered discriminatory, just by looking at the demands of the ADA and the findings of Horton and </w:t>
      </w:r>
      <w:proofErr w:type="spellStart"/>
      <w:r w:rsidRPr="00702D8C">
        <w:rPr>
          <w:rFonts w:eastAsia="Times New Roman"/>
          <w:szCs w:val="24"/>
          <w:lang w:val="en-US"/>
        </w:rPr>
        <w:t>Krupiy</w:t>
      </w:r>
      <w:proofErr w:type="spellEnd"/>
      <w:r w:rsidRPr="00702D8C">
        <w:rPr>
          <w:rFonts w:eastAsia="Times New Roman"/>
          <w:szCs w:val="24"/>
          <w:lang w:val="en-US"/>
        </w:rPr>
        <w:t xml:space="preserve"> (</w:t>
      </w:r>
      <w:proofErr w:type="spellStart"/>
      <w:r w:rsidRPr="00702D8C">
        <w:rPr>
          <w:rFonts w:eastAsia="Times New Roman"/>
          <w:szCs w:val="24"/>
          <w:lang w:val="en-US"/>
        </w:rPr>
        <w:t>Ajiga</w:t>
      </w:r>
      <w:proofErr w:type="spellEnd"/>
      <w:r w:rsidRPr="00702D8C">
        <w:rPr>
          <w:rFonts w:eastAsia="Times New Roman"/>
          <w:szCs w:val="24"/>
          <w:lang w:val="en-US"/>
        </w:rPr>
        <w:t xml:space="preserve"> et al., 2024).</w:t>
      </w:r>
    </w:p>
    <w:p w14:paraId="10A58053" w14:textId="0A70765C" w:rsidR="0022137D" w:rsidRDefault="00000000" w:rsidP="00DC4CFB">
      <w:pPr>
        <w:rPr>
          <w:rFonts w:eastAsia="Times New Roman"/>
          <w:szCs w:val="24"/>
          <w:lang w:val="en-US"/>
        </w:rPr>
      </w:pPr>
      <w:r w:rsidRPr="001F31AB">
        <w:rPr>
          <w:rFonts w:eastAsia="Times New Roman"/>
          <w:szCs w:val="24"/>
          <w:lang w:val="en-US"/>
        </w:rPr>
        <w:t xml:space="preserve">The actual implication of such decisions on reality is not </w:t>
      </w:r>
      <w:proofErr w:type="gramStart"/>
      <w:r w:rsidRPr="001F31AB">
        <w:rPr>
          <w:rFonts w:eastAsia="Times New Roman"/>
          <w:szCs w:val="24"/>
          <w:lang w:val="en-US"/>
        </w:rPr>
        <w:t>only on</w:t>
      </w:r>
      <w:proofErr w:type="gramEnd"/>
      <w:r w:rsidRPr="001F31AB">
        <w:rPr>
          <w:rFonts w:eastAsia="Times New Roman"/>
          <w:szCs w:val="24"/>
          <w:lang w:val="en-US"/>
        </w:rPr>
        <w:t xml:space="preserve"> compliance, but it is also on moral responsibility. </w:t>
      </w:r>
      <w:r w:rsidR="00187DBE">
        <w:rPr>
          <w:rFonts w:eastAsia="Times New Roman"/>
          <w:szCs w:val="24"/>
          <w:lang w:val="en-US"/>
        </w:rPr>
        <w:t>Ease</w:t>
      </w:r>
      <w:r w:rsidRPr="001F31AB">
        <w:rPr>
          <w:rFonts w:eastAsia="Times New Roman"/>
          <w:szCs w:val="24"/>
          <w:lang w:val="en-US"/>
        </w:rPr>
        <w:t xml:space="preserve"> is also not merely a technical attribute, as you mentioned, but a human right. This lack of knowledge enables businesses to strengthen the principle of exclusion, which contributes to the fact that the imbalances that already exist in society are worsened since there already exist numerous factors that companies with disabilities </w:t>
      </w:r>
      <w:proofErr w:type="gramStart"/>
      <w:r w:rsidRPr="001F31AB">
        <w:rPr>
          <w:rFonts w:eastAsia="Times New Roman"/>
          <w:szCs w:val="24"/>
          <w:lang w:val="en-US"/>
        </w:rPr>
        <w:t>have to</w:t>
      </w:r>
      <w:proofErr w:type="gramEnd"/>
      <w:r w:rsidRPr="001F31AB">
        <w:rPr>
          <w:rFonts w:eastAsia="Times New Roman"/>
          <w:szCs w:val="24"/>
          <w:lang w:val="en-US"/>
        </w:rPr>
        <w:t xml:space="preserve"> overcome in their daily lives (Bi et al., 2022). In conclusion, your post works effectively as it results in </w:t>
      </w:r>
      <w:proofErr w:type="gramStart"/>
      <w:r w:rsidRPr="001F31AB">
        <w:rPr>
          <w:rFonts w:eastAsia="Times New Roman"/>
          <w:szCs w:val="24"/>
          <w:lang w:val="en-US"/>
        </w:rPr>
        <w:t>a number of</w:t>
      </w:r>
      <w:proofErr w:type="gramEnd"/>
      <w:r w:rsidRPr="001F31AB">
        <w:rPr>
          <w:rFonts w:eastAsia="Times New Roman"/>
          <w:szCs w:val="24"/>
          <w:lang w:val="en-US"/>
        </w:rPr>
        <w:t xml:space="preserve"> issues that have ethical and legal implications about the availability of technology, which motivates the professional to be considerate in their designs. The case teaches us that the development of technologies must always be in line with the values </w:t>
      </w:r>
      <w:r w:rsidR="00187DBE">
        <w:rPr>
          <w:rFonts w:eastAsia="Times New Roman"/>
          <w:szCs w:val="24"/>
          <w:lang w:val="en-US"/>
        </w:rPr>
        <w:t>that</w:t>
      </w:r>
      <w:r w:rsidRPr="001F31AB">
        <w:rPr>
          <w:rFonts w:eastAsia="Times New Roman"/>
          <w:szCs w:val="24"/>
          <w:lang w:val="en-US"/>
        </w:rPr>
        <w:t xml:space="preserve"> help </w:t>
      </w:r>
      <w:proofErr w:type="gramStart"/>
      <w:r w:rsidRPr="001F31AB">
        <w:rPr>
          <w:rFonts w:eastAsia="Times New Roman"/>
          <w:szCs w:val="24"/>
          <w:lang w:val="en-US"/>
        </w:rPr>
        <w:t>in</w:t>
      </w:r>
      <w:proofErr w:type="gramEnd"/>
      <w:r w:rsidRPr="001F31AB">
        <w:rPr>
          <w:rFonts w:eastAsia="Times New Roman"/>
          <w:szCs w:val="24"/>
          <w:lang w:val="en-US"/>
        </w:rPr>
        <w:t xml:space="preserve"> the benefit of all the users and their rights.</w:t>
      </w:r>
    </w:p>
    <w:p w14:paraId="3E71DD7E" w14:textId="77777777" w:rsidR="001F31AB" w:rsidRDefault="001F31AB" w:rsidP="00DC4CFB">
      <w:pPr>
        <w:rPr>
          <w:rFonts w:eastAsia="Times New Roman"/>
          <w:szCs w:val="24"/>
          <w:lang w:val="en-US"/>
        </w:rPr>
      </w:pPr>
    </w:p>
    <w:p w14:paraId="0B99E062" w14:textId="6B04A59F" w:rsidR="0022137D" w:rsidRDefault="00000000" w:rsidP="00DC4CFB">
      <w:pPr>
        <w:rPr>
          <w:rFonts w:eastAsia="Times New Roman"/>
          <w:szCs w:val="24"/>
          <w:lang w:val="en-US"/>
        </w:rPr>
      </w:pPr>
      <w:r w:rsidRPr="0022137D">
        <w:rPr>
          <w:rFonts w:eastAsia="Times New Roman"/>
          <w:b/>
          <w:bCs/>
          <w:szCs w:val="24"/>
          <w:lang w:val="en-US"/>
        </w:rPr>
        <w:t>References</w:t>
      </w:r>
    </w:p>
    <w:p w14:paraId="57BEEFF7" w14:textId="2692F99F" w:rsidR="007B7842" w:rsidRPr="00F12C9F" w:rsidRDefault="00000000">
      <w:proofErr w:type="spellStart"/>
      <w:r w:rsidRPr="0022137D">
        <w:t>Biable</w:t>
      </w:r>
      <w:proofErr w:type="spellEnd"/>
      <w:r w:rsidRPr="0022137D">
        <w:t xml:space="preserve">, S. E., Garcia, N. M., </w:t>
      </w:r>
      <w:proofErr w:type="spellStart"/>
      <w:r w:rsidRPr="0022137D">
        <w:t>Midekso</w:t>
      </w:r>
      <w:proofErr w:type="spellEnd"/>
      <w:r w:rsidRPr="0022137D">
        <w:t>, D., &amp; Pombo, N. (2022). Ethical issues in software requirements engineering. </w:t>
      </w:r>
      <w:r w:rsidRPr="0022137D">
        <w:rPr>
          <w:i/>
          <w:iCs/>
        </w:rPr>
        <w:t>Software</w:t>
      </w:r>
      <w:r w:rsidRPr="0022137D">
        <w:t>, </w:t>
      </w:r>
      <w:r w:rsidRPr="0022137D">
        <w:rPr>
          <w:i/>
          <w:iCs/>
        </w:rPr>
        <w:t>1</w:t>
      </w:r>
      <w:r w:rsidRPr="0022137D">
        <w:t>(1), 31-52.</w:t>
      </w:r>
      <w:r>
        <w:t xml:space="preserve"> Available at: </w:t>
      </w:r>
      <w:hyperlink r:id="rId5" w:history="1">
        <w:r w:rsidR="007B7842" w:rsidRPr="00FD1235">
          <w:rPr>
            <w:rStyle w:val="Hyperlink"/>
          </w:rPr>
          <w:t>https://doi.org/10.3390/software1010003</w:t>
        </w:r>
      </w:hyperlink>
      <w:r>
        <w:t xml:space="preserve"> [Accessed: 11 November 2025].</w:t>
      </w:r>
    </w:p>
    <w:p w14:paraId="4A6DFFB3" w14:textId="6F7F0753" w:rsidR="0022137D" w:rsidRPr="00F12C9F" w:rsidRDefault="00000000">
      <w:proofErr w:type="spellStart"/>
      <w:r w:rsidRPr="0022137D">
        <w:t>Ajiga</w:t>
      </w:r>
      <w:proofErr w:type="spellEnd"/>
      <w:r w:rsidRPr="0022137D">
        <w:t xml:space="preserve">, D., </w:t>
      </w:r>
      <w:proofErr w:type="spellStart"/>
      <w:r w:rsidRPr="0022137D">
        <w:t>Okeleke</w:t>
      </w:r>
      <w:proofErr w:type="spellEnd"/>
      <w:r w:rsidRPr="0022137D">
        <w:t xml:space="preserve">, P. A., Folorunsho, S. O., &amp; </w:t>
      </w:r>
      <w:proofErr w:type="spellStart"/>
      <w:r w:rsidRPr="0022137D">
        <w:t>Ezeigweneme</w:t>
      </w:r>
      <w:proofErr w:type="spellEnd"/>
      <w:r w:rsidRPr="0022137D">
        <w:t>, C. (2024). Navigating ethical considerations in software development and deployment in technological giants. </w:t>
      </w:r>
      <w:r w:rsidRPr="0022137D">
        <w:rPr>
          <w:i/>
          <w:iCs/>
        </w:rPr>
        <w:t>International Journal of Ethics and Research Utilization</w:t>
      </w:r>
      <w:r w:rsidRPr="0022137D">
        <w:t>, </w:t>
      </w:r>
      <w:r w:rsidRPr="0022137D">
        <w:rPr>
          <w:i/>
          <w:iCs/>
        </w:rPr>
        <w:t>7</w:t>
      </w:r>
      <w:r w:rsidRPr="0022137D">
        <w:t>(1).</w:t>
      </w:r>
      <w:r>
        <w:rPr>
          <w:lang w:val="en-US"/>
        </w:rPr>
        <w:t xml:space="preserve"> </w:t>
      </w:r>
      <w:r w:rsidRPr="0022137D">
        <w:t xml:space="preserve">Available at: </w:t>
      </w:r>
      <w:hyperlink r:id="rId6" w:history="1">
        <w:r w:rsidR="0022137D" w:rsidRPr="00FD1235">
          <w:rPr>
            <w:rStyle w:val="Hyperlink"/>
          </w:rPr>
          <w:t>https://doi.org/10.53430/ijeru.2024.7.1.0033</w:t>
        </w:r>
      </w:hyperlink>
      <w:r>
        <w:t xml:space="preserve"> </w:t>
      </w:r>
      <w:r w:rsidRPr="0022137D">
        <w:t>[Accessed: 11 November 2025].</w:t>
      </w:r>
    </w:p>
    <w:p w14:paraId="2F36FE81" w14:textId="3BA77061" w:rsidR="00DC4CFB" w:rsidRDefault="00000000">
      <w:r w:rsidRPr="002E5857">
        <w:t>Bi, T., Xia, X., Lo, D., Grundy, J., Zimmermann, T., &amp; Ford, D. (2022). Accessibility in software practice: A practitioner’s perspective. </w:t>
      </w:r>
      <w:r w:rsidRPr="002E5857">
        <w:rPr>
          <w:i/>
          <w:iCs/>
        </w:rPr>
        <w:t>ACM Transactions on Software Engineering and Methodology (TOSEM)</w:t>
      </w:r>
      <w:r w:rsidRPr="002E5857">
        <w:t>, </w:t>
      </w:r>
      <w:r w:rsidRPr="002E5857">
        <w:rPr>
          <w:i/>
          <w:iCs/>
        </w:rPr>
        <w:t>31</w:t>
      </w:r>
      <w:r w:rsidRPr="002E5857">
        <w:t>(4), 1-26.</w:t>
      </w:r>
      <w:r>
        <w:t xml:space="preserve"> </w:t>
      </w:r>
      <w:r w:rsidRPr="002E5857">
        <w:t xml:space="preserve">Available at: </w:t>
      </w:r>
      <w:hyperlink r:id="rId7" w:history="1">
        <w:r w:rsidR="00DC4CFB" w:rsidRPr="00FD1235">
          <w:rPr>
            <w:rStyle w:val="Hyperlink"/>
          </w:rPr>
          <w:t>https://doi.org/10.1145/3503508</w:t>
        </w:r>
      </w:hyperlink>
      <w:r>
        <w:t xml:space="preserve"> </w:t>
      </w:r>
      <w:r w:rsidRPr="002E5857">
        <w:t>[Accessed: 11 November 2025].</w:t>
      </w:r>
    </w:p>
    <w:p w14:paraId="218F1122" w14:textId="77777777" w:rsidR="00476706" w:rsidRPr="00DC4CFB" w:rsidRDefault="00476706">
      <w:pPr>
        <w:rPr>
          <w:lang w:val="en-US"/>
        </w:rPr>
      </w:pPr>
    </w:p>
    <w:p w14:paraId="662CDF6E" w14:textId="77777777" w:rsidR="00DC4CFB" w:rsidRDefault="00000000">
      <w:pPr>
        <w:suppressAutoHyphens w:val="0"/>
        <w:jc w:val="left"/>
        <w:rPr>
          <w:b/>
          <w:bCs/>
          <w:sz w:val="32"/>
          <w:szCs w:val="24"/>
          <w:lang w:val="en-US"/>
        </w:rPr>
      </w:pPr>
      <w:r>
        <w:rPr>
          <w:lang w:val="en-US"/>
        </w:rPr>
        <w:br w:type="page"/>
      </w:r>
    </w:p>
    <w:p w14:paraId="037CFBC2" w14:textId="1F8A11EF" w:rsidR="00DC4CFB" w:rsidRDefault="00000000" w:rsidP="00F64072">
      <w:pPr>
        <w:pStyle w:val="Heading1"/>
        <w:rPr>
          <w:lang w:val="en-US"/>
        </w:rPr>
      </w:pPr>
      <w:r w:rsidRPr="00DC4CFB">
        <w:rPr>
          <w:lang w:val="en-US"/>
        </w:rPr>
        <w:lastRenderedPageBreak/>
        <w:t xml:space="preserve">Abdulaziz Hudaid Aziz </w:t>
      </w:r>
      <w:proofErr w:type="spellStart"/>
      <w:r w:rsidRPr="00DC4CFB">
        <w:rPr>
          <w:lang w:val="en-US"/>
        </w:rPr>
        <w:t>Khanbooli</w:t>
      </w:r>
      <w:proofErr w:type="spellEnd"/>
      <w:r w:rsidRPr="00DC4CFB">
        <w:rPr>
          <w:lang w:val="en-US"/>
        </w:rPr>
        <w:t xml:space="preserve"> Alshehhi </w:t>
      </w:r>
    </w:p>
    <w:p w14:paraId="0EDED1D2" w14:textId="77777777" w:rsidR="00F64072" w:rsidRPr="00F64072" w:rsidRDefault="00F64072" w:rsidP="00F64072">
      <w:pPr>
        <w:rPr>
          <w:lang w:val="en-US"/>
        </w:rPr>
      </w:pPr>
    </w:p>
    <w:p w14:paraId="61C34665" w14:textId="0AF33118" w:rsidR="00702D8C" w:rsidRPr="00702D8C" w:rsidRDefault="00000000" w:rsidP="00702D8C">
      <w:pPr>
        <w:rPr>
          <w:lang w:val="en-US"/>
        </w:rPr>
      </w:pPr>
      <w:r w:rsidRPr="00DC4CFB">
        <w:rPr>
          <w:lang w:val="en-US"/>
        </w:rPr>
        <w:t xml:space="preserve">Abdulaziz, </w:t>
      </w:r>
      <w:r w:rsidR="008A3160">
        <w:rPr>
          <w:lang w:val="en-US"/>
        </w:rPr>
        <w:t>y</w:t>
      </w:r>
      <w:r w:rsidR="008A3160" w:rsidRPr="008A3160">
        <w:rPr>
          <w:lang w:val="en-US"/>
        </w:rPr>
        <w:t xml:space="preserve">our </w:t>
      </w:r>
      <w:r w:rsidR="008A3160">
        <w:rPr>
          <w:lang w:val="en-US"/>
        </w:rPr>
        <w:t>discussion</w:t>
      </w:r>
      <w:r w:rsidR="008A3160" w:rsidRPr="008A3160">
        <w:rPr>
          <w:lang w:val="en-US"/>
        </w:rPr>
        <w:t xml:space="preserve"> of the Malware Disruption raises critical ethical issues regarding how Rogue Services aids in the facilitation of cybercrimes like ransomware and botnet activities. The fact that the company could not do something against bad clients is a direct contravention of parts of the core values of the ACM Code of Ethics, particularly those that discuss the possible good contributions to society and possibilities of not harming it (Botes &amp; Lenzini, 2022).</w:t>
      </w:r>
      <w:r w:rsidR="008A3160">
        <w:rPr>
          <w:lang w:val="en-US"/>
        </w:rPr>
        <w:t xml:space="preserve"> </w:t>
      </w:r>
      <w:r w:rsidRPr="00702D8C">
        <w:rPr>
          <w:lang w:val="en-US"/>
        </w:rPr>
        <w:t>Not only did Rogue betray its trust by purposefully tolerating malware</w:t>
      </w:r>
      <w:r w:rsidR="00E33743">
        <w:rPr>
          <w:lang w:val="en-US"/>
        </w:rPr>
        <w:t>,</w:t>
      </w:r>
      <w:r w:rsidRPr="00702D8C">
        <w:rPr>
          <w:lang w:val="en-US"/>
        </w:rPr>
        <w:t xml:space="preserve"> but the copy was pointed at its customers and therefore did not keep its duty of safeguarding its clients and their security, which is vital in the digital age under the ethical docket.</w:t>
      </w:r>
    </w:p>
    <w:p w14:paraId="1B708C1A" w14:textId="0FE183AF" w:rsidR="00702D8C" w:rsidRPr="00702D8C" w:rsidRDefault="00000000" w:rsidP="00702D8C">
      <w:pPr>
        <w:rPr>
          <w:lang w:val="en-US"/>
        </w:rPr>
      </w:pPr>
      <w:r w:rsidRPr="00702D8C">
        <w:rPr>
          <w:lang w:val="en-US"/>
        </w:rPr>
        <w:t xml:space="preserve">Another important point that you have </w:t>
      </w:r>
      <w:proofErr w:type="gramStart"/>
      <w:r w:rsidRPr="00702D8C">
        <w:rPr>
          <w:lang w:val="en-US"/>
        </w:rPr>
        <w:t>brought up</w:t>
      </w:r>
      <w:proofErr w:type="gramEnd"/>
      <w:r w:rsidRPr="00702D8C">
        <w:rPr>
          <w:lang w:val="en-US"/>
        </w:rPr>
        <w:t xml:space="preserve"> is the inadequacy of the national cybercrime laws</w:t>
      </w:r>
      <w:r w:rsidR="00E33743">
        <w:rPr>
          <w:lang w:val="en-US"/>
        </w:rPr>
        <w:t>, which</w:t>
      </w:r>
      <w:r w:rsidRPr="00702D8C">
        <w:rPr>
          <w:lang w:val="en-US"/>
        </w:rPr>
        <w:t xml:space="preserve"> do not tend to be capable of dealing with the transnational cyber threats. This area of jurisdiction increases the difficulty of applying ethical and legal norms in the international arena. The actions of a worm to lay down the malware infrastructure, despite the ethical motivation behind their use, is a dilemma because it considers the fact that the unintended effects of such have the potential to cause damage to users who are not associated with the malware (Ganguli, 2024). The politico-technical aspect of mitigating collateral damage against the protection of the people is a challenging but vital factor in such instances.</w:t>
      </w:r>
    </w:p>
    <w:p w14:paraId="0B72B08D" w14:textId="62117D87" w:rsidR="00DC4CFB" w:rsidRPr="00DC4CFB" w:rsidRDefault="00000000" w:rsidP="00702D8C">
      <w:pPr>
        <w:rPr>
          <w:lang w:val="en-US"/>
        </w:rPr>
      </w:pPr>
      <w:r w:rsidRPr="00702D8C">
        <w:rPr>
          <w:lang w:val="en-US"/>
        </w:rPr>
        <w:t xml:space="preserve">Your conclusion that there is </w:t>
      </w:r>
      <w:r w:rsidR="00E33743">
        <w:rPr>
          <w:lang w:val="en-US"/>
        </w:rPr>
        <w:t xml:space="preserve">a </w:t>
      </w:r>
      <w:r w:rsidRPr="00702D8C">
        <w:rPr>
          <w:lang w:val="en-US"/>
        </w:rPr>
        <w:t xml:space="preserve">need to have global collaboration in addressing cybercrimes is on time. Since cyber threats are now more transnational and international interactions are mandatory, it is important to combine efforts globally to set established rules and moral codes of dealing with such violations. Ethical computing should not just be informed by those intentions that are intended to be good, but clearly, well-designed context-sensitive solutions </w:t>
      </w:r>
      <w:r w:rsidR="00E33743">
        <w:rPr>
          <w:lang w:val="en-US"/>
        </w:rPr>
        <w:t>that</w:t>
      </w:r>
      <w:r w:rsidRPr="00702D8C">
        <w:rPr>
          <w:lang w:val="en-US"/>
        </w:rPr>
        <w:t xml:space="preserve"> minimize any harm (Priyadarshini &amp; Cotton, 2022). The case highlights the significance of being proactive and ethical </w:t>
      </w:r>
      <w:proofErr w:type="gramStart"/>
      <w:r w:rsidRPr="00702D8C">
        <w:rPr>
          <w:lang w:val="en-US"/>
        </w:rPr>
        <w:t>in regard to</w:t>
      </w:r>
      <w:proofErr w:type="gramEnd"/>
      <w:r w:rsidRPr="00702D8C">
        <w:rPr>
          <w:lang w:val="en-US"/>
        </w:rPr>
        <w:t xml:space="preserve"> thinking about cybersecurity to avoid imminent </w:t>
      </w:r>
      <w:r w:rsidR="00E33743">
        <w:rPr>
          <w:lang w:val="en-US"/>
        </w:rPr>
        <w:t>threats</w:t>
      </w:r>
      <w:r w:rsidRPr="00702D8C">
        <w:rPr>
          <w:lang w:val="en-US"/>
        </w:rPr>
        <w:t xml:space="preserve"> of digital crises.</w:t>
      </w:r>
    </w:p>
    <w:p w14:paraId="77ABD8C1" w14:textId="456B5BF5" w:rsidR="00DC4CFB" w:rsidRDefault="00DC4CFB">
      <w:pPr>
        <w:rPr>
          <w:lang w:val="en-US"/>
        </w:rPr>
      </w:pPr>
    </w:p>
    <w:p w14:paraId="42B3920E" w14:textId="58D7581F" w:rsidR="00C03AE1" w:rsidRPr="00DC4CFB" w:rsidRDefault="00000000">
      <w:pPr>
        <w:rPr>
          <w:lang w:val="en-US"/>
        </w:rPr>
      </w:pPr>
      <w:r w:rsidRPr="00C03AE1">
        <w:rPr>
          <w:b/>
          <w:bCs/>
          <w:lang w:val="en-US"/>
        </w:rPr>
        <w:t>References</w:t>
      </w:r>
    </w:p>
    <w:p w14:paraId="46E44F23" w14:textId="2FC4EBF6" w:rsidR="007B7842" w:rsidRPr="00DC4CFB" w:rsidRDefault="00000000">
      <w:pPr>
        <w:rPr>
          <w:lang w:val="en-US"/>
        </w:rPr>
      </w:pPr>
      <w:r w:rsidRPr="00F64072">
        <w:t>Botes, M., &amp; Lenzini, G. (2022, June). When cryptographic ransomware poses cyber threats: Ethical challenges and proposed safeguards for cybersecurity researchers. In </w:t>
      </w:r>
      <w:r w:rsidRPr="00F64072">
        <w:rPr>
          <w:i/>
          <w:iCs/>
        </w:rPr>
        <w:t>2022 IEEE European Symposium on Security and Privacy Workshops (</w:t>
      </w:r>
      <w:proofErr w:type="spellStart"/>
      <w:r w:rsidRPr="00F64072">
        <w:rPr>
          <w:i/>
          <w:iCs/>
        </w:rPr>
        <w:t>EuroS&amp;PW</w:t>
      </w:r>
      <w:proofErr w:type="spellEnd"/>
      <w:r w:rsidRPr="00F64072">
        <w:rPr>
          <w:i/>
          <w:iCs/>
        </w:rPr>
        <w:t>)</w:t>
      </w:r>
      <w:r w:rsidRPr="00F64072">
        <w:t> (pp. 562-568). IEEE.</w:t>
      </w:r>
      <w:r>
        <w:t xml:space="preserve"> </w:t>
      </w:r>
      <w:r w:rsidRPr="00F64072">
        <w:t xml:space="preserve">Available at: </w:t>
      </w:r>
      <w:hyperlink r:id="rId8" w:history="1">
        <w:r w:rsidR="007B7842" w:rsidRPr="00FD1235">
          <w:rPr>
            <w:rStyle w:val="Hyperlink"/>
            <w:lang w:val="en-US"/>
          </w:rPr>
          <w:t>https://doi.org/10.1109/EuroSPW55150.2022.00067</w:t>
        </w:r>
      </w:hyperlink>
      <w:r>
        <w:rPr>
          <w:lang w:val="en-US"/>
        </w:rPr>
        <w:t xml:space="preserve"> </w:t>
      </w:r>
      <w:r w:rsidRPr="00F64072">
        <w:t>[Accessed: 11 November 2025].</w:t>
      </w:r>
    </w:p>
    <w:p w14:paraId="61ED149C" w14:textId="13015B9E" w:rsidR="00DC4CFB" w:rsidRDefault="00000000">
      <w:r w:rsidRPr="003C1240">
        <w:t>Ganguli, P. (2024). The rise of cybercrime-as-a-service: implications and countermeasures. </w:t>
      </w:r>
      <w:r w:rsidRPr="003C1240">
        <w:rPr>
          <w:i/>
          <w:iCs/>
        </w:rPr>
        <w:t>Available at SSRN 4959188</w:t>
      </w:r>
      <w:r w:rsidRPr="003C1240">
        <w:t>.</w:t>
      </w:r>
      <w:r>
        <w:t xml:space="preserve"> </w:t>
      </w:r>
      <w:r w:rsidRPr="003C1240">
        <w:t xml:space="preserve">Available at: </w:t>
      </w:r>
      <w:hyperlink r:id="rId9" w:history="1">
        <w:r w:rsidR="00DC4CFB" w:rsidRPr="00FD1235">
          <w:rPr>
            <w:rStyle w:val="Hyperlink"/>
          </w:rPr>
          <w:t>https://dx.doi.org/10.2139/ssrn.4959188</w:t>
        </w:r>
      </w:hyperlink>
      <w:r>
        <w:t xml:space="preserve"> </w:t>
      </w:r>
      <w:r w:rsidRPr="003C1240">
        <w:t>[Accessed: 11 November 2025].</w:t>
      </w:r>
    </w:p>
    <w:p w14:paraId="6DA3236D" w14:textId="77777777" w:rsidR="00F12C9F" w:rsidRDefault="00000000" w:rsidP="00F12C9F">
      <w:r w:rsidRPr="003C1240">
        <w:t>Priyadarshini, I., &amp; Cotton, C. (2022). </w:t>
      </w:r>
      <w:r w:rsidRPr="003C1240">
        <w:rPr>
          <w:i/>
          <w:iCs/>
        </w:rPr>
        <w:t>Cybersecurity: Ethics, legal, risks, and policies</w:t>
      </w:r>
      <w:r w:rsidRPr="003C1240">
        <w:t>. Apple Academic Press.</w:t>
      </w:r>
      <w:r>
        <w:t xml:space="preserve"> </w:t>
      </w:r>
      <w:r w:rsidRPr="003C1240">
        <w:t xml:space="preserve">Available at: </w:t>
      </w:r>
      <w:hyperlink r:id="rId10" w:history="1">
        <w:r w:rsidR="00F12C9F" w:rsidRPr="00FD1235">
          <w:rPr>
            <w:rStyle w:val="Hyperlink"/>
          </w:rPr>
          <w:t>https://doi.org/10.1201/9781003187127</w:t>
        </w:r>
      </w:hyperlink>
      <w:r>
        <w:t xml:space="preserve"> </w:t>
      </w:r>
      <w:r w:rsidRPr="003C1240">
        <w:t xml:space="preserve"> [Accessed: 11 November 2025].</w:t>
      </w:r>
    </w:p>
    <w:p w14:paraId="0B40F749" w14:textId="72A98D6A" w:rsidR="00DC4CFB" w:rsidRPr="00F12C9F" w:rsidRDefault="00000000" w:rsidP="00F12C9F">
      <w:pPr>
        <w:rPr>
          <w:lang w:val="en-US"/>
        </w:rPr>
      </w:pPr>
      <w:r>
        <w:br w:type="page"/>
      </w:r>
    </w:p>
    <w:p w14:paraId="3FBCC6E9" w14:textId="4C32B206" w:rsidR="007B7842" w:rsidRPr="00DC4CFB" w:rsidRDefault="007B7842" w:rsidP="00DC4CFB">
      <w:pPr>
        <w:pStyle w:val="Heading1"/>
      </w:pPr>
      <w:hyperlink r:id="rId11" w:history="1">
        <w:r w:rsidRPr="00DC4CFB">
          <w:rPr>
            <w:rStyle w:val="Hyperlink"/>
            <w:color w:val="auto"/>
            <w:lang w:val="en-US"/>
          </w:rPr>
          <w:t>Nelson Akaffou</w:t>
        </w:r>
      </w:hyperlink>
      <w:r w:rsidR="00000000" w:rsidRPr="00DC4CFB">
        <w:rPr>
          <w:lang w:val="en-US"/>
        </w:rPr>
        <w:t> </w:t>
      </w:r>
    </w:p>
    <w:p w14:paraId="327C4641" w14:textId="77777777" w:rsidR="00DC4CFB" w:rsidRPr="00DC4CFB" w:rsidRDefault="00DC4CFB" w:rsidP="00DC4CFB"/>
    <w:p w14:paraId="1E505153" w14:textId="6250A504" w:rsidR="00702D8C" w:rsidRPr="00702D8C" w:rsidRDefault="00000000" w:rsidP="00702D8C">
      <w:pPr>
        <w:rPr>
          <w:lang w:val="en-US"/>
        </w:rPr>
      </w:pPr>
      <w:r w:rsidRPr="00DC4CFB">
        <w:t xml:space="preserve">Nelson, </w:t>
      </w:r>
      <w:r w:rsidR="00E33743">
        <w:rPr>
          <w:lang w:val="en-US"/>
        </w:rPr>
        <w:t xml:space="preserve">your discussion about the </w:t>
      </w:r>
      <w:proofErr w:type="spellStart"/>
      <w:r w:rsidR="00E33743">
        <w:rPr>
          <w:lang w:val="en-US"/>
        </w:rPr>
        <w:t>AllTogether</w:t>
      </w:r>
      <w:proofErr w:type="spellEnd"/>
      <w:r w:rsidR="00E33743">
        <w:rPr>
          <w:lang w:val="en-US"/>
        </w:rPr>
        <w:t xml:space="preserve"> case analysis is a clear example of accessibility related to issues of ethical, legal,</w:t>
      </w:r>
      <w:r w:rsidRPr="00702D8C">
        <w:rPr>
          <w:lang w:val="en-US"/>
        </w:rPr>
        <w:t xml:space="preserve"> and social responsibility of software development. The information in the case that an inaccessible feature was published despite the identified risks shows that there was a major violation of the ethical principles, even the ACM Code of Ethics. The fact that the schedule is given priority over </w:t>
      </w:r>
      <w:r w:rsidR="00E33743">
        <w:rPr>
          <w:lang w:val="en-US"/>
        </w:rPr>
        <w:t>accessibility is an overt violation of the principle of contributing to society and human well-being because it literally hurts disabled users who</w:t>
      </w:r>
      <w:r w:rsidRPr="00702D8C">
        <w:rPr>
          <w:lang w:val="en-US"/>
        </w:rPr>
        <w:t xml:space="preserve"> would not fully enjoy the product (Olson et al., 2025). You further highlight the legal aspect, especially the Equality Act 2010 in the UK</w:t>
      </w:r>
      <w:r w:rsidR="00E33743">
        <w:rPr>
          <w:lang w:val="en-US"/>
        </w:rPr>
        <w:t>, which</w:t>
      </w:r>
      <w:r w:rsidRPr="00702D8C">
        <w:rPr>
          <w:lang w:val="en-US"/>
        </w:rPr>
        <w:t xml:space="preserve"> insists that accommodations to individuals with disabilities should be made as a reasonable measure. </w:t>
      </w:r>
      <w:proofErr w:type="spellStart"/>
      <w:r w:rsidRPr="00702D8C">
        <w:rPr>
          <w:lang w:val="en-US"/>
        </w:rPr>
        <w:t>AllTogether</w:t>
      </w:r>
      <w:proofErr w:type="spellEnd"/>
      <w:r w:rsidRPr="00702D8C">
        <w:rPr>
          <w:lang w:val="en-US"/>
        </w:rPr>
        <w:t xml:space="preserve"> left </w:t>
      </w:r>
      <w:r w:rsidR="00E33743">
        <w:rPr>
          <w:lang w:val="en-US"/>
        </w:rPr>
        <w:t>its users vulnerable,</w:t>
      </w:r>
      <w:r w:rsidRPr="00702D8C">
        <w:rPr>
          <w:lang w:val="en-US"/>
        </w:rPr>
        <w:t xml:space="preserve"> and it exposed itself to legal liabilities as well by failing to </w:t>
      </w:r>
      <w:r w:rsidR="00E33743">
        <w:rPr>
          <w:lang w:val="en-US"/>
        </w:rPr>
        <w:t>fulfill</w:t>
      </w:r>
      <w:r w:rsidRPr="00702D8C">
        <w:rPr>
          <w:lang w:val="en-US"/>
        </w:rPr>
        <w:t xml:space="preserve"> these conditions. It is an urgent fact since the companies need to be proactive in making sure that their products satisfy the current legislation to avoid legal consequences and negative publicity (</w:t>
      </w:r>
      <w:proofErr w:type="spellStart"/>
      <w:r w:rsidRPr="00702D8C">
        <w:rPr>
          <w:lang w:val="en-US"/>
        </w:rPr>
        <w:t>Babile</w:t>
      </w:r>
      <w:proofErr w:type="spellEnd"/>
      <w:r w:rsidRPr="00702D8C">
        <w:rPr>
          <w:lang w:val="en-US"/>
        </w:rPr>
        <w:t xml:space="preserve"> et al., 2022). The fact that you refer to the BCS Code of Conduct once again stresses that ethical computing professionals are required to act on behalf of the public and in terms of fairness, and in this case, the issue of accessibility should be </w:t>
      </w:r>
      <w:proofErr w:type="gramStart"/>
      <w:r w:rsidRPr="00702D8C">
        <w:rPr>
          <w:lang w:val="en-US"/>
        </w:rPr>
        <w:t>taken into account</w:t>
      </w:r>
      <w:proofErr w:type="gramEnd"/>
      <w:r w:rsidRPr="00702D8C">
        <w:rPr>
          <w:lang w:val="en-US"/>
        </w:rPr>
        <w:t xml:space="preserve"> in the first place. By incorporating accessibility in </w:t>
      </w:r>
      <w:r w:rsidR="00E33743">
        <w:rPr>
          <w:lang w:val="en-US"/>
        </w:rPr>
        <w:t xml:space="preserve">the design cycle, it is not only a way of minimizing the chances of discrimination but also brings new innovations that minimize future costs to an extent that </w:t>
      </w:r>
      <w:r w:rsidRPr="00702D8C">
        <w:rPr>
          <w:lang w:val="en-US"/>
        </w:rPr>
        <w:t>academic literature endorses. Overall, your post is a convincing argument in support of software development ethics. Being proactive in enforcing accessibility can mean</w:t>
      </w:r>
      <w:r w:rsidR="00E33743">
        <w:rPr>
          <w:lang w:val="en-US"/>
        </w:rPr>
        <w:t>,</w:t>
      </w:r>
      <w:r w:rsidRPr="00702D8C">
        <w:rPr>
          <w:lang w:val="en-US"/>
        </w:rPr>
        <w:t xml:space="preserve"> depending on the legal requirements, advancing social inclusion and considering professional ethics of the companies (Ryan </w:t>
      </w:r>
      <w:r w:rsidR="00E33743">
        <w:rPr>
          <w:lang w:val="en-US"/>
        </w:rPr>
        <w:t>&amp;</w:t>
      </w:r>
      <w:r w:rsidRPr="00702D8C">
        <w:rPr>
          <w:lang w:val="en-US"/>
        </w:rPr>
        <w:t xml:space="preserve"> Stahl, 2021). Underperforming these duties can have a </w:t>
      </w:r>
      <w:r w:rsidR="00E33743">
        <w:rPr>
          <w:lang w:val="en-US"/>
        </w:rPr>
        <w:t>far-reaching impact on</w:t>
      </w:r>
      <w:r w:rsidRPr="00702D8C">
        <w:rPr>
          <w:lang w:val="en-US"/>
        </w:rPr>
        <w:t xml:space="preserve"> the bodies or users as well as the company.</w:t>
      </w:r>
    </w:p>
    <w:p w14:paraId="2771964D" w14:textId="0A4CA05E" w:rsidR="00C03AE1" w:rsidRDefault="00C03AE1" w:rsidP="00DC4CFB"/>
    <w:p w14:paraId="30F5FDA1" w14:textId="77777777" w:rsidR="00C03AE1" w:rsidRPr="00C03AE1" w:rsidRDefault="00000000" w:rsidP="00C03AE1">
      <w:pPr>
        <w:rPr>
          <w:lang w:val="en-US"/>
        </w:rPr>
      </w:pPr>
      <w:r w:rsidRPr="00C03AE1">
        <w:rPr>
          <w:b/>
          <w:bCs/>
          <w:lang w:val="en-US"/>
        </w:rPr>
        <w:t>References</w:t>
      </w:r>
    </w:p>
    <w:p w14:paraId="4BEC652C" w14:textId="3A247DCC" w:rsidR="00C03AE1" w:rsidRPr="00C03AE1" w:rsidRDefault="00000000" w:rsidP="00DC4CFB">
      <w:r w:rsidRPr="00C03AE1">
        <w:t xml:space="preserve">Olson, L., Anna-Lena Fischer, R., </w:t>
      </w:r>
      <w:proofErr w:type="spellStart"/>
      <w:r w:rsidRPr="00C03AE1">
        <w:t>Kunneman</w:t>
      </w:r>
      <w:proofErr w:type="spellEnd"/>
      <w:r w:rsidRPr="00C03AE1">
        <w:t>, F., &amp; Guzmán, E. (2025, June). Who Speaks for Ethics? How Demographics Shape Ethical Advocacy in Software Development. In </w:t>
      </w:r>
      <w:r w:rsidRPr="00C03AE1">
        <w:rPr>
          <w:i/>
          <w:iCs/>
        </w:rPr>
        <w:t>Proceedings of the 2025 ACM Conference on Fairness, Accountability, and Transparency</w:t>
      </w:r>
      <w:r w:rsidRPr="00C03AE1">
        <w:t> (pp. 2847-2862).</w:t>
      </w:r>
      <w:r>
        <w:t xml:space="preserve"> Available at: </w:t>
      </w:r>
      <w:hyperlink r:id="rId12" w:history="1">
        <w:r w:rsidR="00C03AE1" w:rsidRPr="00FD1235">
          <w:rPr>
            <w:rStyle w:val="Hyperlink"/>
          </w:rPr>
          <w:t>https://doi.org/10.1145/3715275.3732183</w:t>
        </w:r>
      </w:hyperlink>
      <w:r>
        <w:t xml:space="preserve"> </w:t>
      </w:r>
      <w:r w:rsidRPr="00C03AE1">
        <w:t>[Accessed: 11 November 2025].</w:t>
      </w:r>
    </w:p>
    <w:p w14:paraId="35BEDF4A" w14:textId="6EC4466E" w:rsidR="00C03AE1" w:rsidRPr="00C03AE1" w:rsidRDefault="00000000" w:rsidP="00DC4CFB">
      <w:r w:rsidRPr="00BC4C50">
        <w:t>Ryan, M., &amp; Stahl, B. C. (2021). Artificial intelligence ethics guidelines for developers and users: clarifying their content and normative implications. </w:t>
      </w:r>
      <w:r w:rsidRPr="00BC4C50">
        <w:rPr>
          <w:i/>
          <w:iCs/>
        </w:rPr>
        <w:t>Journal of Information, Communication and Ethics in Society</w:t>
      </w:r>
      <w:r w:rsidRPr="00BC4C50">
        <w:t>, </w:t>
      </w:r>
      <w:r w:rsidRPr="00BC4C50">
        <w:rPr>
          <w:i/>
          <w:iCs/>
        </w:rPr>
        <w:t>19</w:t>
      </w:r>
      <w:r w:rsidRPr="00BC4C50">
        <w:t>(1), 61-86.</w:t>
      </w:r>
      <w:r>
        <w:t xml:space="preserve"> </w:t>
      </w:r>
      <w:r w:rsidRPr="00BC4C50">
        <w:t xml:space="preserve">Available at: </w:t>
      </w:r>
      <w:hyperlink r:id="rId13" w:history="1">
        <w:r w:rsidR="00C03AE1" w:rsidRPr="00FD1235">
          <w:rPr>
            <w:rStyle w:val="Hyperlink"/>
          </w:rPr>
          <w:t>https://doi.org/10.1108/JICES-12-2019-0138</w:t>
        </w:r>
      </w:hyperlink>
      <w:r>
        <w:t xml:space="preserve"> </w:t>
      </w:r>
      <w:r w:rsidRPr="00C03AE1">
        <w:t>[Accessed: 11 November 2025].</w:t>
      </w:r>
    </w:p>
    <w:p w14:paraId="6F6EFAA6" w14:textId="2808DD7D" w:rsidR="00C03AE1" w:rsidRPr="00C03AE1" w:rsidRDefault="00000000" w:rsidP="00C03AE1">
      <w:proofErr w:type="spellStart"/>
      <w:r w:rsidRPr="00BC4C50">
        <w:t>Biable</w:t>
      </w:r>
      <w:proofErr w:type="spellEnd"/>
      <w:r w:rsidRPr="00BC4C50">
        <w:t xml:space="preserve">, S. E., Garcia, N. M., </w:t>
      </w:r>
      <w:proofErr w:type="spellStart"/>
      <w:r w:rsidRPr="00BC4C50">
        <w:t>Midekso</w:t>
      </w:r>
      <w:proofErr w:type="spellEnd"/>
      <w:r w:rsidRPr="00BC4C50">
        <w:t>, D., &amp; Pombo, N. (2022). Ethical issues in software requirements engineering. </w:t>
      </w:r>
      <w:r w:rsidRPr="00BC4C50">
        <w:rPr>
          <w:i/>
          <w:iCs/>
        </w:rPr>
        <w:t>Software</w:t>
      </w:r>
      <w:r w:rsidRPr="00BC4C50">
        <w:t>, </w:t>
      </w:r>
      <w:r w:rsidRPr="00BC4C50">
        <w:rPr>
          <w:i/>
          <w:iCs/>
        </w:rPr>
        <w:t>1</w:t>
      </w:r>
      <w:r w:rsidRPr="00BC4C50">
        <w:t>(1), 31-52</w:t>
      </w:r>
      <w:r w:rsidR="00F97BAE">
        <w:t xml:space="preserve">. </w:t>
      </w:r>
      <w:r w:rsidRPr="00BC4C50">
        <w:t xml:space="preserve">Available at: </w:t>
      </w:r>
      <w:hyperlink r:id="rId14" w:history="1">
        <w:r w:rsidR="00C03AE1" w:rsidRPr="00FD1235">
          <w:rPr>
            <w:rStyle w:val="Hyperlink"/>
          </w:rPr>
          <w:t>https://doi.org/10.3390/software1010003</w:t>
        </w:r>
      </w:hyperlink>
      <w:r>
        <w:t xml:space="preserve"> </w:t>
      </w:r>
      <w:r w:rsidRPr="00C03AE1">
        <w:t>[Accessed: 11 November 2025].</w:t>
      </w:r>
    </w:p>
    <w:p w14:paraId="6F6119BF" w14:textId="77777777" w:rsidR="00C03AE1" w:rsidRPr="00DC4CFB" w:rsidRDefault="00C03AE1" w:rsidP="00DC4CFB">
      <w:pPr>
        <w:rPr>
          <w:lang w:val="en-US"/>
        </w:rPr>
      </w:pPr>
    </w:p>
    <w:sectPr w:rsidR="00C03AE1" w:rsidRPr="00DC4CFB">
      <w:pgSz w:w="11906" w:h="16838"/>
      <w:pgMar w:top="1588" w:right="1134" w:bottom="102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akkal Majalla">
    <w:panose1 w:val="02000000000000000000"/>
    <w:charset w:val="B2"/>
    <w:family w:val="auto"/>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012"/>
    <w:multiLevelType w:val="multilevel"/>
    <w:tmpl w:val="ACF48488"/>
    <w:styleLink w:val="WWOutlineListStyle"/>
    <w:lvl w:ilvl="0">
      <w:start w:val="1"/>
      <w:numFmt w:val="decimal"/>
      <w:lvlText w:val="(%1)"/>
      <w:lvlJc w:val="left"/>
      <w:pPr>
        <w:ind w:left="720" w:hanging="720"/>
      </w:pPr>
    </w:lvl>
    <w:lvl w:ilvl="1">
      <w:start w:val="1"/>
      <w:numFmt w:val="decimal"/>
      <w:lvlText w:val="%1.%2"/>
      <w:lvlJc w:val="left"/>
      <w:pPr>
        <w:ind w:left="72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none"/>
      <w:lvlText w:val="(%6)"/>
      <w:lvlJc w:val="left"/>
      <w:pPr>
        <w:ind w:left="720" w:firstLine="0"/>
      </w:pPr>
    </w:lvl>
    <w:lvl w:ilvl="6">
      <w:start w:val="1"/>
      <w:numFmt w:val="lowerLetter"/>
      <w:lvlText w:val="%7"/>
      <w:lvlJc w:val="left"/>
      <w:pPr>
        <w:ind w:left="1440" w:hanging="720"/>
      </w:pPr>
    </w:lvl>
    <w:lvl w:ilvl="7">
      <w:start w:val="1"/>
      <w:numFmt w:val="none"/>
      <w:lvlText w:val="%8"/>
      <w:lvlJc w:val="left"/>
    </w:lvl>
    <w:lvl w:ilvl="8">
      <w:start w:val="1"/>
      <w:numFmt w:val="none"/>
      <w:lvlText w:val="%9"/>
      <w:lvlJc w:val="left"/>
    </w:lvl>
  </w:abstractNum>
  <w:abstractNum w:abstractNumId="1" w15:restartNumberingAfterBreak="0">
    <w:nsid w:val="12143DA8"/>
    <w:multiLevelType w:val="multilevel"/>
    <w:tmpl w:val="3A16A59C"/>
    <w:styleLink w:val="LFO4"/>
    <w:lvl w:ilvl="0">
      <w:start w:val="1"/>
      <w:numFmt w:val="none"/>
      <w:pStyle w:val="TAQADefPara5"/>
      <w:suff w:val="nothing"/>
      <w:lvlText w:val="%1"/>
      <w:lvlJc w:val="left"/>
      <w:pPr>
        <w:ind w:left="720" w:firstLine="0"/>
      </w:pPr>
    </w:lvl>
    <w:lvl w:ilvl="1">
      <w:start w:val="1"/>
      <w:numFmt w:val="lowerLetter"/>
      <w:lvlText w:val="(%2)"/>
      <w:lvlJc w:val="left"/>
      <w:pPr>
        <w:ind w:left="1440" w:hanging="720"/>
      </w:pPr>
    </w:lvl>
    <w:lvl w:ilvl="2">
      <w:start w:val="1"/>
      <w:numFmt w:val="lowerRoman"/>
      <w:lvlText w:val="(%3)"/>
      <w:lvlJc w:val="left"/>
      <w:pPr>
        <w:ind w:left="1440" w:hanging="720"/>
      </w:pPr>
    </w:lvl>
    <w:lvl w:ilvl="3">
      <w:start w:val="1"/>
      <w:numFmt w:val="lowerLetter"/>
      <w:lvlText w:val="(%4)"/>
      <w:lvlJc w:val="left"/>
      <w:pPr>
        <w:ind w:left="2160" w:hanging="720"/>
      </w:pPr>
    </w:lvl>
    <w:lvl w:ilvl="4">
      <w:start w:val="1"/>
      <w:numFmt w:val="lowerRoman"/>
      <w:lvlText w:val="(%5)"/>
      <w:lvlJc w:val="left"/>
      <w:pPr>
        <w:ind w:left="2160" w:hanging="720"/>
      </w:pPr>
    </w:lvl>
    <w:lvl w:ilvl="5">
      <w:start w:val="1"/>
      <w:numFmt w:val="upperLetter"/>
      <w:lvlText w:val="(%6)"/>
      <w:lvlJc w:val="left"/>
      <w:pPr>
        <w:ind w:left="2880" w:hanging="720"/>
      </w:pPr>
    </w:lvl>
    <w:lvl w:ilvl="6">
      <w:start w:val="1"/>
      <w:numFmt w:val="none"/>
      <w:lvlText w:val="%7"/>
      <w:lvlJc w:val="left"/>
      <w:pPr>
        <w:ind w:left="2160" w:hanging="720"/>
      </w:pPr>
    </w:lvl>
    <w:lvl w:ilvl="7">
      <w:start w:val="1"/>
      <w:numFmt w:val="none"/>
      <w:lvlText w:val="%8"/>
      <w:lvlJc w:val="left"/>
      <w:pPr>
        <w:ind w:left="1440" w:hanging="720"/>
      </w:pPr>
    </w:lvl>
    <w:lvl w:ilvl="8">
      <w:start w:val="1"/>
      <w:numFmt w:val="none"/>
      <w:lvlText w:val="%9"/>
      <w:lvlJc w:val="left"/>
      <w:pPr>
        <w:ind w:left="2160" w:hanging="720"/>
      </w:pPr>
    </w:lvl>
  </w:abstractNum>
  <w:abstractNum w:abstractNumId="2" w15:restartNumberingAfterBreak="0">
    <w:nsid w:val="12987B9D"/>
    <w:multiLevelType w:val="multilevel"/>
    <w:tmpl w:val="0964A404"/>
    <w:styleLink w:val="LFO9"/>
    <w:lvl w:ilvl="0">
      <w:start w:val="1"/>
      <w:numFmt w:val="decimal"/>
      <w:pStyle w:val="TOC9"/>
      <w:lvlText w:val="%1."/>
      <w:lvlJc w:val="left"/>
      <w:pPr>
        <w:ind w:left="720" w:hanging="720"/>
      </w:pPr>
      <w:rPr>
        <w:rFonts w:ascii="Arial" w:hAnsi="Arial"/>
        <w:b w:val="0"/>
        <w:i w:val="0"/>
        <w:sz w:val="20"/>
      </w:rPr>
    </w:lvl>
    <w:lvl w:ilvl="1">
      <w:start w:val="1"/>
      <w:numFmt w:val="decimal"/>
      <w:lvlText w:val="Part %2"/>
      <w:lvlJc w:val="left"/>
      <w:pPr>
        <w:ind w:left="1797" w:hanging="1077"/>
      </w:pPr>
      <w:rPr>
        <w:rFonts w:ascii="Arial" w:hAnsi="Arial"/>
        <w:b w:val="0"/>
        <w:i w:val="0"/>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B85521"/>
    <w:multiLevelType w:val="multilevel"/>
    <w:tmpl w:val="53C64094"/>
    <w:styleLink w:val="LFO11"/>
    <w:lvl w:ilvl="0">
      <w:start w:val="1"/>
      <w:numFmt w:val="decimal"/>
      <w:pStyle w:val="TAQAAPPPartHead"/>
      <w:suff w:val="nothing"/>
      <w:lvlText w:val="Appendix %1"/>
      <w:lvlJc w:val="left"/>
      <w:rPr>
        <w:b/>
        <w:i w:val="0"/>
      </w:rPr>
    </w:lvl>
    <w:lvl w:ilvl="1">
      <w:start w:val="1"/>
      <w:numFmt w:val="decimal"/>
      <w:suff w:val="nothing"/>
      <w:lvlText w:val="Part %2"/>
      <w:lvlJc w:val="left"/>
      <w:rPr>
        <w:b/>
        <w:i w:val="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4" w15:restartNumberingAfterBreak="0">
    <w:nsid w:val="1A073294"/>
    <w:multiLevelType w:val="multilevel"/>
    <w:tmpl w:val="1E14683C"/>
    <w:styleLink w:val="LFO13"/>
    <w:lvl w:ilvl="0">
      <w:start w:val="1"/>
      <w:numFmt w:val="decimal"/>
      <w:pStyle w:val="TAQASCHPartHead"/>
      <w:suff w:val="nothing"/>
      <w:lvlText w:val="Schedule %1"/>
      <w:lvlJc w:val="left"/>
      <w:rPr>
        <w:b/>
        <w:i w:val="0"/>
      </w:rPr>
    </w:lvl>
    <w:lvl w:ilvl="1">
      <w:start w:val="1"/>
      <w:numFmt w:val="decimal"/>
      <w:suff w:val="nothing"/>
      <w:lvlText w:val="Part %2"/>
      <w:lvlJc w:val="left"/>
      <w:rPr>
        <w:b/>
        <w:i w:val="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5" w15:restartNumberingAfterBreak="0">
    <w:nsid w:val="1D4E7B18"/>
    <w:multiLevelType w:val="multilevel"/>
    <w:tmpl w:val="29CC0134"/>
    <w:styleLink w:val="LFO14"/>
    <w:lvl w:ilvl="0">
      <w:start w:val="1"/>
      <w:numFmt w:val="decimal"/>
      <w:pStyle w:val="TAQATable5"/>
      <w:lvlText w:val="%1."/>
      <w:lvlJc w:val="left"/>
      <w:pPr>
        <w:ind w:left="720" w:hanging="720"/>
      </w:pPr>
      <w:rPr>
        <w:b/>
        <w:i w:val="0"/>
      </w:rPr>
    </w:lvl>
    <w:lvl w:ilvl="1">
      <w:start w:val="1"/>
      <w:numFmt w:val="decimal"/>
      <w:lvlText w:val="%1.%2"/>
      <w:lvlJc w:val="left"/>
      <w:pPr>
        <w:ind w:left="720" w:hanging="720"/>
      </w:pPr>
      <w:rPr>
        <w:b/>
        <w:i w:val="0"/>
      </w:rPr>
    </w:lvl>
    <w:lvl w:ilvl="2">
      <w:start w:val="1"/>
      <w:numFmt w:val="lowerLetter"/>
      <w:lvlText w:val="(%3)"/>
      <w:lvlJc w:val="left"/>
      <w:pPr>
        <w:ind w:left="720" w:hanging="720"/>
      </w:pPr>
    </w:lvl>
    <w:lvl w:ilvl="3">
      <w:start w:val="1"/>
      <w:numFmt w:val="lowerRoman"/>
      <w:lvlText w:val="(%4)"/>
      <w:lvlJc w:val="left"/>
      <w:pPr>
        <w:ind w:left="1440" w:hanging="720"/>
      </w:pPr>
    </w:lvl>
    <w:lvl w:ilvl="4">
      <w:start w:val="1"/>
      <w:numFmt w:val="upperLetter"/>
      <w:lvlText w:val="(%5)"/>
      <w:lvlJc w:val="left"/>
      <w:pPr>
        <w:ind w:left="2160" w:hanging="72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6" w15:restartNumberingAfterBreak="0">
    <w:nsid w:val="2FC73303"/>
    <w:multiLevelType w:val="multilevel"/>
    <w:tmpl w:val="55749680"/>
    <w:styleLink w:val="LFO3"/>
    <w:lvl w:ilvl="0">
      <w:start w:val="1"/>
      <w:numFmt w:val="decimal"/>
      <w:pStyle w:val="TAQALevel2Alt"/>
      <w:lvlText w:val="%1."/>
      <w:lvlJc w:val="left"/>
      <w:pPr>
        <w:ind w:left="720" w:hanging="720"/>
      </w:pPr>
    </w:lvl>
    <w:lvl w:ilvl="1">
      <w:start w:val="1"/>
      <w:numFmt w:val="decimal"/>
      <w:lvlText w:val="%1.%2"/>
      <w:lvlJc w:val="left"/>
      <w:pPr>
        <w:ind w:left="72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upperRoman"/>
      <w:lvlText w:val="(%6)"/>
      <w:lvlJc w:val="left"/>
      <w:pPr>
        <w:ind w:left="3600" w:hanging="720"/>
      </w:pPr>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7" w15:restartNumberingAfterBreak="0">
    <w:nsid w:val="468C3326"/>
    <w:multiLevelType w:val="multilevel"/>
    <w:tmpl w:val="0A8E4A1A"/>
    <w:lvl w:ilvl="0">
      <w:numFmt w:val="bullet"/>
      <w:lvlText w:val=""/>
      <w:lvlJc w:val="left"/>
      <w:pPr>
        <w:ind w:left="720" w:hanging="360"/>
      </w:pPr>
      <w:rPr>
        <w:rFonts w:ascii="Wingdings" w:hAnsi="Wingdings"/>
        <w:sz w:val="20"/>
      </w:rPr>
    </w:lvl>
    <w:lvl w:ilvl="1">
      <w:numFmt w:val="bullet"/>
      <w:lvlText w:val=""/>
      <w:lvlJc w:val="left"/>
      <w:pPr>
        <w:ind w:left="1440" w:hanging="360"/>
      </w:pPr>
      <w:rPr>
        <w:rFonts w:ascii="Wingdings" w:hAnsi="Wingdings"/>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4CC03086"/>
    <w:multiLevelType w:val="multilevel"/>
    <w:tmpl w:val="9FB0D2EE"/>
    <w:styleLink w:val="LFO15"/>
    <w:lvl w:ilvl="0">
      <w:numFmt w:val="bullet"/>
      <w:pStyle w:val="TAQATableBullet4"/>
      <w:lvlText w:val=""/>
      <w:lvlJc w:val="left"/>
      <w:pPr>
        <w:ind w:left="720" w:hanging="720"/>
      </w:pPr>
      <w:rPr>
        <w:rFonts w:ascii="Symbol" w:hAnsi="Symbol"/>
        <w:color w:val="auto"/>
      </w:rPr>
    </w:lvl>
    <w:lvl w:ilvl="1">
      <w:numFmt w:val="bullet"/>
      <w:lvlText w:val=""/>
      <w:lvlJc w:val="left"/>
      <w:pPr>
        <w:ind w:left="720" w:hanging="720"/>
      </w:pPr>
      <w:rPr>
        <w:rFonts w:ascii="Symbol" w:hAnsi="Symbol"/>
        <w:color w:val="auto"/>
      </w:rPr>
    </w:lvl>
    <w:lvl w:ilvl="2">
      <w:numFmt w:val="bullet"/>
      <w:lvlText w:val=""/>
      <w:lvlJc w:val="left"/>
      <w:pPr>
        <w:ind w:left="1440" w:hanging="720"/>
      </w:pPr>
      <w:rPr>
        <w:rFonts w:ascii="Symbol" w:hAnsi="Symbol"/>
        <w:color w:val="auto"/>
      </w:rPr>
    </w:lvl>
    <w:lvl w:ilvl="3">
      <w:numFmt w:val="bullet"/>
      <w:lvlText w:val=""/>
      <w:lvlJc w:val="left"/>
      <w:pPr>
        <w:ind w:left="1440" w:hanging="720"/>
      </w:pPr>
      <w:rPr>
        <w:rFonts w:ascii="Symbol" w:hAnsi="Symbol"/>
        <w:color w:val="auto"/>
      </w:r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9" w15:restartNumberingAfterBreak="0">
    <w:nsid w:val="63F57A35"/>
    <w:multiLevelType w:val="multilevel"/>
    <w:tmpl w:val="15A84066"/>
    <w:styleLink w:val="WWOutlineListStyle1"/>
    <w:lvl w:ilvl="0">
      <w:start w:val="1"/>
      <w:numFmt w:val="decimal"/>
      <w:pStyle w:val="TAQA1"/>
      <w:lvlText w:val="(%1)"/>
      <w:lvlJc w:val="left"/>
      <w:pPr>
        <w:ind w:left="720" w:hanging="720"/>
      </w:pPr>
    </w:lvl>
    <w:lvl w:ilvl="1">
      <w:start w:val="1"/>
      <w:numFmt w:val="decimal"/>
      <w:pStyle w:val="TAQALevel2"/>
      <w:lvlText w:val="%1.%2"/>
      <w:lvlJc w:val="left"/>
      <w:pPr>
        <w:ind w:left="720" w:hanging="720"/>
      </w:pPr>
    </w:lvl>
    <w:lvl w:ilvl="2">
      <w:start w:val="1"/>
      <w:numFmt w:val="lowerLetter"/>
      <w:pStyle w:val="TAQALevel3"/>
      <w:lvlText w:val="(%3)"/>
      <w:lvlJc w:val="left"/>
      <w:pPr>
        <w:ind w:left="1440" w:hanging="720"/>
      </w:pPr>
    </w:lvl>
    <w:lvl w:ilvl="3">
      <w:start w:val="1"/>
      <w:numFmt w:val="lowerRoman"/>
      <w:pStyle w:val="TAQALevel4"/>
      <w:lvlText w:val="(%4)"/>
      <w:lvlJc w:val="left"/>
      <w:pPr>
        <w:ind w:left="2160" w:hanging="720"/>
      </w:pPr>
    </w:lvl>
    <w:lvl w:ilvl="4">
      <w:start w:val="1"/>
      <w:numFmt w:val="upperLetter"/>
      <w:pStyle w:val="TAQALevel5"/>
      <w:lvlText w:val="(%5)"/>
      <w:lvlJc w:val="left"/>
      <w:pPr>
        <w:ind w:left="2880" w:hanging="720"/>
      </w:pPr>
    </w:lvl>
    <w:lvl w:ilvl="5">
      <w:start w:val="1"/>
      <w:numFmt w:val="none"/>
      <w:lvlText w:val="%6"/>
      <w:lvlJc w:val="left"/>
    </w:lvl>
    <w:lvl w:ilvl="6">
      <w:start w:val="1"/>
      <w:numFmt w:val="lowerLetter"/>
      <w:pStyle w:val="TAQADefPara1"/>
      <w:lvlText w:val="%7"/>
      <w:lvlJc w:val="left"/>
      <w:pPr>
        <w:ind w:left="1440" w:hanging="720"/>
      </w:pPr>
    </w:lvl>
    <w:lvl w:ilvl="7">
      <w:start w:val="1"/>
      <w:numFmt w:val="none"/>
      <w:lvlText w:val=""/>
      <w:lvlJc w:val="left"/>
    </w:lvl>
    <w:lvl w:ilvl="8">
      <w:start w:val="1"/>
      <w:numFmt w:val="none"/>
      <w:lvlText w:val=""/>
      <w:lvlJc w:val="left"/>
    </w:lvl>
  </w:abstractNum>
  <w:abstractNum w:abstractNumId="10" w15:restartNumberingAfterBreak="0">
    <w:nsid w:val="66E94BF7"/>
    <w:multiLevelType w:val="multilevel"/>
    <w:tmpl w:val="18FE3BA2"/>
    <w:styleLink w:val="LFO10"/>
    <w:lvl w:ilvl="0">
      <w:start w:val="1"/>
      <w:numFmt w:val="decimal"/>
      <w:pStyle w:val="TAQAANXParthead"/>
      <w:suff w:val="nothing"/>
      <w:lvlText w:val="Annex %1"/>
      <w:lvlJc w:val="left"/>
      <w:rPr>
        <w:b/>
        <w:i w:val="0"/>
      </w:rPr>
    </w:lvl>
    <w:lvl w:ilvl="1">
      <w:start w:val="1"/>
      <w:numFmt w:val="decimal"/>
      <w:suff w:val="nothing"/>
      <w:lvlText w:val="Part %2"/>
      <w:lvlJc w:val="left"/>
      <w:rPr>
        <w:b/>
        <w:i w:val="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11" w15:restartNumberingAfterBreak="0">
    <w:nsid w:val="68CA54F6"/>
    <w:multiLevelType w:val="multilevel"/>
    <w:tmpl w:val="77FC9512"/>
    <w:styleLink w:val="LFO2"/>
    <w:lvl w:ilvl="0">
      <w:start w:val="1"/>
      <w:numFmt w:val="upperLetter"/>
      <w:pStyle w:val="TAQAA"/>
      <w:lvlText w:val="(%1)"/>
      <w:lvlJc w:val="left"/>
      <w:pPr>
        <w:ind w:left="720" w:hanging="720"/>
      </w:p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2" w15:restartNumberingAfterBreak="0">
    <w:nsid w:val="694B33EB"/>
    <w:multiLevelType w:val="multilevel"/>
    <w:tmpl w:val="116EFD2C"/>
    <w:styleLink w:val="LFO8"/>
    <w:lvl w:ilvl="0">
      <w:start w:val="1"/>
      <w:numFmt w:val="decimal"/>
      <w:pStyle w:val="TOC7"/>
      <w:lvlText w:val="%1."/>
      <w:lvlJc w:val="left"/>
      <w:pPr>
        <w:ind w:left="720" w:hanging="720"/>
      </w:pPr>
      <w:rPr>
        <w:rFonts w:ascii="Arial" w:hAnsi="Arial"/>
        <w:b w:val="0"/>
        <w:i w:val="0"/>
        <w:sz w:val="20"/>
      </w:rPr>
    </w:lvl>
    <w:lvl w:ilvl="1">
      <w:start w:val="1"/>
      <w:numFmt w:val="decimal"/>
      <w:lvlText w:val="Part %2"/>
      <w:lvlJc w:val="left"/>
      <w:pPr>
        <w:ind w:left="1797" w:hanging="1077"/>
      </w:pPr>
      <w:rPr>
        <w:rFonts w:ascii="Arial" w:hAnsi="Arial"/>
        <w:b w:val="0"/>
        <w:i w:val="0"/>
        <w:sz w:val="2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13" w15:restartNumberingAfterBreak="0">
    <w:nsid w:val="6EC07878"/>
    <w:multiLevelType w:val="multilevel"/>
    <w:tmpl w:val="E3A4CF8E"/>
    <w:styleLink w:val="LFO5"/>
    <w:lvl w:ilvl="0">
      <w:numFmt w:val="bullet"/>
      <w:pStyle w:val="TAQABullet4"/>
      <w:lvlText w:val=""/>
      <w:lvlJc w:val="left"/>
      <w:pPr>
        <w:ind w:left="720" w:hanging="720"/>
      </w:pPr>
      <w:rPr>
        <w:rFonts w:ascii="Symbol" w:hAnsi="Symbol"/>
        <w:color w:val="auto"/>
      </w:rPr>
    </w:lvl>
    <w:lvl w:ilvl="1">
      <w:numFmt w:val="bullet"/>
      <w:lvlText w:val=""/>
      <w:lvlJc w:val="left"/>
      <w:pPr>
        <w:ind w:left="720" w:hanging="720"/>
      </w:pPr>
      <w:rPr>
        <w:rFonts w:ascii="Symbol" w:hAnsi="Symbol"/>
        <w:color w:val="auto"/>
      </w:rPr>
    </w:lvl>
    <w:lvl w:ilvl="2">
      <w:numFmt w:val="bullet"/>
      <w:lvlText w:val=""/>
      <w:lvlJc w:val="left"/>
      <w:pPr>
        <w:ind w:left="1440" w:hanging="720"/>
      </w:pPr>
      <w:rPr>
        <w:rFonts w:ascii="Symbol" w:hAnsi="Symbol"/>
        <w:color w:val="auto"/>
      </w:rPr>
    </w:lvl>
    <w:lvl w:ilvl="3">
      <w:numFmt w:val="bullet"/>
      <w:lvlText w:val=""/>
      <w:lvlJc w:val="left"/>
      <w:pPr>
        <w:ind w:left="1440" w:hanging="720"/>
      </w:pPr>
      <w:rPr>
        <w:rFonts w:ascii="Symbol" w:hAnsi="Symbol"/>
        <w:color w:val="auto"/>
      </w:rPr>
    </w:lvl>
    <w:lvl w:ilvl="4">
      <w:start w:val="1"/>
      <w:numFmt w:val="none"/>
      <w:lvlText w:val="%5"/>
      <w:lvlJc w:val="left"/>
      <w:pPr>
        <w:ind w:left="2160" w:hanging="720"/>
      </w:pPr>
    </w:lvl>
    <w:lvl w:ilvl="5">
      <w:start w:val="1"/>
      <w:numFmt w:val="none"/>
      <w:lvlText w:val="%6"/>
      <w:lvlJc w:val="left"/>
      <w:pPr>
        <w:ind w:left="2880" w:hanging="720"/>
      </w:pPr>
    </w:lvl>
    <w:lvl w:ilvl="6">
      <w:start w:val="1"/>
      <w:numFmt w:val="none"/>
      <w:lvlText w:val="%7"/>
      <w:lvlJc w:val="left"/>
      <w:pPr>
        <w:ind w:left="2160" w:hanging="720"/>
      </w:pPr>
    </w:lvl>
    <w:lvl w:ilvl="7">
      <w:start w:val="1"/>
      <w:numFmt w:val="none"/>
      <w:lvlText w:val="%8"/>
      <w:lvlJc w:val="left"/>
      <w:pPr>
        <w:ind w:left="1440" w:hanging="720"/>
      </w:pPr>
    </w:lvl>
    <w:lvl w:ilvl="8">
      <w:start w:val="1"/>
      <w:numFmt w:val="none"/>
      <w:lvlText w:val="%9"/>
      <w:lvlJc w:val="left"/>
      <w:pPr>
        <w:ind w:left="2160" w:hanging="720"/>
      </w:pPr>
    </w:lvl>
  </w:abstractNum>
  <w:abstractNum w:abstractNumId="14" w15:restartNumberingAfterBreak="0">
    <w:nsid w:val="6F3D3754"/>
    <w:multiLevelType w:val="multilevel"/>
    <w:tmpl w:val="8B12CDD6"/>
    <w:styleLink w:val="LFO12"/>
    <w:lvl w:ilvl="0">
      <w:start w:val="1"/>
      <w:numFmt w:val="decimal"/>
      <w:pStyle w:val="TAQAListNumber4"/>
      <w:lvlText w:val="%1."/>
      <w:lvlJc w:val="left"/>
      <w:pPr>
        <w:ind w:left="720" w:hanging="720"/>
      </w:pPr>
    </w:lvl>
    <w:lvl w:ilvl="1">
      <w:start w:val="1"/>
      <w:numFmt w:val="lowerLetter"/>
      <w:lvlText w:val="(%2)"/>
      <w:lvlJc w:val="left"/>
      <w:pPr>
        <w:ind w:left="720" w:hanging="720"/>
      </w:pPr>
    </w:lvl>
    <w:lvl w:ilvl="2">
      <w:start w:val="1"/>
      <w:numFmt w:val="lowerRoman"/>
      <w:lvlText w:val="(%3)"/>
      <w:lvlJc w:val="left"/>
      <w:pPr>
        <w:ind w:left="1440" w:hanging="720"/>
      </w:pPr>
    </w:lvl>
    <w:lvl w:ilvl="3">
      <w:start w:val="1"/>
      <w:numFmt w:val="upperLetter"/>
      <w:lvlText w:val="(%4)"/>
      <w:lvlJc w:val="left"/>
      <w:pPr>
        <w:ind w:left="2160" w:hanging="720"/>
      </w:pPr>
    </w:lvl>
    <w:lvl w:ilvl="4">
      <w:start w:val="1"/>
      <w:numFmt w:val="upperRoman"/>
      <w:lvlText w:val="%5."/>
      <w:lvlJc w:val="left"/>
      <w:pPr>
        <w:ind w:left="2880" w:hanging="720"/>
      </w:pPr>
    </w:lvl>
    <w:lvl w:ilvl="5">
      <w:start w:val="1"/>
      <w:numFmt w:val="none"/>
      <w:lvlText w:val="%6"/>
      <w:lvlJc w:val="left"/>
      <w:pPr>
        <w:ind w:left="1440" w:hanging="720"/>
      </w:pPr>
    </w:lvl>
    <w:lvl w:ilvl="6">
      <w:start w:val="1"/>
      <w:numFmt w:val="none"/>
      <w:lvlText w:val="%7"/>
      <w:lvlJc w:val="left"/>
      <w:pPr>
        <w:ind w:left="2160" w:hanging="720"/>
      </w:pPr>
    </w:lvl>
    <w:lvl w:ilvl="7">
      <w:start w:val="1"/>
      <w:numFmt w:val="none"/>
      <w:lvlText w:val="%8"/>
      <w:lvlJc w:val="left"/>
      <w:pPr>
        <w:ind w:left="2880" w:hanging="720"/>
      </w:pPr>
    </w:lvl>
    <w:lvl w:ilvl="8">
      <w:start w:val="1"/>
      <w:numFmt w:val="none"/>
      <w:lvlText w:val="%9"/>
      <w:lvlJc w:val="left"/>
      <w:pPr>
        <w:ind w:left="3600" w:hanging="720"/>
      </w:pPr>
    </w:lvl>
  </w:abstractNum>
  <w:abstractNum w:abstractNumId="15" w15:restartNumberingAfterBreak="0">
    <w:nsid w:val="713A00F4"/>
    <w:multiLevelType w:val="multilevel"/>
    <w:tmpl w:val="7D92E250"/>
    <w:styleLink w:val="LFO7"/>
    <w:lvl w:ilvl="0">
      <w:start w:val="1"/>
      <w:numFmt w:val="decimal"/>
      <w:pStyle w:val="TOC4"/>
      <w:lvlText w:val="%1."/>
      <w:lvlJc w:val="left"/>
      <w:pPr>
        <w:ind w:left="720" w:hanging="720"/>
      </w:pPr>
      <w:rPr>
        <w:rFonts w:ascii="Arial" w:hAnsi="Arial" w:cs="Times New Roman"/>
        <w:b w:val="0"/>
        <w:i w:val="0"/>
        <w:sz w:val="20"/>
      </w:rPr>
    </w:lvl>
    <w:lvl w:ilvl="1">
      <w:start w:val="1"/>
      <w:numFmt w:val="decimal"/>
      <w:lvlText w:val="Part %2"/>
      <w:lvlJc w:val="left"/>
      <w:pPr>
        <w:ind w:left="1797" w:hanging="1077"/>
      </w:pPr>
      <w:rPr>
        <w:rFonts w:ascii="Arial" w:hAnsi="Arial" w:cs="Times New Roman"/>
        <w:b w:val="0"/>
        <w:i w:val="0"/>
        <w:sz w:val="20"/>
      </w:rPr>
    </w:lvl>
    <w:lvl w:ilvl="2">
      <w:start w:val="1"/>
      <w:numFmt w:val="none"/>
      <w:suff w:val="nothing"/>
      <w:lvlText w:val="%3"/>
      <w:lvlJc w:val="left"/>
      <w:rPr>
        <w:rFonts w:ascii="Times New Roman" w:hAnsi="Times New Roman" w:cs="Times New Roman"/>
      </w:rPr>
    </w:lvl>
    <w:lvl w:ilvl="3">
      <w:start w:val="1"/>
      <w:numFmt w:val="none"/>
      <w:suff w:val="nothing"/>
      <w:lvlText w:val="%4"/>
      <w:lvlJc w:val="left"/>
      <w:rPr>
        <w:rFonts w:ascii="Times New Roman" w:hAnsi="Times New Roman" w:cs="Times New Roman"/>
      </w:rPr>
    </w:lvl>
    <w:lvl w:ilvl="4">
      <w:start w:val="1"/>
      <w:numFmt w:val="none"/>
      <w:suff w:val="nothing"/>
      <w:lvlText w:val="%5"/>
      <w:lvlJc w:val="left"/>
      <w:rPr>
        <w:rFonts w:ascii="Times New Roman" w:hAnsi="Times New Roman" w:cs="Times New Roman"/>
      </w:rPr>
    </w:lvl>
    <w:lvl w:ilvl="5">
      <w:start w:val="1"/>
      <w:numFmt w:val="none"/>
      <w:suff w:val="nothing"/>
      <w:lvlText w:val="%6"/>
      <w:lvlJc w:val="left"/>
      <w:rPr>
        <w:rFonts w:ascii="Times New Roman" w:hAnsi="Times New Roman" w:cs="Times New Roman"/>
      </w:rPr>
    </w:lvl>
    <w:lvl w:ilvl="6">
      <w:start w:val="1"/>
      <w:numFmt w:val="none"/>
      <w:suff w:val="nothing"/>
      <w:lvlText w:val="%7"/>
      <w:lvlJc w:val="left"/>
      <w:rPr>
        <w:rFonts w:ascii="Times New Roman" w:hAnsi="Times New Roman" w:cs="Times New Roman"/>
      </w:rPr>
    </w:lvl>
    <w:lvl w:ilvl="7">
      <w:start w:val="1"/>
      <w:numFmt w:val="none"/>
      <w:suff w:val="nothing"/>
      <w:lvlText w:val="%8"/>
      <w:lvlJc w:val="left"/>
      <w:rPr>
        <w:rFonts w:ascii="Times New Roman" w:hAnsi="Times New Roman" w:cs="Times New Roman"/>
      </w:rPr>
    </w:lvl>
    <w:lvl w:ilvl="8">
      <w:start w:val="1"/>
      <w:numFmt w:val="none"/>
      <w:suff w:val="nothing"/>
      <w:lvlText w:val="%9"/>
      <w:lvlJc w:val="left"/>
      <w:rPr>
        <w:rFonts w:ascii="Times New Roman" w:hAnsi="Times New Roman" w:cs="Times New Roman"/>
      </w:rPr>
    </w:lvl>
  </w:abstractNum>
  <w:abstractNum w:abstractNumId="16" w15:restartNumberingAfterBreak="0">
    <w:nsid w:val="7D1201B5"/>
    <w:multiLevelType w:val="multilevel"/>
    <w:tmpl w:val="7696EE9E"/>
    <w:styleLink w:val="LFO6"/>
    <w:lvl w:ilvl="0">
      <w:start w:val="1"/>
      <w:numFmt w:val="decimal"/>
      <w:pStyle w:val="TAQAGenNum1Para3"/>
      <w:lvlText w:val="%1."/>
      <w:lvlJc w:val="left"/>
      <w:pPr>
        <w:ind w:left="720" w:hanging="720"/>
      </w:pPr>
      <w:rPr>
        <w:caps w:val="0"/>
      </w:rPr>
    </w:lvl>
    <w:lvl w:ilvl="1">
      <w:start w:val="1"/>
      <w:numFmt w:val="decimal"/>
      <w:lvlText w:val="%1.%2"/>
      <w:lvlJc w:val="left"/>
      <w:pPr>
        <w:ind w:left="720" w:hanging="720"/>
      </w:pPr>
    </w:lvl>
    <w:lvl w:ilvl="2">
      <w:start w:val="1"/>
      <w:numFmt w:val="lowerLetter"/>
      <w:lvlText w:val="(%3)"/>
      <w:lvlJc w:val="left"/>
      <w:pPr>
        <w:ind w:left="720" w:hanging="720"/>
      </w:pPr>
    </w:lvl>
    <w:lvl w:ilvl="3">
      <w:start w:val="1"/>
      <w:numFmt w:val="lowerLetter"/>
      <w:lvlText w:val="(%4)"/>
      <w:lvlJc w:val="left"/>
      <w:pPr>
        <w:ind w:left="1440" w:hanging="720"/>
      </w:pPr>
    </w:lvl>
    <w:lvl w:ilvl="4">
      <w:start w:val="1"/>
      <w:numFmt w:val="lowerRoman"/>
      <w:lvlText w:val="(%5)"/>
      <w:lvlJc w:val="left"/>
      <w:pPr>
        <w:ind w:left="1440" w:hanging="720"/>
      </w:pPr>
    </w:lvl>
    <w:lvl w:ilvl="5">
      <w:start w:val="1"/>
      <w:numFmt w:val="upperRoman"/>
      <w:lvlText w:val="(%6)"/>
      <w:lvlJc w:val="left"/>
      <w:pPr>
        <w:ind w:left="2160" w:hanging="720"/>
      </w:pPr>
    </w:lvl>
    <w:lvl w:ilvl="6">
      <w:start w:val="1"/>
      <w:numFmt w:val="upperLetter"/>
      <w:lvlText w:val="(%7)"/>
      <w:lvlJc w:val="left"/>
      <w:pPr>
        <w:ind w:left="2160" w:hanging="720"/>
      </w:pPr>
    </w:lvl>
    <w:lvl w:ilvl="7">
      <w:start w:val="1"/>
      <w:numFmt w:val="upperLetter"/>
      <w:lvlText w:val="%8."/>
      <w:lvlJc w:val="left"/>
      <w:pPr>
        <w:ind w:left="2880" w:hanging="720"/>
      </w:pPr>
    </w:lvl>
    <w:lvl w:ilvl="8">
      <w:start w:val="1"/>
      <w:numFmt w:val="none"/>
      <w:suff w:val="nothing"/>
      <w:lvlText w:val="%9"/>
      <w:lvlJc w:val="left"/>
    </w:lvl>
  </w:abstractNum>
  <w:num w:numId="1" w16cid:durableId="2020037141">
    <w:abstractNumId w:val="9"/>
  </w:num>
  <w:num w:numId="2" w16cid:durableId="440958921">
    <w:abstractNumId w:val="0"/>
  </w:num>
  <w:num w:numId="3" w16cid:durableId="723918189">
    <w:abstractNumId w:val="11"/>
  </w:num>
  <w:num w:numId="4" w16cid:durableId="1510217787">
    <w:abstractNumId w:val="6"/>
  </w:num>
  <w:num w:numId="5" w16cid:durableId="280035850">
    <w:abstractNumId w:val="1"/>
  </w:num>
  <w:num w:numId="6" w16cid:durableId="649751523">
    <w:abstractNumId w:val="13"/>
  </w:num>
  <w:num w:numId="7" w16cid:durableId="1515534296">
    <w:abstractNumId w:val="16"/>
  </w:num>
  <w:num w:numId="8" w16cid:durableId="1717779663">
    <w:abstractNumId w:val="15"/>
  </w:num>
  <w:num w:numId="9" w16cid:durableId="736173245">
    <w:abstractNumId w:val="12"/>
  </w:num>
  <w:num w:numId="10" w16cid:durableId="1165710259">
    <w:abstractNumId w:val="2"/>
  </w:num>
  <w:num w:numId="11" w16cid:durableId="2086488676">
    <w:abstractNumId w:val="10"/>
  </w:num>
  <w:num w:numId="12" w16cid:durableId="782652487">
    <w:abstractNumId w:val="3"/>
  </w:num>
  <w:num w:numId="13" w16cid:durableId="807166863">
    <w:abstractNumId w:val="14"/>
  </w:num>
  <w:num w:numId="14" w16cid:durableId="856890788">
    <w:abstractNumId w:val="4"/>
  </w:num>
  <w:num w:numId="15" w16cid:durableId="2077049250">
    <w:abstractNumId w:val="5"/>
  </w:num>
  <w:num w:numId="16" w16cid:durableId="1885143259">
    <w:abstractNumId w:val="8"/>
  </w:num>
  <w:num w:numId="17" w16cid:durableId="1652296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842"/>
    <w:rsid w:val="00144CEE"/>
    <w:rsid w:val="00170925"/>
    <w:rsid w:val="00187DBE"/>
    <w:rsid w:val="001F31AB"/>
    <w:rsid w:val="0022137D"/>
    <w:rsid w:val="002E5857"/>
    <w:rsid w:val="003C1240"/>
    <w:rsid w:val="00476706"/>
    <w:rsid w:val="00702D8C"/>
    <w:rsid w:val="007232D7"/>
    <w:rsid w:val="007B7842"/>
    <w:rsid w:val="008A3160"/>
    <w:rsid w:val="009C1D79"/>
    <w:rsid w:val="009D3537"/>
    <w:rsid w:val="00BA3A2F"/>
    <w:rsid w:val="00BC4C50"/>
    <w:rsid w:val="00C03AE1"/>
    <w:rsid w:val="00D45C68"/>
    <w:rsid w:val="00DC4CFB"/>
    <w:rsid w:val="00E33743"/>
    <w:rsid w:val="00E4050A"/>
    <w:rsid w:val="00F12C9F"/>
    <w:rsid w:val="00F62AD6"/>
    <w:rsid w:val="00F64072"/>
    <w:rsid w:val="00F97BAE"/>
    <w:rsid w:val="00FD1235"/>
    <w:rsid w:val="00FE2D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67ABD"/>
  <w15:docId w15:val="{E060D940-71AE-426B-AADE-2A4BDF4DE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CFB"/>
    <w:pPr>
      <w:suppressAutoHyphens/>
      <w:jc w:val="both"/>
    </w:pPr>
    <w:rPr>
      <w:rFonts w:ascii="Times New Roman" w:hAnsi="Times New Roman"/>
      <w:sz w:val="24"/>
    </w:rPr>
  </w:style>
  <w:style w:type="paragraph" w:styleId="Heading1">
    <w:name w:val="heading 1"/>
    <w:basedOn w:val="Normal"/>
    <w:next w:val="Normal"/>
    <w:uiPriority w:val="9"/>
    <w:qFormat/>
    <w:rsid w:val="00DC4CFB"/>
    <w:pPr>
      <w:jc w:val="center"/>
      <w:outlineLvl w:val="0"/>
    </w:pPr>
    <w:rPr>
      <w:b/>
      <w:bCs/>
      <w:sz w:val="32"/>
      <w:szCs w:val="24"/>
    </w:rPr>
  </w:style>
  <w:style w:type="paragraph" w:styleId="Heading2">
    <w:name w:val="heading 2"/>
    <w:basedOn w:val="Normal"/>
    <w:next w:val="Normal"/>
    <w:uiPriority w:val="9"/>
    <w:semiHidden/>
    <w:unhideWhenUsed/>
    <w:qFormat/>
    <w:pPr>
      <w:keepNext/>
      <w:keepLines/>
      <w:spacing w:before="40"/>
      <w:outlineLvl w:val="1"/>
    </w:pPr>
    <w:rPr>
      <w:rFonts w:ascii="Calibri Light" w:eastAsia="DengXian Light" w:hAnsi="Calibri Light" w:cs="Times New Roman"/>
      <w:color w:val="0C0C18"/>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Light" w:eastAsia="DengXian Light" w:hAnsi="Calibri Light" w:cs="Times New Roman"/>
      <w:color w:val="080810"/>
      <w:szCs w:val="24"/>
    </w:rPr>
  </w:style>
  <w:style w:type="paragraph" w:styleId="Heading4">
    <w:name w:val="heading 4"/>
    <w:basedOn w:val="Normal"/>
    <w:next w:val="Normal"/>
    <w:uiPriority w:val="9"/>
    <w:semiHidden/>
    <w:unhideWhenUsed/>
    <w:qFormat/>
    <w:pPr>
      <w:keepNext/>
      <w:keepLines/>
      <w:spacing w:before="40"/>
      <w:outlineLvl w:val="3"/>
    </w:pPr>
    <w:rPr>
      <w:rFonts w:ascii="Calibri Light" w:eastAsia="DengXian Light" w:hAnsi="Calibri Light" w:cs="Times New Roman"/>
      <w:i/>
      <w:iCs/>
      <w:color w:val="0C0C18"/>
    </w:rPr>
  </w:style>
  <w:style w:type="paragraph" w:styleId="Heading5">
    <w:name w:val="heading 5"/>
    <w:basedOn w:val="Normal"/>
    <w:next w:val="Normal"/>
    <w:uiPriority w:val="9"/>
    <w:semiHidden/>
    <w:unhideWhenUsed/>
    <w:qFormat/>
    <w:pPr>
      <w:keepNext/>
      <w:keepLines/>
      <w:spacing w:before="40"/>
      <w:outlineLvl w:val="4"/>
    </w:pPr>
    <w:rPr>
      <w:rFonts w:ascii="Calibri Light" w:eastAsia="DengXian Light" w:hAnsi="Calibri Light" w:cs="Times New Roman"/>
      <w:color w:val="0C0C18"/>
    </w:rPr>
  </w:style>
  <w:style w:type="paragraph" w:styleId="Heading6">
    <w:name w:val="heading 6"/>
    <w:basedOn w:val="Normal"/>
    <w:next w:val="Normal"/>
    <w:uiPriority w:val="9"/>
    <w:semiHidden/>
    <w:unhideWhenUsed/>
    <w:qFormat/>
    <w:pPr>
      <w:keepNext/>
      <w:keepLines/>
      <w:spacing w:before="40"/>
      <w:outlineLvl w:val="5"/>
    </w:pPr>
    <w:rPr>
      <w:rFonts w:ascii="Calibri Light" w:eastAsia="DengXian Light" w:hAnsi="Calibri Light" w:cs="Times New Roman"/>
      <w:color w:val="080810"/>
    </w:rPr>
  </w:style>
  <w:style w:type="paragraph" w:styleId="Heading7">
    <w:name w:val="heading 7"/>
    <w:basedOn w:val="Normal"/>
    <w:next w:val="Normal"/>
    <w:pPr>
      <w:tabs>
        <w:tab w:val="left" w:pos="360"/>
      </w:tabs>
      <w:spacing w:before="240" w:line="260" w:lineRule="atLeast"/>
      <w:outlineLvl w:val="6"/>
    </w:pPr>
    <w:rPr>
      <w:rFonts w:eastAsia="Times New Roman" w:cs="Times New Roman"/>
      <w:iCs/>
      <w:sz w:val="22"/>
    </w:rPr>
  </w:style>
  <w:style w:type="paragraph" w:styleId="Heading8">
    <w:name w:val="heading 8"/>
    <w:basedOn w:val="Normal"/>
    <w:next w:val="Normal"/>
    <w:pPr>
      <w:tabs>
        <w:tab w:val="left" w:pos="360"/>
      </w:tabs>
      <w:spacing w:before="240" w:line="260" w:lineRule="atLeast"/>
      <w:outlineLvl w:val="7"/>
    </w:pPr>
    <w:rPr>
      <w:rFonts w:eastAsia="Times New Roman" w:cs="Times New Roman"/>
      <w:sz w:val="22"/>
    </w:rPr>
  </w:style>
  <w:style w:type="paragraph" w:styleId="Heading9">
    <w:name w:val="heading 9"/>
    <w:basedOn w:val="Normal"/>
    <w:next w:val="Normal"/>
    <w:pPr>
      <w:tabs>
        <w:tab w:val="left" w:pos="360"/>
      </w:tabs>
      <w:spacing w:before="240" w:line="260" w:lineRule="atLeast"/>
      <w:outlineLvl w:val="8"/>
    </w:pPr>
    <w:rPr>
      <w:rFonts w:eastAsia="Times New Roman" w:cs="Times New Roman"/>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paragraph" w:customStyle="1" w:styleId="TAQA1">
    <w:name w:val="TAQA(1)"/>
    <w:basedOn w:val="TAQANormal"/>
    <w:next w:val="TAQADoctxt"/>
    <w:pPr>
      <w:numPr>
        <w:numId w:val="1"/>
      </w:numPr>
      <w:spacing w:before="240" w:line="260" w:lineRule="atLeast"/>
      <w:outlineLvl w:val="0"/>
    </w:pPr>
  </w:style>
  <w:style w:type="paragraph" w:customStyle="1" w:styleId="TAQALevel2">
    <w:name w:val="TAQALevel2"/>
    <w:basedOn w:val="TAQALevel2Alt"/>
    <w:next w:val="TAQALevel3"/>
    <w:pPr>
      <w:keepNext/>
      <w:numPr>
        <w:ilvl w:val="1"/>
        <w:numId w:val="1"/>
      </w:numPr>
      <w:outlineLvl w:val="1"/>
    </w:pPr>
    <w:rPr>
      <w:b/>
    </w:rPr>
  </w:style>
  <w:style w:type="paragraph" w:customStyle="1" w:styleId="TAQALevel3">
    <w:name w:val="TAQALevel3"/>
    <w:basedOn w:val="TAQANormal"/>
    <w:pPr>
      <w:numPr>
        <w:ilvl w:val="2"/>
        <w:numId w:val="1"/>
      </w:numPr>
      <w:spacing w:before="240" w:line="260" w:lineRule="atLeast"/>
      <w:outlineLvl w:val="2"/>
    </w:pPr>
  </w:style>
  <w:style w:type="paragraph" w:customStyle="1" w:styleId="TAQALevel4">
    <w:name w:val="TAQALevel4"/>
    <w:basedOn w:val="TAQANormal"/>
    <w:pPr>
      <w:numPr>
        <w:ilvl w:val="3"/>
        <w:numId w:val="1"/>
      </w:numPr>
      <w:spacing w:before="240" w:line="260" w:lineRule="atLeast"/>
      <w:outlineLvl w:val="3"/>
    </w:pPr>
  </w:style>
  <w:style w:type="paragraph" w:customStyle="1" w:styleId="TAQALevel5">
    <w:name w:val="TAQALevel5"/>
    <w:basedOn w:val="TAQANormal"/>
    <w:pPr>
      <w:numPr>
        <w:ilvl w:val="4"/>
        <w:numId w:val="1"/>
      </w:numPr>
      <w:spacing w:before="240" w:line="260" w:lineRule="atLeast"/>
      <w:outlineLvl w:val="4"/>
    </w:pPr>
  </w:style>
  <w:style w:type="paragraph" w:customStyle="1" w:styleId="TAQADef">
    <w:name w:val="TAQADef"/>
    <w:basedOn w:val="TAQANormal"/>
    <w:pPr>
      <w:spacing w:before="240" w:line="260" w:lineRule="atLeast"/>
      <w:outlineLvl w:val="5"/>
    </w:pPr>
  </w:style>
  <w:style w:type="paragraph" w:customStyle="1" w:styleId="TAQADefPara1">
    <w:name w:val="TAQADefPara1"/>
    <w:basedOn w:val="TAQANormal"/>
    <w:pPr>
      <w:numPr>
        <w:ilvl w:val="6"/>
        <w:numId w:val="1"/>
      </w:numPr>
      <w:spacing w:before="240" w:line="260" w:lineRule="atLeast"/>
      <w:outlineLvl w:val="6"/>
    </w:pPr>
    <w:rPr>
      <w:lang w:val="es-ES"/>
    </w:rPr>
  </w:style>
  <w:style w:type="character" w:customStyle="1" w:styleId="Heading1Char">
    <w:name w:val="Heading 1 Char"/>
    <w:basedOn w:val="DefaultParagraphFont"/>
    <w:rPr>
      <w:rFonts w:ascii="Calibri Light" w:eastAsia="DengXian Light" w:hAnsi="Calibri Light" w:cs="Times New Roman"/>
      <w:color w:val="0C0C18"/>
      <w:sz w:val="32"/>
      <w:szCs w:val="32"/>
    </w:rPr>
  </w:style>
  <w:style w:type="character" w:customStyle="1" w:styleId="Heading2Char">
    <w:name w:val="Heading 2 Char"/>
    <w:basedOn w:val="DefaultParagraphFont"/>
    <w:rPr>
      <w:rFonts w:ascii="Calibri Light" w:eastAsia="DengXian Light" w:hAnsi="Calibri Light" w:cs="Times New Roman"/>
      <w:color w:val="0C0C18"/>
      <w:sz w:val="26"/>
      <w:szCs w:val="26"/>
    </w:rPr>
  </w:style>
  <w:style w:type="character" w:customStyle="1" w:styleId="Heading3Char">
    <w:name w:val="Heading 3 Char"/>
    <w:basedOn w:val="DefaultParagraphFont"/>
    <w:rPr>
      <w:rFonts w:ascii="Calibri Light" w:eastAsia="DengXian Light" w:hAnsi="Calibri Light" w:cs="Times New Roman"/>
      <w:color w:val="080810"/>
      <w:sz w:val="24"/>
      <w:szCs w:val="24"/>
    </w:rPr>
  </w:style>
  <w:style w:type="character" w:customStyle="1" w:styleId="Heading4Char">
    <w:name w:val="Heading 4 Char"/>
    <w:basedOn w:val="DefaultParagraphFont"/>
    <w:rPr>
      <w:rFonts w:ascii="Calibri Light" w:eastAsia="DengXian Light" w:hAnsi="Calibri Light" w:cs="Times New Roman"/>
      <w:i/>
      <w:iCs/>
      <w:color w:val="0C0C18"/>
      <w:sz w:val="20"/>
    </w:rPr>
  </w:style>
  <w:style w:type="character" w:customStyle="1" w:styleId="Heading5Char">
    <w:name w:val="Heading 5 Char"/>
    <w:basedOn w:val="DefaultParagraphFont"/>
    <w:rPr>
      <w:rFonts w:ascii="Calibri Light" w:eastAsia="DengXian Light" w:hAnsi="Calibri Light" w:cs="Times New Roman"/>
      <w:color w:val="0C0C18"/>
      <w:sz w:val="20"/>
    </w:rPr>
  </w:style>
  <w:style w:type="character" w:customStyle="1" w:styleId="Heading6Char">
    <w:name w:val="Heading 6 Char"/>
    <w:basedOn w:val="DefaultParagraphFont"/>
    <w:rPr>
      <w:rFonts w:ascii="Calibri Light" w:eastAsia="DengXian Light" w:hAnsi="Calibri Light" w:cs="Times New Roman"/>
      <w:color w:val="080810"/>
      <w:sz w:val="20"/>
    </w:rPr>
  </w:style>
  <w:style w:type="character" w:customStyle="1" w:styleId="Heading7Char">
    <w:name w:val="Heading 7 Char"/>
    <w:basedOn w:val="DefaultParagraphFont"/>
    <w:rPr>
      <w:rFonts w:ascii="Times New Roman" w:eastAsia="Times New Roman" w:hAnsi="Times New Roman" w:cs="Times New Roman"/>
      <w:iCs/>
    </w:rPr>
  </w:style>
  <w:style w:type="character" w:customStyle="1" w:styleId="Heading8Char">
    <w:name w:val="Heading 8 Char"/>
    <w:basedOn w:val="DefaultParagraphFont"/>
    <w:rPr>
      <w:rFonts w:ascii="Times New Roman" w:eastAsia="Times New Roman" w:hAnsi="Times New Roman" w:cs="Times New Roman"/>
      <w:szCs w:val="20"/>
    </w:rPr>
  </w:style>
  <w:style w:type="character" w:customStyle="1" w:styleId="Heading9Char">
    <w:name w:val="Heading 9 Char"/>
    <w:basedOn w:val="DefaultParagraphFont"/>
    <w:rPr>
      <w:rFonts w:ascii="Times New Roman" w:eastAsia="Times New Roman" w:hAnsi="Times New Roman" w:cs="Times New Roman"/>
      <w:iCs/>
      <w:szCs w:val="20"/>
    </w:rPr>
  </w:style>
  <w:style w:type="paragraph" w:styleId="Footer">
    <w:name w:val="footer"/>
    <w:basedOn w:val="Normal"/>
    <w:pPr>
      <w:tabs>
        <w:tab w:val="center" w:pos="4513"/>
        <w:tab w:val="right" w:pos="9026"/>
      </w:tabs>
    </w:pPr>
    <w:rPr>
      <w:sz w:val="16"/>
    </w:rPr>
  </w:style>
  <w:style w:type="character" w:customStyle="1" w:styleId="FooterChar">
    <w:name w:val="Footer Char"/>
    <w:basedOn w:val="DefaultParagraphFont"/>
    <w:rPr>
      <w:rFonts w:ascii="Arial" w:hAnsi="Arial"/>
      <w:sz w:val="16"/>
    </w:rPr>
  </w:style>
  <w:style w:type="paragraph" w:styleId="Header">
    <w:name w:val="header"/>
    <w:basedOn w:val="Normal"/>
    <w:pPr>
      <w:tabs>
        <w:tab w:val="center" w:pos="4513"/>
        <w:tab w:val="right" w:pos="9026"/>
      </w:tabs>
    </w:pPr>
    <w:rPr>
      <w:sz w:val="16"/>
    </w:rPr>
  </w:style>
  <w:style w:type="character" w:customStyle="1" w:styleId="HeaderChar">
    <w:name w:val="Header Char"/>
    <w:basedOn w:val="DefaultParagraphFont"/>
    <w:rPr>
      <w:rFonts w:ascii="Arial" w:hAnsi="Arial"/>
      <w:sz w:val="16"/>
    </w:rPr>
  </w:style>
  <w:style w:type="paragraph" w:customStyle="1" w:styleId="TAQANormal">
    <w:name w:val="TAQANormal"/>
    <w:basedOn w:val="Normal"/>
  </w:style>
  <w:style w:type="paragraph" w:customStyle="1" w:styleId="TAQADoctxt">
    <w:name w:val="TAQADoctxt"/>
    <w:basedOn w:val="TAQANormal"/>
    <w:pPr>
      <w:spacing w:before="240" w:line="260" w:lineRule="atLeast"/>
    </w:pPr>
  </w:style>
  <w:style w:type="paragraph" w:customStyle="1" w:styleId="TAQADoctxt1">
    <w:name w:val="TAQADoctxt1"/>
    <w:basedOn w:val="TAQANormal"/>
    <w:pPr>
      <w:spacing w:before="240" w:line="260" w:lineRule="atLeast"/>
      <w:ind w:left="720"/>
    </w:pPr>
  </w:style>
  <w:style w:type="paragraph" w:customStyle="1" w:styleId="TAQADoctxt2">
    <w:name w:val="TAQADoctxt2"/>
    <w:basedOn w:val="TAQANormal"/>
    <w:pPr>
      <w:spacing w:before="240" w:line="260" w:lineRule="atLeast"/>
      <w:ind w:left="1440"/>
    </w:pPr>
  </w:style>
  <w:style w:type="paragraph" w:customStyle="1" w:styleId="TAQADoctxt3">
    <w:name w:val="TAQADoctxt3"/>
    <w:basedOn w:val="TAQANormal"/>
    <w:pPr>
      <w:spacing w:before="240" w:line="260" w:lineRule="atLeast"/>
      <w:ind w:left="2160"/>
    </w:pPr>
  </w:style>
  <w:style w:type="paragraph" w:customStyle="1" w:styleId="TAQADoctxt4">
    <w:name w:val="TAQADoctxt4"/>
    <w:basedOn w:val="TAQANormal"/>
    <w:pPr>
      <w:spacing w:before="240" w:line="260" w:lineRule="atLeast"/>
      <w:ind w:left="2880"/>
    </w:pPr>
  </w:style>
  <w:style w:type="paragraph" w:customStyle="1" w:styleId="TAQADoctxt5">
    <w:name w:val="TAQADoctxt5"/>
    <w:basedOn w:val="TAQANormal"/>
    <w:pPr>
      <w:spacing w:before="240" w:line="260" w:lineRule="atLeast"/>
      <w:ind w:left="3600"/>
    </w:pPr>
  </w:style>
  <w:style w:type="paragraph" w:customStyle="1" w:styleId="TAQADoctxt6">
    <w:name w:val="TAQADoctxt6"/>
    <w:basedOn w:val="TAQANormal"/>
    <w:pPr>
      <w:spacing w:before="240" w:line="260" w:lineRule="atLeast"/>
      <w:ind w:left="4321"/>
    </w:pPr>
  </w:style>
  <w:style w:type="paragraph" w:customStyle="1" w:styleId="TAQADoctxt7">
    <w:name w:val="TAQADoctxt7"/>
    <w:basedOn w:val="TAQANormal"/>
    <w:pPr>
      <w:spacing w:before="240" w:line="260" w:lineRule="atLeast"/>
      <w:ind w:left="5041"/>
    </w:pPr>
  </w:style>
  <w:style w:type="paragraph" w:customStyle="1" w:styleId="TAQADoctxt8">
    <w:name w:val="TAQADoctxt8"/>
    <w:basedOn w:val="TAQANormal"/>
    <w:pPr>
      <w:spacing w:before="240" w:line="260" w:lineRule="atLeast"/>
      <w:ind w:left="5761"/>
    </w:pPr>
  </w:style>
  <w:style w:type="paragraph" w:customStyle="1" w:styleId="TAQAA">
    <w:name w:val="TAQA(A)"/>
    <w:basedOn w:val="TAQANormal"/>
    <w:next w:val="TAQADoctxt"/>
    <w:pPr>
      <w:numPr>
        <w:numId w:val="3"/>
      </w:numPr>
      <w:spacing w:before="240" w:line="260" w:lineRule="atLeast"/>
      <w:outlineLvl w:val="0"/>
    </w:pPr>
  </w:style>
  <w:style w:type="paragraph" w:customStyle="1" w:styleId="TAQAFPCopyright">
    <w:name w:val="TAQAFPCopyright"/>
    <w:basedOn w:val="TAQANormal"/>
    <w:pPr>
      <w:spacing w:line="260" w:lineRule="atLeast"/>
    </w:pPr>
    <w:rPr>
      <w:b/>
    </w:rPr>
  </w:style>
  <w:style w:type="paragraph" w:customStyle="1" w:styleId="TAQAFPTitle">
    <w:name w:val="TAQAFPTitle"/>
    <w:basedOn w:val="TAQANormal"/>
    <w:pPr>
      <w:spacing w:line="260" w:lineRule="atLeast"/>
      <w:jc w:val="center"/>
    </w:pPr>
    <w:rPr>
      <w:b/>
      <w:sz w:val="32"/>
      <w:szCs w:val="32"/>
    </w:rPr>
  </w:style>
  <w:style w:type="paragraph" w:customStyle="1" w:styleId="TAQAFPTxt">
    <w:name w:val="TAQAFPTxt"/>
    <w:basedOn w:val="TAQADoctxt"/>
    <w:pPr>
      <w:jc w:val="center"/>
    </w:pPr>
    <w:rPr>
      <w:b/>
    </w:rPr>
  </w:style>
  <w:style w:type="paragraph" w:customStyle="1" w:styleId="TAQALevel1">
    <w:name w:val="TAQALevel1"/>
    <w:basedOn w:val="TAQANormal"/>
    <w:next w:val="TAQADoctxt1"/>
    <w:pPr>
      <w:keepNext/>
      <w:spacing w:before="240" w:line="260" w:lineRule="atLeast"/>
      <w:outlineLvl w:val="0"/>
    </w:pPr>
    <w:rPr>
      <w:b/>
      <w:caps/>
    </w:rPr>
  </w:style>
  <w:style w:type="paragraph" w:customStyle="1" w:styleId="TAQALevel6">
    <w:name w:val="TAQALevel6"/>
    <w:basedOn w:val="Normal"/>
    <w:pPr>
      <w:spacing w:before="240" w:line="260" w:lineRule="exact"/>
    </w:pPr>
  </w:style>
  <w:style w:type="paragraph" w:customStyle="1" w:styleId="TAQADefPara2">
    <w:name w:val="TAQADefPara2"/>
    <w:basedOn w:val="TAQANormal"/>
    <w:pPr>
      <w:spacing w:before="240" w:line="260" w:lineRule="atLeast"/>
    </w:pPr>
  </w:style>
  <w:style w:type="paragraph" w:customStyle="1" w:styleId="TAQADefPara4">
    <w:name w:val="TAQADefPara4"/>
    <w:basedOn w:val="TAQANormal"/>
    <w:pPr>
      <w:spacing w:before="240" w:line="260" w:lineRule="atLeast"/>
    </w:pPr>
  </w:style>
  <w:style w:type="paragraph" w:customStyle="1" w:styleId="TAQADefPara3">
    <w:name w:val="TAQADefPara3"/>
    <w:basedOn w:val="TAQANormal"/>
    <w:pPr>
      <w:spacing w:before="240" w:line="260" w:lineRule="atLeast"/>
    </w:pPr>
  </w:style>
  <w:style w:type="paragraph" w:customStyle="1" w:styleId="TAQADefPara5">
    <w:name w:val="TAQADefPara5"/>
    <w:basedOn w:val="TAQANormal"/>
    <w:pPr>
      <w:numPr>
        <w:numId w:val="5"/>
      </w:numPr>
      <w:spacing w:before="240" w:line="260" w:lineRule="atLeast"/>
    </w:pPr>
    <w:rPr>
      <w:lang w:val="es-ES"/>
    </w:rPr>
  </w:style>
  <w:style w:type="paragraph" w:customStyle="1" w:styleId="TAQABullet1">
    <w:name w:val="TAQABullet1"/>
    <w:basedOn w:val="TAQANormal"/>
    <w:pPr>
      <w:spacing w:before="240" w:line="260" w:lineRule="atLeast"/>
    </w:pPr>
  </w:style>
  <w:style w:type="paragraph" w:customStyle="1" w:styleId="TAQABullet2">
    <w:name w:val="TAQABullet2"/>
    <w:basedOn w:val="TAQANormal"/>
    <w:pPr>
      <w:spacing w:before="240" w:line="260" w:lineRule="atLeast"/>
    </w:pPr>
  </w:style>
  <w:style w:type="paragraph" w:customStyle="1" w:styleId="TAQABullet3">
    <w:name w:val="TAQABullet3"/>
    <w:basedOn w:val="TAQANormal"/>
    <w:pPr>
      <w:spacing w:before="240" w:line="260" w:lineRule="atLeast"/>
    </w:pPr>
  </w:style>
  <w:style w:type="paragraph" w:customStyle="1" w:styleId="TAQABullet4">
    <w:name w:val="TAQABullet4"/>
    <w:basedOn w:val="TAQANormal"/>
    <w:pPr>
      <w:numPr>
        <w:numId w:val="6"/>
      </w:numPr>
      <w:spacing w:before="240" w:line="260" w:lineRule="atLeast"/>
    </w:pPr>
  </w:style>
  <w:style w:type="paragraph" w:customStyle="1" w:styleId="TAQAGenNum1">
    <w:name w:val="TAQAGenNum1"/>
    <w:basedOn w:val="TAQADoctxt"/>
    <w:next w:val="TAQADoctxt1"/>
    <w:pPr>
      <w:keepNext/>
      <w:outlineLvl w:val="0"/>
    </w:pPr>
    <w:rPr>
      <w:b/>
    </w:rPr>
  </w:style>
  <w:style w:type="paragraph" w:customStyle="1" w:styleId="TAQAGenNum1Para2Alt">
    <w:name w:val="TAQAGenNum1Para2Alt"/>
    <w:basedOn w:val="TAQADoctxt"/>
    <w:pPr>
      <w:outlineLvl w:val="1"/>
    </w:pPr>
  </w:style>
  <w:style w:type="paragraph" w:customStyle="1" w:styleId="TAQAGenNum1Para4">
    <w:name w:val="TAQAGenNum1Para4"/>
    <w:basedOn w:val="TAQADoctxt"/>
    <w:pPr>
      <w:outlineLvl w:val="2"/>
    </w:pPr>
  </w:style>
  <w:style w:type="paragraph" w:customStyle="1" w:styleId="TAQAGenNum1Para5">
    <w:name w:val="TAQAGenNum1Para5"/>
    <w:basedOn w:val="TAQADoctxt"/>
    <w:pPr>
      <w:outlineLvl w:val="2"/>
    </w:pPr>
  </w:style>
  <w:style w:type="paragraph" w:customStyle="1" w:styleId="TAQAGenNum1Para6">
    <w:name w:val="TAQAGenNum1Para6"/>
    <w:basedOn w:val="TAQADoctxt"/>
    <w:pPr>
      <w:outlineLvl w:val="3"/>
    </w:pPr>
  </w:style>
  <w:style w:type="paragraph" w:customStyle="1" w:styleId="TAQAGenNum1Para7">
    <w:name w:val="TAQAGenNum1Para7"/>
    <w:basedOn w:val="TAQADoctxt"/>
    <w:pPr>
      <w:outlineLvl w:val="3"/>
    </w:pPr>
  </w:style>
  <w:style w:type="paragraph" w:customStyle="1" w:styleId="TAQAGenNum1Para8">
    <w:name w:val="TAQAGenNum1Para8"/>
    <w:basedOn w:val="TAQADoctxt"/>
    <w:pPr>
      <w:outlineLvl w:val="4"/>
    </w:pPr>
  </w:style>
  <w:style w:type="paragraph" w:customStyle="1" w:styleId="TAQAGenNum1Para2">
    <w:name w:val="TAQAGenNum1Para2"/>
    <w:basedOn w:val="TAQAGenNum1Para2Alt"/>
    <w:next w:val="TAQAGenNum1Para3"/>
    <w:pPr>
      <w:keepNext/>
    </w:pPr>
    <w:rPr>
      <w:b/>
    </w:rPr>
  </w:style>
  <w:style w:type="paragraph" w:customStyle="1" w:styleId="TAQASchHead">
    <w:name w:val="TAQASchHead"/>
    <w:basedOn w:val="TAQANormal"/>
    <w:next w:val="TAQASCHTitle"/>
    <w:pPr>
      <w:pageBreakBefore/>
      <w:spacing w:before="240" w:line="260" w:lineRule="atLeast"/>
      <w:jc w:val="center"/>
      <w:outlineLvl w:val="0"/>
    </w:pPr>
    <w:rPr>
      <w:caps/>
    </w:rPr>
  </w:style>
  <w:style w:type="paragraph" w:customStyle="1" w:styleId="TAQASCHTitle">
    <w:name w:val="TAQASCHTitle"/>
    <w:basedOn w:val="TAQANormal"/>
    <w:next w:val="TAQADoctxt"/>
    <w:pPr>
      <w:spacing w:before="240" w:line="260" w:lineRule="atLeast"/>
      <w:jc w:val="center"/>
      <w:outlineLvl w:val="0"/>
    </w:pPr>
    <w:rPr>
      <w:b/>
      <w:caps/>
    </w:rPr>
  </w:style>
  <w:style w:type="paragraph" w:customStyle="1" w:styleId="TAQASCHPartHead">
    <w:name w:val="TAQASCHPartHead"/>
    <w:basedOn w:val="TAQANormal"/>
    <w:next w:val="TAQASCHPartTitle"/>
    <w:pPr>
      <w:numPr>
        <w:numId w:val="14"/>
      </w:numPr>
      <w:spacing w:before="240" w:line="260" w:lineRule="atLeast"/>
      <w:jc w:val="center"/>
      <w:outlineLvl w:val="1"/>
    </w:pPr>
    <w:rPr>
      <w:caps/>
    </w:rPr>
  </w:style>
  <w:style w:type="paragraph" w:customStyle="1" w:styleId="TAQASCHPartTitle">
    <w:name w:val="TAQASCHPartTitle"/>
    <w:basedOn w:val="TAQANormal"/>
    <w:next w:val="TAQADoctxt"/>
    <w:pPr>
      <w:spacing w:before="240" w:line="260" w:lineRule="atLeast"/>
      <w:jc w:val="center"/>
      <w:outlineLvl w:val="1"/>
    </w:pPr>
    <w:rPr>
      <w:b/>
      <w:caps/>
    </w:rPr>
  </w:style>
  <w:style w:type="paragraph" w:customStyle="1" w:styleId="TAQAANXHead">
    <w:name w:val="TAQAANXHead"/>
    <w:basedOn w:val="TAQANormal"/>
    <w:pPr>
      <w:pageBreakBefore/>
      <w:spacing w:before="240" w:line="260" w:lineRule="atLeast"/>
      <w:jc w:val="center"/>
      <w:outlineLvl w:val="0"/>
    </w:pPr>
    <w:rPr>
      <w:caps/>
    </w:rPr>
  </w:style>
  <w:style w:type="paragraph" w:customStyle="1" w:styleId="TAQAANXTitle">
    <w:name w:val="TAQAANXTitle"/>
    <w:basedOn w:val="TAQANormal"/>
    <w:next w:val="TAQADoctxt"/>
    <w:pPr>
      <w:spacing w:before="240" w:line="260" w:lineRule="atLeast"/>
      <w:jc w:val="center"/>
      <w:outlineLvl w:val="0"/>
    </w:pPr>
    <w:rPr>
      <w:b/>
      <w:caps/>
    </w:rPr>
  </w:style>
  <w:style w:type="paragraph" w:customStyle="1" w:styleId="TAQAANXParthead">
    <w:name w:val="TAQAANXParthead"/>
    <w:basedOn w:val="TAQANormal"/>
    <w:pPr>
      <w:numPr>
        <w:numId w:val="11"/>
      </w:numPr>
      <w:spacing w:before="240" w:line="260" w:lineRule="atLeast"/>
      <w:jc w:val="center"/>
      <w:outlineLvl w:val="1"/>
    </w:pPr>
    <w:rPr>
      <w:caps/>
    </w:rPr>
  </w:style>
  <w:style w:type="paragraph" w:customStyle="1" w:styleId="TAQAANXPartTitle">
    <w:name w:val="TAQAANXPartTitle"/>
    <w:basedOn w:val="TAQANormal"/>
    <w:next w:val="TAQADoctxt"/>
    <w:pPr>
      <w:spacing w:before="240" w:line="260" w:lineRule="atLeast"/>
      <w:jc w:val="center"/>
      <w:outlineLvl w:val="1"/>
    </w:pPr>
    <w:rPr>
      <w:b/>
      <w:caps/>
    </w:rPr>
  </w:style>
  <w:style w:type="paragraph" w:customStyle="1" w:styleId="TAQAAPPHead">
    <w:name w:val="TAQAAPPHead"/>
    <w:basedOn w:val="TAQANormal"/>
    <w:pPr>
      <w:pageBreakBefore/>
      <w:spacing w:before="240" w:line="260" w:lineRule="atLeast"/>
      <w:jc w:val="center"/>
      <w:outlineLvl w:val="0"/>
    </w:pPr>
    <w:rPr>
      <w:caps/>
    </w:rPr>
  </w:style>
  <w:style w:type="paragraph" w:customStyle="1" w:styleId="TAQAAPPTitle">
    <w:name w:val="TAQAAPPTitle"/>
    <w:basedOn w:val="TAQANormal"/>
    <w:pPr>
      <w:spacing w:before="240" w:line="260" w:lineRule="atLeast"/>
      <w:jc w:val="center"/>
      <w:outlineLvl w:val="0"/>
    </w:pPr>
    <w:rPr>
      <w:b/>
      <w:caps/>
    </w:rPr>
  </w:style>
  <w:style w:type="paragraph" w:customStyle="1" w:styleId="TAQAAPPPartHead">
    <w:name w:val="TAQAAPPPartHead"/>
    <w:basedOn w:val="TAQANormal"/>
    <w:pPr>
      <w:numPr>
        <w:numId w:val="12"/>
      </w:numPr>
      <w:spacing w:before="240" w:line="260" w:lineRule="atLeast"/>
      <w:jc w:val="center"/>
      <w:outlineLvl w:val="1"/>
    </w:pPr>
    <w:rPr>
      <w:caps/>
    </w:rPr>
  </w:style>
  <w:style w:type="paragraph" w:customStyle="1" w:styleId="TAQAAPPPartTitle">
    <w:name w:val="TAQAAPPPartTitle"/>
    <w:basedOn w:val="TAQANormal"/>
    <w:next w:val="TAQADoctxt"/>
    <w:pPr>
      <w:spacing w:before="240" w:line="260" w:lineRule="atLeast"/>
      <w:jc w:val="center"/>
      <w:outlineLvl w:val="1"/>
    </w:pPr>
    <w:rPr>
      <w:b/>
      <w:caps/>
    </w:rPr>
  </w:style>
  <w:style w:type="paragraph" w:customStyle="1" w:styleId="TAQAHEADING1">
    <w:name w:val="TAQAHEADING1"/>
    <w:basedOn w:val="TAQADoctxt"/>
    <w:next w:val="TAQADoctxt"/>
    <w:pPr>
      <w:outlineLvl w:val="0"/>
    </w:pPr>
    <w:rPr>
      <w:b/>
      <w:caps/>
    </w:rPr>
  </w:style>
  <w:style w:type="paragraph" w:customStyle="1" w:styleId="TAQAHeading2">
    <w:name w:val="TAQAHeading2"/>
    <w:basedOn w:val="TAQADoctxt"/>
    <w:next w:val="TAQADoctxt"/>
    <w:pPr>
      <w:outlineLvl w:val="1"/>
    </w:pPr>
    <w:rPr>
      <w:b/>
    </w:rPr>
  </w:style>
  <w:style w:type="paragraph" w:customStyle="1" w:styleId="TAQAHeading3">
    <w:name w:val="TAQAHeading3"/>
    <w:basedOn w:val="TAQADoctxt"/>
    <w:next w:val="TAQADoctxt1"/>
    <w:pPr>
      <w:ind w:left="720"/>
      <w:outlineLvl w:val="2"/>
    </w:pPr>
    <w:rPr>
      <w:b/>
    </w:rPr>
  </w:style>
  <w:style w:type="paragraph" w:customStyle="1" w:styleId="TAQAHeading4">
    <w:name w:val="TAQAHeading4"/>
    <w:basedOn w:val="TAQADoctxt"/>
    <w:next w:val="TAQADoctxt"/>
    <w:pPr>
      <w:outlineLvl w:val="3"/>
    </w:pPr>
    <w:rPr>
      <w:i/>
    </w:rPr>
  </w:style>
  <w:style w:type="paragraph" w:customStyle="1" w:styleId="TAQAHeading5">
    <w:name w:val="TAQAHeading5"/>
    <w:basedOn w:val="TAQADoctxt"/>
    <w:next w:val="TAQADoctxt1"/>
    <w:pPr>
      <w:ind w:left="720"/>
      <w:outlineLvl w:val="4"/>
    </w:pPr>
    <w:rPr>
      <w:i/>
    </w:rPr>
  </w:style>
  <w:style w:type="paragraph" w:customStyle="1" w:styleId="TAQAHeading6">
    <w:name w:val="TAQAHeading6"/>
    <w:basedOn w:val="TAQADoctxt"/>
    <w:next w:val="TAQADoctxt"/>
    <w:pPr>
      <w:outlineLvl w:val="5"/>
    </w:pPr>
    <w:rPr>
      <w:b/>
      <w:i/>
    </w:rPr>
  </w:style>
  <w:style w:type="paragraph" w:customStyle="1" w:styleId="TAQAHeading7">
    <w:name w:val="TAQAHeading7"/>
    <w:basedOn w:val="TAQADoctxt"/>
    <w:next w:val="TAQADoctxt1"/>
    <w:pPr>
      <w:ind w:left="720"/>
      <w:outlineLvl w:val="6"/>
    </w:pPr>
    <w:rPr>
      <w:b/>
      <w:i/>
    </w:rPr>
  </w:style>
  <w:style w:type="paragraph" w:styleId="TOC1">
    <w:name w:val="toc 1"/>
    <w:basedOn w:val="Normal"/>
    <w:next w:val="Normal"/>
    <w:autoRedefine/>
    <w:pPr>
      <w:tabs>
        <w:tab w:val="left" w:pos="432"/>
        <w:tab w:val="right" w:leader="dot" w:pos="4608"/>
      </w:tabs>
      <w:spacing w:line="260" w:lineRule="atLeast"/>
      <w:ind w:left="432" w:hanging="432"/>
    </w:pPr>
  </w:style>
  <w:style w:type="paragraph" w:styleId="TOC2">
    <w:name w:val="toc 2"/>
    <w:basedOn w:val="Normal"/>
    <w:next w:val="Normal"/>
    <w:autoRedefine/>
    <w:pPr>
      <w:tabs>
        <w:tab w:val="left" w:pos="432"/>
        <w:tab w:val="right" w:leader="dot" w:pos="4608"/>
      </w:tabs>
      <w:bidi/>
      <w:spacing w:line="260" w:lineRule="atLeast"/>
    </w:pPr>
  </w:style>
  <w:style w:type="character" w:styleId="Hyperlink">
    <w:name w:val="Hyperlink"/>
    <w:basedOn w:val="DefaultParagraphFont"/>
    <w:rPr>
      <w:color w:val="08C2C2"/>
      <w:u w:val="single"/>
    </w:rPr>
  </w:style>
  <w:style w:type="paragraph" w:customStyle="1" w:styleId="TAQATOCHeading">
    <w:name w:val="TAQATOCHeading"/>
    <w:basedOn w:val="TAQANormal"/>
    <w:pPr>
      <w:tabs>
        <w:tab w:val="right" w:pos="9611"/>
      </w:tabs>
      <w:spacing w:before="240" w:after="240" w:line="260" w:lineRule="atLeast"/>
    </w:pPr>
    <w:rPr>
      <w:b/>
    </w:rPr>
  </w:style>
  <w:style w:type="paragraph" w:styleId="TOC3">
    <w:name w:val="toc 3"/>
    <w:basedOn w:val="Normal"/>
    <w:next w:val="Normal"/>
    <w:autoRedefine/>
    <w:pPr>
      <w:tabs>
        <w:tab w:val="left" w:pos="0"/>
        <w:tab w:val="right" w:leader="dot" w:pos="8919"/>
      </w:tabs>
      <w:spacing w:line="260" w:lineRule="atLeast"/>
    </w:pPr>
  </w:style>
  <w:style w:type="paragraph" w:styleId="TOC4">
    <w:name w:val="toc 4"/>
    <w:basedOn w:val="Normal"/>
    <w:next w:val="Normal"/>
    <w:autoRedefine/>
    <w:pPr>
      <w:numPr>
        <w:numId w:val="8"/>
      </w:numPr>
      <w:tabs>
        <w:tab w:val="right" w:leader="dot" w:pos="7122"/>
      </w:tabs>
      <w:spacing w:line="260" w:lineRule="atLeast"/>
    </w:pPr>
  </w:style>
  <w:style w:type="paragraph" w:styleId="TOC6">
    <w:name w:val="toc 6"/>
    <w:basedOn w:val="Normal"/>
    <w:next w:val="Normal"/>
    <w:autoRedefine/>
    <w:pPr>
      <w:tabs>
        <w:tab w:val="left" w:pos="0"/>
        <w:tab w:val="right" w:leader="dot" w:pos="8919"/>
      </w:tabs>
      <w:spacing w:line="260" w:lineRule="atLeast"/>
    </w:pPr>
  </w:style>
  <w:style w:type="paragraph" w:styleId="TOC7">
    <w:name w:val="toc 7"/>
    <w:basedOn w:val="Normal"/>
    <w:next w:val="Normal"/>
    <w:autoRedefine/>
    <w:pPr>
      <w:numPr>
        <w:numId w:val="9"/>
      </w:numPr>
      <w:tabs>
        <w:tab w:val="left" w:pos="-720"/>
        <w:tab w:val="right" w:leader="dot" w:pos="7122"/>
      </w:tabs>
      <w:spacing w:line="260" w:lineRule="atLeast"/>
    </w:pPr>
  </w:style>
  <w:style w:type="paragraph" w:styleId="TOC8">
    <w:name w:val="toc 8"/>
    <w:basedOn w:val="Normal"/>
    <w:next w:val="Normal"/>
    <w:autoRedefine/>
    <w:pPr>
      <w:tabs>
        <w:tab w:val="left" w:pos="0"/>
        <w:tab w:val="right" w:leader="dot" w:pos="8919"/>
      </w:tabs>
      <w:spacing w:line="260" w:lineRule="atLeast"/>
    </w:pPr>
  </w:style>
  <w:style w:type="paragraph" w:styleId="TOC9">
    <w:name w:val="toc 9"/>
    <w:basedOn w:val="Normal"/>
    <w:next w:val="Normal"/>
    <w:autoRedefine/>
    <w:pPr>
      <w:numPr>
        <w:numId w:val="10"/>
      </w:numPr>
      <w:tabs>
        <w:tab w:val="left" w:pos="-720"/>
        <w:tab w:val="right" w:leader="dot" w:pos="7122"/>
      </w:tabs>
      <w:spacing w:line="260" w:lineRule="atLeast"/>
    </w:pPr>
  </w:style>
  <w:style w:type="paragraph" w:styleId="FootnoteText">
    <w:name w:val="footnote text"/>
    <w:basedOn w:val="Normal"/>
    <w:pPr>
      <w:ind w:left="720" w:hanging="720"/>
    </w:pPr>
    <w:rPr>
      <w:sz w:val="16"/>
    </w:rPr>
  </w:style>
  <w:style w:type="character" w:customStyle="1" w:styleId="FootnoteTextChar">
    <w:name w:val="Footnote Text Char"/>
    <w:basedOn w:val="DefaultParagraphFont"/>
    <w:rPr>
      <w:rFonts w:ascii="Arial" w:hAnsi="Arial"/>
      <w:sz w:val="16"/>
      <w:szCs w:val="20"/>
    </w:rPr>
  </w:style>
  <w:style w:type="character" w:styleId="FootnoteReference">
    <w:name w:val="footnote reference"/>
    <w:basedOn w:val="DefaultParagraphFont"/>
    <w:rPr>
      <w:position w:val="0"/>
      <w:vertAlign w:val="superscript"/>
    </w:rPr>
  </w:style>
  <w:style w:type="paragraph" w:customStyle="1" w:styleId="TAQASignatory">
    <w:name w:val="TAQASignatory"/>
    <w:basedOn w:val="TAQANormal"/>
    <w:next w:val="TAQADoctxt"/>
    <w:pPr>
      <w:pageBreakBefore/>
      <w:spacing w:before="240" w:after="240" w:line="260" w:lineRule="atLeast"/>
      <w:jc w:val="center"/>
      <w:outlineLvl w:val="0"/>
    </w:pPr>
    <w:rPr>
      <w:b/>
      <w:caps/>
    </w:rPr>
  </w:style>
  <w:style w:type="paragraph" w:styleId="TOC5">
    <w:name w:val="toc 5"/>
    <w:basedOn w:val="Normal"/>
    <w:next w:val="Normal"/>
    <w:autoRedefine/>
    <w:pPr>
      <w:tabs>
        <w:tab w:val="left" w:leader="dot" w:pos="4320"/>
      </w:tabs>
      <w:bidi/>
      <w:spacing w:before="240" w:after="240" w:line="260" w:lineRule="atLeast"/>
    </w:pPr>
  </w:style>
  <w:style w:type="paragraph" w:customStyle="1" w:styleId="TAQALevel2Alt">
    <w:name w:val="TAQALevel2Alt"/>
    <w:basedOn w:val="TAQANormal"/>
    <w:pPr>
      <w:numPr>
        <w:numId w:val="4"/>
      </w:numPr>
      <w:spacing w:before="240" w:line="260" w:lineRule="atLeast"/>
    </w:pPr>
  </w:style>
  <w:style w:type="paragraph" w:customStyle="1" w:styleId="TAQAListNumber">
    <w:name w:val="TAQAListNumber"/>
    <w:basedOn w:val="TAQADoctxt"/>
    <w:pPr>
      <w:outlineLvl w:val="0"/>
    </w:pPr>
  </w:style>
  <w:style w:type="paragraph" w:customStyle="1" w:styleId="TAQAListNumber1">
    <w:name w:val="TAQAListNumber1"/>
    <w:basedOn w:val="TAQADoctxt"/>
    <w:pPr>
      <w:outlineLvl w:val="1"/>
    </w:pPr>
  </w:style>
  <w:style w:type="paragraph" w:customStyle="1" w:styleId="TAQAListNumber2">
    <w:name w:val="TAQAListNumber2"/>
    <w:basedOn w:val="TAQADoctxt"/>
    <w:pPr>
      <w:outlineLvl w:val="2"/>
    </w:pPr>
  </w:style>
  <w:style w:type="paragraph" w:customStyle="1" w:styleId="TAQAListNumber3">
    <w:name w:val="TAQAListNumber3"/>
    <w:basedOn w:val="TAQADoctxt"/>
    <w:pPr>
      <w:outlineLvl w:val="3"/>
    </w:pPr>
  </w:style>
  <w:style w:type="paragraph" w:customStyle="1" w:styleId="TAQAListNumber4">
    <w:name w:val="TAQAListNumber4"/>
    <w:basedOn w:val="TAQADoctxt"/>
    <w:pPr>
      <w:numPr>
        <w:numId w:val="13"/>
      </w:numPr>
      <w:outlineLvl w:val="4"/>
    </w:pPr>
  </w:style>
  <w:style w:type="paragraph" w:styleId="CommentText">
    <w:name w:val="annotation text"/>
    <w:basedOn w:val="Normal"/>
    <w:rPr>
      <w:rFonts w:cs="Times New Roman"/>
    </w:rPr>
  </w:style>
  <w:style w:type="character" w:customStyle="1" w:styleId="CommentTextChar">
    <w:name w:val="Comment Text Char"/>
    <w:basedOn w:val="DefaultParagraphFont"/>
    <w:rPr>
      <w:rFonts w:ascii="Times New Roman" w:hAnsi="Times New Roman" w:cs="Times New Roman"/>
      <w:sz w:val="20"/>
      <w:szCs w:val="20"/>
    </w:rPr>
  </w:style>
  <w:style w:type="paragraph" w:styleId="BodyTextIndent">
    <w:name w:val="Body Text Indent"/>
    <w:basedOn w:val="Normal"/>
    <w:pPr>
      <w:spacing w:after="120"/>
      <w:ind w:left="360"/>
    </w:pPr>
    <w:rPr>
      <w:rFonts w:cs="Times New Roman"/>
      <w:sz w:val="22"/>
    </w:rPr>
  </w:style>
  <w:style w:type="character" w:customStyle="1" w:styleId="BodyTextIndentChar">
    <w:name w:val="Body Text Indent Char"/>
    <w:basedOn w:val="DefaultParagraphFont"/>
    <w:rPr>
      <w:rFonts w:ascii="Times New Roman" w:hAnsi="Times New Roman" w:cs="Times New Roman"/>
    </w:rPr>
  </w:style>
  <w:style w:type="paragraph" w:styleId="EndnoteText">
    <w:name w:val="endnote text"/>
    <w:basedOn w:val="Normal"/>
    <w:pPr>
      <w:ind w:hanging="720"/>
    </w:pPr>
    <w:rPr>
      <w:rFonts w:cs="Times New Roman"/>
      <w:sz w:val="16"/>
    </w:rPr>
  </w:style>
  <w:style w:type="character" w:customStyle="1" w:styleId="EndnoteTextChar">
    <w:name w:val="Endnote Text Char"/>
    <w:basedOn w:val="DefaultParagraphFont"/>
    <w:rPr>
      <w:rFonts w:ascii="Times New Roman" w:hAnsi="Times New Roman" w:cs="Times New Roman"/>
      <w:sz w:val="16"/>
      <w:szCs w:val="20"/>
    </w:rPr>
  </w:style>
  <w:style w:type="paragraph" w:styleId="TOCHeading">
    <w:name w:val="TOC Heading"/>
    <w:basedOn w:val="Heading1"/>
    <w:next w:val="Normal"/>
    <w:pPr>
      <w:spacing w:before="480" w:line="276" w:lineRule="auto"/>
    </w:pPr>
    <w:rPr>
      <w:b w:val="0"/>
      <w:bCs w:val="0"/>
      <w:sz w:val="28"/>
      <w:szCs w:val="28"/>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ListParagraph">
    <w:name w:val="List Paragraph"/>
    <w:basedOn w:val="Normal"/>
    <w:pPr>
      <w:ind w:left="720"/>
      <w:contextualSpacing/>
    </w:pPr>
    <w:rPr>
      <w:rFonts w:cs="Times New Roman"/>
      <w:sz w:val="22"/>
    </w:rPr>
  </w:style>
  <w:style w:type="character" w:styleId="SubtleEmphasis">
    <w:name w:val="Subtle Emphasis"/>
    <w:basedOn w:val="DefaultParagraphFont"/>
    <w:rPr>
      <w:i/>
      <w:iCs/>
      <w:color w:val="808080"/>
      <w:lang w:val="en-GB"/>
    </w:rPr>
  </w:style>
  <w:style w:type="character" w:styleId="BookTitle">
    <w:name w:val="Book Title"/>
    <w:basedOn w:val="DefaultParagraphFont"/>
    <w:rPr>
      <w:b/>
      <w:bCs/>
      <w:i/>
      <w:iCs/>
      <w:spacing w:val="5"/>
    </w:rPr>
  </w:style>
  <w:style w:type="character" w:styleId="Emphasis">
    <w:name w:val="Emphasis"/>
    <w:basedOn w:val="DefaultParagraphFont"/>
    <w:rPr>
      <w:i/>
      <w:iCs/>
    </w:rPr>
  </w:style>
  <w:style w:type="character" w:styleId="IntenseEmphasis">
    <w:name w:val="Intense Emphasis"/>
    <w:basedOn w:val="DefaultParagraphFont"/>
    <w:rPr>
      <w:i/>
      <w:iCs/>
      <w:color w:val="111121"/>
    </w:rPr>
  </w:style>
  <w:style w:type="paragraph" w:styleId="IntenseQuote">
    <w:name w:val="Intense Quote"/>
    <w:basedOn w:val="Normal"/>
    <w:next w:val="Normal"/>
    <w:pPr>
      <w:pBdr>
        <w:top w:val="single" w:sz="4" w:space="10" w:color="111121"/>
        <w:bottom w:val="single" w:sz="4" w:space="10" w:color="111121"/>
      </w:pBdr>
      <w:spacing w:before="360" w:after="360"/>
      <w:ind w:left="864" w:right="864"/>
      <w:jc w:val="center"/>
    </w:pPr>
    <w:rPr>
      <w:rFonts w:cs="Times New Roman"/>
      <w:i/>
      <w:iCs/>
      <w:color w:val="111121"/>
      <w:sz w:val="22"/>
    </w:rPr>
  </w:style>
  <w:style w:type="character" w:customStyle="1" w:styleId="IntenseQuoteChar">
    <w:name w:val="Intense Quote Char"/>
    <w:basedOn w:val="DefaultParagraphFont"/>
    <w:rPr>
      <w:rFonts w:ascii="Times New Roman" w:hAnsi="Times New Roman" w:cs="Times New Roman"/>
      <w:i/>
      <w:iCs/>
      <w:color w:val="111121"/>
    </w:rPr>
  </w:style>
  <w:style w:type="character" w:styleId="IntenseReference">
    <w:name w:val="Intense Reference"/>
    <w:basedOn w:val="DefaultParagraphFont"/>
    <w:rPr>
      <w:b/>
      <w:bCs/>
      <w:smallCaps/>
      <w:color w:val="111121"/>
      <w:spacing w:val="5"/>
    </w:rPr>
  </w:style>
  <w:style w:type="paragraph" w:styleId="NoSpacing">
    <w:name w:val="No Spacing"/>
    <w:pPr>
      <w:suppressAutoHyphens/>
    </w:pPr>
    <w:rPr>
      <w:rFonts w:ascii="Times New Roman" w:hAnsi="Times New Roman" w:cs="Times New Roman"/>
    </w:rPr>
  </w:style>
  <w:style w:type="paragraph" w:styleId="Quote">
    <w:name w:val="Quote"/>
    <w:basedOn w:val="Normal"/>
    <w:next w:val="Normal"/>
    <w:pPr>
      <w:spacing w:before="200"/>
      <w:ind w:left="864" w:right="864"/>
      <w:jc w:val="center"/>
    </w:pPr>
    <w:rPr>
      <w:rFonts w:cs="Times New Roman"/>
      <w:i/>
      <w:iCs/>
      <w:color w:val="404040"/>
      <w:sz w:val="22"/>
    </w:rPr>
  </w:style>
  <w:style w:type="character" w:customStyle="1" w:styleId="QuoteChar">
    <w:name w:val="Quote Char"/>
    <w:basedOn w:val="DefaultParagraphFont"/>
    <w:rPr>
      <w:rFonts w:ascii="Times New Roman" w:hAnsi="Times New Roman" w:cs="Times New Roman"/>
      <w:i/>
      <w:iCs/>
      <w:color w:val="404040"/>
    </w:rPr>
  </w:style>
  <w:style w:type="character" w:styleId="Strong">
    <w:name w:val="Strong"/>
    <w:basedOn w:val="DefaultParagraphFont"/>
    <w:rPr>
      <w:b/>
      <w:bCs/>
    </w:rPr>
  </w:style>
  <w:style w:type="paragraph" w:styleId="Subtitle">
    <w:name w:val="Subtitle"/>
    <w:basedOn w:val="Normal"/>
    <w:next w:val="Normal"/>
    <w:uiPriority w:val="11"/>
    <w:qFormat/>
    <w:rPr>
      <w:rFonts w:ascii="Calibri" w:eastAsia="DengXian" w:hAnsi="Calibri"/>
      <w:color w:val="5A5A5A"/>
      <w:spacing w:val="15"/>
      <w:sz w:val="22"/>
    </w:rPr>
  </w:style>
  <w:style w:type="character" w:customStyle="1" w:styleId="SubtitleChar">
    <w:name w:val="Subtitle Char"/>
    <w:basedOn w:val="DefaultParagraphFont"/>
    <w:rPr>
      <w:rFonts w:eastAsia="DengXian"/>
      <w:color w:val="5A5A5A"/>
      <w:spacing w:val="15"/>
    </w:rPr>
  </w:style>
  <w:style w:type="character" w:styleId="SubtleReference">
    <w:name w:val="Subtle Reference"/>
    <w:basedOn w:val="DefaultParagraphFont"/>
    <w:rPr>
      <w:smallCaps/>
      <w:color w:val="5A5A5A"/>
    </w:rPr>
  </w:style>
  <w:style w:type="paragraph" w:styleId="Title">
    <w:name w:val="Title"/>
    <w:basedOn w:val="Normal"/>
    <w:next w:val="Normal"/>
    <w:uiPriority w:val="10"/>
    <w:qFormat/>
    <w:pPr>
      <w:contextualSpacing/>
    </w:pPr>
    <w:rPr>
      <w:rFonts w:ascii="Calibri Light" w:eastAsia="DengXian Light" w:hAnsi="Calibri Light" w:cs="Times New Roman"/>
      <w:spacing w:val="-10"/>
      <w:kern w:val="3"/>
      <w:sz w:val="56"/>
      <w:szCs w:val="56"/>
    </w:rPr>
  </w:style>
  <w:style w:type="character" w:customStyle="1" w:styleId="TitleChar">
    <w:name w:val="Title Char"/>
    <w:basedOn w:val="DefaultParagraphFont"/>
    <w:rPr>
      <w:rFonts w:ascii="Calibri Light" w:eastAsia="DengXian Light" w:hAnsi="Calibri Light" w:cs="Times New Roman"/>
      <w:spacing w:val="-10"/>
      <w:kern w:val="3"/>
      <w:sz w:val="56"/>
      <w:szCs w:val="56"/>
    </w:rPr>
  </w:style>
  <w:style w:type="character" w:styleId="EndnoteReference">
    <w:name w:val="endnote reference"/>
    <w:basedOn w:val="DefaultParagraphFont"/>
    <w:rPr>
      <w:position w:val="0"/>
      <w:vertAlign w:val="superscript"/>
    </w:rPr>
  </w:style>
  <w:style w:type="character" w:styleId="CommentReference">
    <w:name w:val="annotation reference"/>
    <w:basedOn w:val="DefaultParagraphFont"/>
    <w:rPr>
      <w:sz w:val="16"/>
      <w:szCs w:val="16"/>
    </w:rPr>
  </w:style>
  <w:style w:type="paragraph" w:styleId="Index1">
    <w:name w:val="index 1"/>
    <w:basedOn w:val="Normal"/>
    <w:next w:val="Normal"/>
    <w:pPr>
      <w:ind w:left="220" w:hanging="220"/>
    </w:pPr>
    <w:rPr>
      <w:rFonts w:cs="Times New Roman"/>
      <w:sz w:val="22"/>
    </w:rPr>
  </w:style>
  <w:style w:type="paragraph" w:styleId="Index2">
    <w:name w:val="index 2"/>
    <w:basedOn w:val="Normal"/>
    <w:next w:val="Normal"/>
    <w:pPr>
      <w:ind w:left="440" w:hanging="220"/>
    </w:pPr>
    <w:rPr>
      <w:rFonts w:cs="Times New Roman"/>
      <w:sz w:val="22"/>
    </w:rPr>
  </w:style>
  <w:style w:type="paragraph" w:styleId="Index3">
    <w:name w:val="index 3"/>
    <w:basedOn w:val="Normal"/>
    <w:next w:val="Normal"/>
    <w:pPr>
      <w:ind w:left="660" w:hanging="220"/>
    </w:pPr>
    <w:rPr>
      <w:rFonts w:cs="Times New Roman"/>
      <w:sz w:val="22"/>
    </w:rPr>
  </w:style>
  <w:style w:type="paragraph" w:styleId="Index4">
    <w:name w:val="index 4"/>
    <w:basedOn w:val="Normal"/>
    <w:next w:val="Normal"/>
    <w:pPr>
      <w:ind w:left="880" w:hanging="220"/>
    </w:pPr>
    <w:rPr>
      <w:rFonts w:cs="Times New Roman"/>
      <w:sz w:val="22"/>
    </w:rPr>
  </w:style>
  <w:style w:type="paragraph" w:styleId="Index5">
    <w:name w:val="index 5"/>
    <w:basedOn w:val="Normal"/>
    <w:next w:val="Normal"/>
    <w:pPr>
      <w:ind w:left="1100" w:hanging="220"/>
    </w:pPr>
    <w:rPr>
      <w:rFonts w:cs="Times New Roman"/>
      <w:sz w:val="22"/>
    </w:rPr>
  </w:style>
  <w:style w:type="paragraph" w:styleId="Index6">
    <w:name w:val="index 6"/>
    <w:basedOn w:val="Normal"/>
    <w:next w:val="Normal"/>
    <w:pPr>
      <w:ind w:left="1320" w:hanging="220"/>
    </w:pPr>
    <w:rPr>
      <w:rFonts w:cs="Times New Roman"/>
      <w:sz w:val="22"/>
    </w:rPr>
  </w:style>
  <w:style w:type="paragraph" w:styleId="Index7">
    <w:name w:val="index 7"/>
    <w:basedOn w:val="Normal"/>
    <w:next w:val="Normal"/>
    <w:pPr>
      <w:ind w:left="1540" w:hanging="220"/>
    </w:pPr>
    <w:rPr>
      <w:rFonts w:cs="Times New Roman"/>
      <w:sz w:val="22"/>
    </w:rPr>
  </w:style>
  <w:style w:type="paragraph" w:styleId="Index8">
    <w:name w:val="index 8"/>
    <w:basedOn w:val="Normal"/>
    <w:next w:val="Normal"/>
    <w:pPr>
      <w:ind w:left="1760" w:hanging="220"/>
    </w:pPr>
    <w:rPr>
      <w:rFonts w:cs="Times New Roman"/>
      <w:sz w:val="22"/>
    </w:rPr>
  </w:style>
  <w:style w:type="paragraph" w:styleId="Index9">
    <w:name w:val="index 9"/>
    <w:basedOn w:val="Normal"/>
    <w:next w:val="Normal"/>
    <w:pPr>
      <w:ind w:left="1980" w:hanging="220"/>
    </w:pPr>
    <w:rPr>
      <w:rFonts w:cs="Times New Roman"/>
      <w:sz w:val="22"/>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Times New Roman" w:hAnsi="Times New Roman" w:cs="Times New Roman"/>
      <w:b/>
      <w:bCs/>
      <w:sz w:val="20"/>
      <w:szCs w:val="20"/>
    </w:rPr>
  </w:style>
  <w:style w:type="character" w:styleId="FollowedHyperlink">
    <w:name w:val="FollowedHyperlink"/>
    <w:basedOn w:val="DefaultParagraphFont"/>
    <w:rPr>
      <w:color w:val="089ED1"/>
      <w:u w:val="single"/>
    </w:rPr>
  </w:style>
  <w:style w:type="paragraph" w:styleId="Revision">
    <w:name w:val="Revision"/>
    <w:pPr>
      <w:suppressAutoHyphens/>
    </w:pPr>
    <w:rPr>
      <w:rFonts w:ascii="Times New Roman" w:hAnsi="Times New Roman" w:cs="Times New Roman"/>
    </w:rPr>
  </w:style>
  <w:style w:type="paragraph" w:customStyle="1" w:styleId="TAQATableBody">
    <w:name w:val="TAQATableBody"/>
    <w:basedOn w:val="TAQANormal"/>
    <w:pPr>
      <w:spacing w:before="60" w:after="60" w:line="288" w:lineRule="auto"/>
    </w:pPr>
  </w:style>
  <w:style w:type="paragraph" w:customStyle="1" w:styleId="TAQATable1">
    <w:name w:val="TAQATable1"/>
    <w:basedOn w:val="TAQATableBody"/>
    <w:next w:val="Normal"/>
  </w:style>
  <w:style w:type="paragraph" w:customStyle="1" w:styleId="TAQATable2">
    <w:name w:val="TAQATable2"/>
    <w:basedOn w:val="TAQATableBody"/>
    <w:next w:val="Normal"/>
  </w:style>
  <w:style w:type="paragraph" w:customStyle="1" w:styleId="TAQATable3">
    <w:name w:val="TAQATable3"/>
    <w:basedOn w:val="TAQATableBody"/>
  </w:style>
  <w:style w:type="paragraph" w:customStyle="1" w:styleId="TAQATable4">
    <w:name w:val="TAQATable4"/>
    <w:basedOn w:val="TAQATableBody"/>
  </w:style>
  <w:style w:type="paragraph" w:customStyle="1" w:styleId="TAQATable5">
    <w:name w:val="TAQATable5"/>
    <w:basedOn w:val="TAQATableBody"/>
    <w:pPr>
      <w:numPr>
        <w:numId w:val="15"/>
      </w:numPr>
    </w:pPr>
  </w:style>
  <w:style w:type="paragraph" w:customStyle="1" w:styleId="TAQATableBody1">
    <w:name w:val="TAQATableBody1"/>
    <w:basedOn w:val="TAQATableBody"/>
    <w:pPr>
      <w:ind w:left="720"/>
    </w:pPr>
  </w:style>
  <w:style w:type="paragraph" w:customStyle="1" w:styleId="TAQATableBody2">
    <w:name w:val="TAQATableBody2"/>
    <w:basedOn w:val="TAQATableBody"/>
    <w:pPr>
      <w:ind w:left="1440"/>
    </w:pPr>
  </w:style>
  <w:style w:type="paragraph" w:customStyle="1" w:styleId="TAQATableBody3">
    <w:name w:val="TAQATableBody3"/>
    <w:basedOn w:val="TAQATableBody"/>
    <w:pPr>
      <w:ind w:left="2160"/>
    </w:pPr>
  </w:style>
  <w:style w:type="paragraph" w:customStyle="1" w:styleId="TAQATableBullet1">
    <w:name w:val="TAQATableBullet1"/>
    <w:basedOn w:val="TAQATableBody"/>
  </w:style>
  <w:style w:type="paragraph" w:customStyle="1" w:styleId="TAQATableBullet2">
    <w:name w:val="TAQATableBullet2"/>
    <w:basedOn w:val="TAQATableBody"/>
  </w:style>
  <w:style w:type="paragraph" w:customStyle="1" w:styleId="TAQATableBullet3">
    <w:name w:val="TAQATableBullet3"/>
    <w:basedOn w:val="TAQATableBody"/>
  </w:style>
  <w:style w:type="paragraph" w:customStyle="1" w:styleId="TAQATableBullet4">
    <w:name w:val="TAQATableBullet4"/>
    <w:basedOn w:val="TAQATableBody"/>
    <w:pPr>
      <w:numPr>
        <w:numId w:val="16"/>
      </w:numPr>
    </w:pPr>
  </w:style>
  <w:style w:type="paragraph" w:customStyle="1" w:styleId="TAQATableHead">
    <w:name w:val="TAQATableHead"/>
    <w:basedOn w:val="TAQATableBody"/>
    <w:rPr>
      <w:b/>
    </w:rPr>
  </w:style>
  <w:style w:type="character" w:customStyle="1" w:styleId="TAQABeige">
    <w:name w:val="TAQABeige"/>
    <w:rPr>
      <w:color w:val="B2A1A1"/>
    </w:rPr>
  </w:style>
  <w:style w:type="character" w:customStyle="1" w:styleId="TAQADarkBlue">
    <w:name w:val="TAQADark Blue"/>
    <w:rPr>
      <w:color w:val="111121"/>
    </w:rPr>
  </w:style>
  <w:style w:type="character" w:customStyle="1" w:styleId="TAQATurquoise">
    <w:name w:val="TAQATurquoise"/>
    <w:rPr>
      <w:color w:val="08C2C2"/>
    </w:rPr>
  </w:style>
  <w:style w:type="character" w:customStyle="1" w:styleId="TAQARed">
    <w:name w:val="TAQARed"/>
    <w:rPr>
      <w:color w:val="D95F52"/>
    </w:rPr>
  </w:style>
  <w:style w:type="character" w:customStyle="1" w:styleId="TAQALightBlue">
    <w:name w:val="TAQALight Blue"/>
    <w:rPr>
      <w:color w:val="089ED1"/>
    </w:rPr>
  </w:style>
  <w:style w:type="paragraph" w:customStyle="1" w:styleId="TAQAGenNum1Para3">
    <w:name w:val="TAQAGenNum1Para3"/>
    <w:basedOn w:val="TAQANormal"/>
    <w:pPr>
      <w:numPr>
        <w:numId w:val="7"/>
      </w:numPr>
      <w:spacing w:before="240" w:line="260" w:lineRule="atLeast"/>
    </w:pPr>
  </w:style>
  <w:style w:type="paragraph" w:customStyle="1" w:styleId="TAQAArabtxt">
    <w:name w:val="TAQAArabtxt"/>
    <w:basedOn w:val="TAQAArabNormal"/>
    <w:pPr>
      <w:spacing w:before="240" w:line="260" w:lineRule="atLeast"/>
    </w:pPr>
  </w:style>
  <w:style w:type="paragraph" w:customStyle="1" w:styleId="TAQAArabtxt1">
    <w:name w:val="TAQAArabtxt1"/>
    <w:basedOn w:val="TAQAArabtxt"/>
    <w:pPr>
      <w:ind w:left="720"/>
    </w:pPr>
  </w:style>
  <w:style w:type="paragraph" w:customStyle="1" w:styleId="TAQAArabtxt2">
    <w:name w:val="TAQAArabtxt2"/>
    <w:basedOn w:val="TAQAArabtxt"/>
    <w:pPr>
      <w:ind w:left="1440"/>
    </w:pPr>
  </w:style>
  <w:style w:type="paragraph" w:customStyle="1" w:styleId="TAQAArabtxt3">
    <w:name w:val="TAQAArabtxt3"/>
    <w:basedOn w:val="TAQAArabtxt"/>
    <w:pPr>
      <w:ind w:left="2160"/>
    </w:pPr>
  </w:style>
  <w:style w:type="paragraph" w:customStyle="1" w:styleId="TAQAArabtxt4">
    <w:name w:val="TAQAArabtxt4"/>
    <w:basedOn w:val="TAQAArabtxt"/>
    <w:pPr>
      <w:ind w:left="2880"/>
    </w:pPr>
  </w:style>
  <w:style w:type="paragraph" w:customStyle="1" w:styleId="TAQAArabtxt5">
    <w:name w:val="TAQAArabtxt5"/>
    <w:basedOn w:val="TAQAArabtxt"/>
    <w:pPr>
      <w:ind w:left="3600"/>
    </w:pPr>
  </w:style>
  <w:style w:type="paragraph" w:customStyle="1" w:styleId="TAQAArabtxt6">
    <w:name w:val="TAQAArabtxt6"/>
    <w:basedOn w:val="TAQAArabtxt"/>
    <w:pPr>
      <w:ind w:left="4320"/>
    </w:pPr>
  </w:style>
  <w:style w:type="paragraph" w:customStyle="1" w:styleId="TAQAArabtxt7">
    <w:name w:val="TAQAArabtxt7"/>
    <w:basedOn w:val="TAQAArabtxt"/>
    <w:pPr>
      <w:ind w:left="5040"/>
    </w:pPr>
  </w:style>
  <w:style w:type="paragraph" w:customStyle="1" w:styleId="TAQAArabtxt8">
    <w:name w:val="TAQAArabtxt8"/>
    <w:basedOn w:val="TAQAArabtxt"/>
    <w:pPr>
      <w:ind w:left="5760"/>
    </w:pPr>
  </w:style>
  <w:style w:type="paragraph" w:customStyle="1" w:styleId="TAQAArabNormal">
    <w:name w:val="TAQAArabNormal"/>
    <w:basedOn w:val="Normal"/>
    <w:rPr>
      <w:rFonts w:ascii="Sakkal Majalla" w:hAnsi="Sakkal Majalla" w:cs="Sakkal Majalla"/>
      <w:szCs w:val="24"/>
    </w:rPr>
  </w:style>
  <w:style w:type="paragraph" w:customStyle="1" w:styleId="TAQAArabHead1">
    <w:name w:val="TAQAArabHead1"/>
    <w:basedOn w:val="TAQAArabtxt"/>
    <w:rPr>
      <w:b/>
      <w:caps/>
    </w:rPr>
  </w:style>
  <w:style w:type="paragraph" w:customStyle="1" w:styleId="TAQAArabHead2">
    <w:name w:val="TAQAArabHead2"/>
    <w:basedOn w:val="TAQAArabtxt"/>
    <w:rPr>
      <w:b/>
    </w:rPr>
  </w:style>
  <w:style w:type="paragraph" w:customStyle="1" w:styleId="TAQAArabHead3">
    <w:name w:val="TAQAArabHead3"/>
    <w:basedOn w:val="TAQAArabtxt"/>
    <w:pPr>
      <w:ind w:left="720"/>
    </w:pPr>
    <w:rPr>
      <w:b/>
    </w:rPr>
  </w:style>
  <w:style w:type="paragraph" w:customStyle="1" w:styleId="TAQAArabHead4">
    <w:name w:val="TAQAArabHead4"/>
    <w:basedOn w:val="TAQAArabtxt"/>
    <w:rPr>
      <w:i/>
    </w:rPr>
  </w:style>
  <w:style w:type="paragraph" w:customStyle="1" w:styleId="TAQAArabHead5">
    <w:name w:val="TAQAArabHead5"/>
    <w:basedOn w:val="TAQAArabtxt"/>
    <w:pPr>
      <w:ind w:left="720"/>
    </w:pPr>
    <w:rPr>
      <w:i/>
    </w:rPr>
  </w:style>
  <w:style w:type="paragraph" w:customStyle="1" w:styleId="TAQAArabHead6">
    <w:name w:val="TAQAArabHead6"/>
    <w:basedOn w:val="TAQAArabtxt"/>
    <w:rPr>
      <w:b/>
      <w:i/>
    </w:rPr>
  </w:style>
  <w:style w:type="paragraph" w:customStyle="1" w:styleId="TAQAArabHead7">
    <w:name w:val="TAQAArabHead7"/>
    <w:basedOn w:val="TAQAArabtxt"/>
    <w:pPr>
      <w:ind w:left="720"/>
    </w:pPr>
    <w:rPr>
      <w:b/>
      <w:i/>
    </w:rPr>
  </w:style>
  <w:style w:type="paragraph" w:customStyle="1" w:styleId="TAQAArabFPCopyright">
    <w:name w:val="TAQAArabFPCopyright"/>
    <w:basedOn w:val="TAQAArabtxt"/>
    <w:rPr>
      <w:b/>
    </w:rPr>
  </w:style>
  <w:style w:type="paragraph" w:customStyle="1" w:styleId="TAQAArabFPTitle">
    <w:name w:val="TAQAArabFPTitle"/>
    <w:basedOn w:val="TAQAArabtxt"/>
    <w:pPr>
      <w:jc w:val="center"/>
    </w:pPr>
    <w:rPr>
      <w:b/>
      <w:sz w:val="40"/>
    </w:rPr>
  </w:style>
  <w:style w:type="paragraph" w:customStyle="1" w:styleId="TAQAArabFPTxt">
    <w:name w:val="TAQAArabFPTxt"/>
    <w:basedOn w:val="TAQAArabtxt"/>
    <w:pPr>
      <w:jc w:val="center"/>
    </w:pPr>
    <w:rPr>
      <w:b/>
    </w:rPr>
  </w:style>
  <w:style w:type="paragraph" w:customStyle="1" w:styleId="TAQAArabSignatory">
    <w:name w:val="TAQAArabSignatory"/>
    <w:basedOn w:val="TAQAArabtxt"/>
    <w:pPr>
      <w:jc w:val="center"/>
    </w:pPr>
    <w:rPr>
      <w:b/>
      <w:caps/>
    </w:rPr>
  </w:style>
  <w:style w:type="paragraph" w:customStyle="1" w:styleId="TAQAArabLevel1">
    <w:name w:val="TAQAArabLevel1"/>
    <w:basedOn w:val="TAQAArabtxt"/>
    <w:rPr>
      <w:b/>
      <w:caps/>
    </w:rPr>
  </w:style>
  <w:style w:type="paragraph" w:customStyle="1" w:styleId="TAQASchArabHead">
    <w:name w:val="TAQASchArabHead"/>
    <w:basedOn w:val="TAQAArabtxt"/>
    <w:pPr>
      <w:jc w:val="center"/>
    </w:pPr>
    <w:rPr>
      <w:b/>
      <w:caps/>
    </w:rPr>
  </w:style>
  <w:style w:type="paragraph" w:customStyle="1" w:styleId="TAQASchArabTitle">
    <w:name w:val="TAQASchArabTitle"/>
    <w:basedOn w:val="TAQAArabtxt"/>
    <w:pPr>
      <w:jc w:val="center"/>
    </w:pPr>
    <w:rPr>
      <w:b/>
      <w:caps/>
    </w:rPr>
  </w:style>
  <w:style w:type="paragraph" w:customStyle="1" w:styleId="TAQASchArabParthead">
    <w:name w:val="TAQASchArabParthead"/>
    <w:basedOn w:val="TAQAArabtxt"/>
    <w:pPr>
      <w:jc w:val="center"/>
    </w:pPr>
    <w:rPr>
      <w:b/>
      <w:caps/>
    </w:rPr>
  </w:style>
  <w:style w:type="paragraph" w:customStyle="1" w:styleId="TAQASchArabPartTitle">
    <w:name w:val="TAQASchArabPartTitle"/>
    <w:basedOn w:val="TAQAArabtxt"/>
    <w:pPr>
      <w:jc w:val="center"/>
    </w:pPr>
    <w:rPr>
      <w:b/>
      <w:caps/>
    </w:rPr>
  </w:style>
  <w:style w:type="paragraph" w:customStyle="1" w:styleId="TAQAArabHead8">
    <w:name w:val="TAQAArabHead8"/>
    <w:basedOn w:val="TAQAArabtxt"/>
    <w:pPr>
      <w:jc w:val="center"/>
    </w:pPr>
    <w:rPr>
      <w:b/>
      <w:caps/>
    </w:rPr>
  </w:style>
  <w:style w:type="character" w:styleId="UnresolvedMention">
    <w:name w:val="Unresolved Mention"/>
    <w:basedOn w:val="DefaultParagraphFont"/>
    <w:rPr>
      <w:color w:val="605E5C"/>
      <w:shd w:val="clear" w:color="auto" w:fill="E1DFDD"/>
    </w:rPr>
  </w:style>
  <w:style w:type="numbering" w:customStyle="1" w:styleId="WWOutlineListStyle">
    <w:name w:val="WW_OutlineListStyle"/>
    <w:basedOn w:val="NoList"/>
    <w:pPr>
      <w:numPr>
        <w:numId w:val="2"/>
      </w:numPr>
    </w:pPr>
  </w:style>
  <w:style w:type="numbering" w:customStyle="1" w:styleId="LFO2">
    <w:name w:val="LFO2"/>
    <w:basedOn w:val="NoList"/>
    <w:pPr>
      <w:numPr>
        <w:numId w:val="3"/>
      </w:numPr>
    </w:pPr>
  </w:style>
  <w:style w:type="numbering" w:customStyle="1" w:styleId="LFO3">
    <w:name w:val="LFO3"/>
    <w:basedOn w:val="NoList"/>
    <w:pPr>
      <w:numPr>
        <w:numId w:val="4"/>
      </w:numPr>
    </w:pPr>
  </w:style>
  <w:style w:type="numbering" w:customStyle="1" w:styleId="LFO4">
    <w:name w:val="LFO4"/>
    <w:basedOn w:val="NoList"/>
    <w:pPr>
      <w:numPr>
        <w:numId w:val="5"/>
      </w:numPr>
    </w:pPr>
  </w:style>
  <w:style w:type="numbering" w:customStyle="1" w:styleId="LFO5">
    <w:name w:val="LFO5"/>
    <w:basedOn w:val="NoList"/>
    <w:pPr>
      <w:numPr>
        <w:numId w:val="6"/>
      </w:numPr>
    </w:pPr>
  </w:style>
  <w:style w:type="numbering" w:customStyle="1" w:styleId="LFO6">
    <w:name w:val="LFO6"/>
    <w:basedOn w:val="NoList"/>
    <w:pPr>
      <w:numPr>
        <w:numId w:val="7"/>
      </w:numPr>
    </w:pPr>
  </w:style>
  <w:style w:type="numbering" w:customStyle="1" w:styleId="LFO7">
    <w:name w:val="LFO7"/>
    <w:basedOn w:val="NoList"/>
    <w:pPr>
      <w:numPr>
        <w:numId w:val="8"/>
      </w:numPr>
    </w:pPr>
  </w:style>
  <w:style w:type="numbering" w:customStyle="1" w:styleId="LFO8">
    <w:name w:val="LFO8"/>
    <w:basedOn w:val="NoList"/>
    <w:pPr>
      <w:numPr>
        <w:numId w:val="9"/>
      </w:numPr>
    </w:pPr>
  </w:style>
  <w:style w:type="numbering" w:customStyle="1" w:styleId="LFO9">
    <w:name w:val="LFO9"/>
    <w:basedOn w:val="NoList"/>
    <w:pPr>
      <w:numPr>
        <w:numId w:val="10"/>
      </w:numPr>
    </w:pPr>
  </w:style>
  <w:style w:type="numbering" w:customStyle="1" w:styleId="LFO10">
    <w:name w:val="LFO10"/>
    <w:basedOn w:val="NoList"/>
    <w:pPr>
      <w:numPr>
        <w:numId w:val="11"/>
      </w:numPr>
    </w:pPr>
  </w:style>
  <w:style w:type="numbering" w:customStyle="1" w:styleId="LFO11">
    <w:name w:val="LFO11"/>
    <w:basedOn w:val="NoList"/>
    <w:pPr>
      <w:numPr>
        <w:numId w:val="12"/>
      </w:numPr>
    </w:pPr>
  </w:style>
  <w:style w:type="numbering" w:customStyle="1" w:styleId="LFO12">
    <w:name w:val="LFO12"/>
    <w:basedOn w:val="NoList"/>
    <w:pPr>
      <w:numPr>
        <w:numId w:val="13"/>
      </w:numPr>
    </w:pPr>
  </w:style>
  <w:style w:type="numbering" w:customStyle="1" w:styleId="LFO13">
    <w:name w:val="LFO13"/>
    <w:basedOn w:val="NoList"/>
    <w:pPr>
      <w:numPr>
        <w:numId w:val="14"/>
      </w:numPr>
    </w:pPr>
  </w:style>
  <w:style w:type="numbering" w:customStyle="1" w:styleId="LFO14">
    <w:name w:val="LFO14"/>
    <w:basedOn w:val="NoList"/>
    <w:pPr>
      <w:numPr>
        <w:numId w:val="15"/>
      </w:numPr>
    </w:pPr>
  </w:style>
  <w:style w:type="numbering" w:customStyle="1" w:styleId="LFO15">
    <w:name w:val="LFO15"/>
    <w:basedOn w:val="NoList"/>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eckpoint.url-protection.com/v1/r07/url?o=https%3A//doi.org/10.1109/EuroSPW55150.2022.00067&amp;g=YjJlODZjMmMyOGU2NzE2ZA==&amp;h=ODVlYTVjZWZjMGJmNGM4YzAyN2ZkMjFkNDNjMzhmMTYyNzQ2NjQ1YjRhOGNhMTcxZDZhMmJjMmFiZWVkNWM0MA==&amp;p=bWVjMTp0YXFhdHJhbnNtaXNzaW9uYW5kZGlzdHJpYnV0aW9uOmM6bzpmMDBlMTg3NmVkMTRiNmE2OWI0NTExYTQ5M2VlYmRhOTo3OnA6VA==" TargetMode="External"/><Relationship Id="rId13" Type="http://schemas.openxmlformats.org/officeDocument/2006/relationships/hyperlink" Target="https://checkpoint.url-protection.com/v1/r07/url?o=https%3A//doi.org/10.1108/JICES-12-2019-0138&amp;g=NjE3ZDE5OTA2NmM3ODhiYg==&amp;h=MWRlYTRkMmQzYWEzNjVmMzRlZDVjNTg3MmI4MDNiZDU0OTk5NDA3ZjNhYTlhNGViMWEyMTdkMWQwYmE3OWEyYQ==&amp;p=bWVjMTp0YXFhdHJhbnNtaXNzaW9uYW5kZGlzdHJpYnV0aW9uOmM6bzpmMDBlMTg3NmVkMTRiNmE2OWI0NTExYTQ5M2VlYmRhOTo3OnA6VA==" TargetMode="External"/><Relationship Id="rId3" Type="http://schemas.openxmlformats.org/officeDocument/2006/relationships/settings" Target="settings.xml"/><Relationship Id="rId7" Type="http://schemas.openxmlformats.org/officeDocument/2006/relationships/hyperlink" Target="https://checkpoint.url-protection.com/v1/r07/url?o=https%3A//doi.org/10.1145/3503508&amp;g=ODU3OGMzNDU1MWY3NDVhOA==&amp;h=YjZhMjM3YWZjY2FmOWE5Y2ViMjBhYjBlNTc0OWRjMTk4NjM5ODQ1NzdiNTE0YTc0ZDgzNDdjY2Y5NGEzYzU2Mg==&amp;p=bWVjMTp0YXFhdHJhbnNtaXNzaW9uYW5kZGlzdHJpYnV0aW9uOmM6bzpmMDBlMTg3NmVkMTRiNmE2OWI0NTExYTQ5M2VlYmRhOTo3OnA6VA==" TargetMode="External"/><Relationship Id="rId12" Type="http://schemas.openxmlformats.org/officeDocument/2006/relationships/hyperlink" Target="https://checkpoint.url-protection.com/v1/r07/url?o=https%3A//doi.org/10.1145/3715275.3732183&amp;g=YjVlNzJkNzZjMjI5ZDY3ZQ==&amp;h=ZjFkOWEzMGM5MjIxYzE3M2M5Yjc5ZjI2N2EzYmMwNTkzMDM2NWZlOTMxNWJhNGE5Y2ZhNzBhMTJiZTBhNGJjZQ==&amp;p=bWVjMTp0YXFhdHJhbnNtaXNzaW9uYW5kZGlzdHJpYnV0aW9uOmM6bzpmMDBlMTg3NmVkMTRiNmE2OWI0NTExYTQ5M2VlYmRhOTo3OnA6V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eckpoint.url-protection.com/v1/r07/url?o=https%3A//doi.org/10.53430/ijeru.2024.7.1.0033&amp;g=NzAyNDIwZTRmZmI0ZWQxOA==&amp;h=MjI4Njc3MDRjN2U5MDM1YzJmN2RkNGFiMTJkN2UyNTQ4ZDViNzlhMDI5Nzk1ZmU1N2FmYjJiMTFlZTRmNWFlYQ==&amp;p=bWVjMTp0YXFhdHJhbnNtaXNzaW9uYW5kZGlzdHJpYnV0aW9uOmM6bzpmMDBlMTg3NmVkMTRiNmE2OWI0NTExYTQ5M2VlYmRhOTo3OnA6VA==" TargetMode="External"/><Relationship Id="rId11" Type="http://schemas.openxmlformats.org/officeDocument/2006/relationships/hyperlink" Target="https://checkpoint.url-protection.com/v1/r07/url?o=https%3A//www.my-course.co.uk/user/view.php%3Fid%3D24219%26course%3D14231&amp;g=MmNiMDZiNTMxN2ZlNjQ5Mg==&amp;h=MDM4MGJhNDMxZTQyODBhOWJlMDI1ZjUyNjZmNjFkNGY1YjkxMDVjYmQ4OTY0NTcyNDQyMTkyMGMzZTVmZDIxZQ==&amp;p=bWVjMTp0YXFhdHJhbnNtaXNzaW9uYW5kZGlzdHJpYnV0aW9uOmM6bzpmMDBlMTg3NmVkMTRiNmE2OWI0NTExYTQ5M2VlYmRhOTo3OnA6VA==" TargetMode="External"/><Relationship Id="rId5" Type="http://schemas.openxmlformats.org/officeDocument/2006/relationships/hyperlink" Target="https://checkpoint.url-protection.com/v1/r07/url?o=https%3A//doi.org/10.3390/software1010003&amp;g=M2YwMTQ2NmY4ZjkwNmQ3Yw==&amp;h=YjQwNjg4NTI2ZGE0NDJmNzI4NTNiNjJkOTE3YmExMzI3NWNiODlhZWYxZDFhODJjYTdjZDBhY2U5Yjg4Yzk5Mw==&amp;p=bWVjMTp0YXFhdHJhbnNtaXNzaW9uYW5kZGlzdHJpYnV0aW9uOmM6bzpmMDBlMTg3NmVkMTRiNmE2OWI0NTExYTQ5M2VlYmRhOTo3OnA6VA==" TargetMode="External"/><Relationship Id="rId15" Type="http://schemas.openxmlformats.org/officeDocument/2006/relationships/fontTable" Target="fontTable.xml"/><Relationship Id="rId10" Type="http://schemas.openxmlformats.org/officeDocument/2006/relationships/hyperlink" Target="https://checkpoint.url-protection.com/v1/r07/url?o=https%3A//doi.org/10.1201/9781003187127&amp;g=MmYzZTE4YWExOWJmN2U4ZA==&amp;h=MTI2ZjcxMzViNzFiN2NjNDEyMTExZDc5NDVmM2EzNGIyYTM4NTNmNmMwMmY4OTllNWZiNWRkMzVjYWI3NmQ4ZA==&amp;p=bWVjMTp0YXFhdHJhbnNtaXNzaW9uYW5kZGlzdHJpYnV0aW9uOmM6bzpmMDBlMTg3NmVkMTRiNmE2OWI0NTExYTQ5M2VlYmRhOTo3OnA6VA==" TargetMode="External"/><Relationship Id="rId4" Type="http://schemas.openxmlformats.org/officeDocument/2006/relationships/webSettings" Target="webSettings.xml"/><Relationship Id="rId9" Type="http://schemas.openxmlformats.org/officeDocument/2006/relationships/hyperlink" Target="https://checkpoint.url-protection.com/v1/r07/url?o=https%3A//dx.doi.org/10.2139/ssrn.4959188&amp;g=MjEwNjYwMjMyMWI2YTVjOQ==&amp;h=NDYwNzgxNzk4NzYzZjViOGJhY2Y3ZDEyNDM5YWVkYzIwYTAyNzRmY2VlMGE1MGY2ZjdjNzlmYzFiMGI1NjkwNw==&amp;p=bWVjMTp0YXFhdHJhbnNtaXNzaW9uYW5kZGlzdHJpYnV0aW9uOmM6bzpmMDBlMTg3NmVkMTRiNmE2OWI0NTExYTQ5M2VlYmRhOTo3OnA6VA==" TargetMode="External"/><Relationship Id="rId14" Type="http://schemas.openxmlformats.org/officeDocument/2006/relationships/hyperlink" Target="https://checkpoint.url-protection.com/v1/r07/url?o=https%3A//doi.org/10.3390/software1010003&amp;g=M2YwMTQ2NmY4ZjkwNmQ3Yw==&amp;h=YjQwNjg4NTI2ZGE0NDJmNzI4NTNiNjJkOTE3YmExMzI3NWNiODlhZWYxZDFhODJjYTdjZDBhY2U5Yjg4Yzk5Mw==&amp;p=bWVjMTp0YXFhdHJhbnNtaXNzaW9uYW5kZGlzdHJpYnV0aW9uOmM6bzpmMDBlMTg3NmVkMTRiNmE2OWI0NTExYTQ5M2VlYmRhOTo3OnA6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1296</Words>
  <Characters>7485</Characters>
  <Application>Microsoft Office Word</Application>
  <DocSecurity>0</DocSecurity>
  <Lines>112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Saleh Alhammadi</dc:creator>
  <cp:lastModifiedBy>Ali Saleh Alhammadi</cp:lastModifiedBy>
  <cp:revision>20</cp:revision>
  <dcterms:created xsi:type="dcterms:W3CDTF">2025-11-11T21:52:00Z</dcterms:created>
  <dcterms:modified xsi:type="dcterms:W3CDTF">2025-11-12T04:13:00Z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b53fa527-5ef7-4303-922e-b143ab185dfa</vt:lpwstr>
  </property>
</Properties>
</file>