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CA1E" w14:textId="10D65D14" w:rsidR="0080387E" w:rsidRPr="00F845A9" w:rsidRDefault="00000000" w:rsidP="00F845A9">
      <w:pPr>
        <w:spacing w:line="480" w:lineRule="auto"/>
        <w:jc w:val="center"/>
        <w:rPr>
          <w:rFonts w:ascii="Times New Roman" w:hAnsi="Times New Roman" w:cs="Times New Roman"/>
          <w:b/>
          <w:bCs/>
          <w:sz w:val="28"/>
          <w:szCs w:val="28"/>
        </w:rPr>
      </w:pPr>
      <w:r w:rsidRPr="00F845A9">
        <w:rPr>
          <w:rFonts w:ascii="Times New Roman" w:hAnsi="Times New Roman" w:cs="Times New Roman"/>
          <w:b/>
          <w:bCs/>
          <w:sz w:val="28"/>
          <w:szCs w:val="28"/>
        </w:rPr>
        <w:t>Summary Post</w:t>
      </w:r>
    </w:p>
    <w:p w14:paraId="48EA3F7A" w14:textId="120B90E3" w:rsidR="00944823" w:rsidRPr="00944823" w:rsidRDefault="00000000" w:rsidP="00944823">
      <w:pPr>
        <w:spacing w:line="480" w:lineRule="auto"/>
        <w:ind w:firstLine="720"/>
        <w:jc w:val="both"/>
        <w:rPr>
          <w:rFonts w:ascii="Times New Roman" w:hAnsi="Times New Roman" w:cs="Times New Roman"/>
          <w:sz w:val="24"/>
          <w:szCs w:val="24"/>
          <w:lang w:val="en-US"/>
        </w:rPr>
      </w:pPr>
      <w:r w:rsidRPr="00944823">
        <w:rPr>
          <w:rFonts w:ascii="Times New Roman" w:hAnsi="Times New Roman" w:cs="Times New Roman"/>
          <w:sz w:val="24"/>
          <w:szCs w:val="24"/>
          <w:lang w:val="en-US"/>
        </w:rPr>
        <w:t>The ethical aspects of the Data Breach at a Medical Database that I discussed in my post are focused on the breach itself</w:t>
      </w:r>
      <w:r>
        <w:rPr>
          <w:rFonts w:ascii="Times New Roman" w:hAnsi="Times New Roman" w:cs="Times New Roman"/>
          <w:sz w:val="24"/>
          <w:szCs w:val="24"/>
          <w:lang w:val="en-US"/>
        </w:rPr>
        <w:t>,</w:t>
      </w:r>
      <w:r w:rsidRPr="00944823">
        <w:rPr>
          <w:rFonts w:ascii="Times New Roman" w:hAnsi="Times New Roman" w:cs="Times New Roman"/>
          <w:sz w:val="24"/>
          <w:szCs w:val="24"/>
          <w:lang w:val="en-US"/>
        </w:rPr>
        <w:t xml:space="preserve"> which needs to be disclosed, but remains </w:t>
      </w:r>
      <w:r>
        <w:rPr>
          <w:rFonts w:ascii="Times New Roman" w:hAnsi="Times New Roman" w:cs="Times New Roman"/>
          <w:sz w:val="24"/>
          <w:szCs w:val="24"/>
          <w:lang w:val="en-US"/>
        </w:rPr>
        <w:t>undisclosed</w:t>
      </w:r>
      <w:r w:rsidRPr="00944823">
        <w:rPr>
          <w:rFonts w:ascii="Times New Roman" w:hAnsi="Times New Roman" w:cs="Times New Roman"/>
          <w:sz w:val="24"/>
          <w:szCs w:val="24"/>
          <w:lang w:val="en-US"/>
        </w:rPr>
        <w:t xml:space="preserve">, and as a result, this violates </w:t>
      </w:r>
      <w:r>
        <w:rPr>
          <w:rFonts w:ascii="Times New Roman" w:hAnsi="Times New Roman" w:cs="Times New Roman"/>
          <w:sz w:val="24"/>
          <w:szCs w:val="24"/>
          <w:lang w:val="en-US"/>
        </w:rPr>
        <w:t xml:space="preserve">the </w:t>
      </w:r>
      <w:r w:rsidRPr="00944823">
        <w:rPr>
          <w:rFonts w:ascii="Times New Roman" w:hAnsi="Times New Roman" w:cs="Times New Roman"/>
          <w:sz w:val="24"/>
          <w:szCs w:val="24"/>
          <w:lang w:val="en-US"/>
        </w:rPr>
        <w:t>ACM Code of Ethics (2018), particularly Principles 1.2 (Avoid Harm) and 1.6 (Respect Privacy). I had the point that the lack of breach information disclosure harms the privacy of the patient</w:t>
      </w:r>
      <w:r>
        <w:rPr>
          <w:rFonts w:ascii="Times New Roman" w:hAnsi="Times New Roman" w:cs="Times New Roman"/>
          <w:sz w:val="24"/>
          <w:szCs w:val="24"/>
          <w:lang w:val="en-US"/>
        </w:rPr>
        <w:t>,</w:t>
      </w:r>
      <w:r w:rsidRPr="00944823">
        <w:rPr>
          <w:rFonts w:ascii="Times New Roman" w:hAnsi="Times New Roman" w:cs="Times New Roman"/>
          <w:sz w:val="24"/>
          <w:szCs w:val="24"/>
          <w:lang w:val="en-US"/>
        </w:rPr>
        <w:t xml:space="preserve"> but also the reputation of the profession. Based on Nemec </w:t>
      </w:r>
      <w:proofErr w:type="spellStart"/>
      <w:r w:rsidRPr="00944823">
        <w:rPr>
          <w:rFonts w:ascii="Times New Roman" w:hAnsi="Times New Roman" w:cs="Times New Roman"/>
          <w:sz w:val="24"/>
          <w:szCs w:val="24"/>
          <w:lang w:val="en-US"/>
        </w:rPr>
        <w:t>Zlatolas</w:t>
      </w:r>
      <w:proofErr w:type="spellEnd"/>
      <w:r w:rsidRPr="00944823">
        <w:rPr>
          <w:rFonts w:ascii="Times New Roman" w:hAnsi="Times New Roman" w:cs="Times New Roman"/>
          <w:sz w:val="24"/>
          <w:szCs w:val="24"/>
          <w:lang w:val="en-US"/>
        </w:rPr>
        <w:t xml:space="preserve"> et al. (2024), I have highlighted the fact that healthcare is a specific area where cyberattacks can be successful, and white hat disclosure is a critical element in patient data security. I have also mentioned the work by Ugwu et al. (2022), who state that improper </w:t>
      </w:r>
      <w:r>
        <w:rPr>
          <w:rFonts w:ascii="Times New Roman" w:hAnsi="Times New Roman" w:cs="Times New Roman"/>
          <w:sz w:val="24"/>
          <w:szCs w:val="24"/>
          <w:lang w:val="en-US"/>
        </w:rPr>
        <w:t>handling of breaches, especially in AI systems,</w:t>
      </w:r>
      <w:r w:rsidRPr="00944823">
        <w:rPr>
          <w:rFonts w:ascii="Times New Roman" w:hAnsi="Times New Roman" w:cs="Times New Roman"/>
          <w:sz w:val="24"/>
          <w:szCs w:val="24"/>
          <w:lang w:val="en-US"/>
        </w:rPr>
        <w:t xml:space="preserve"> can result in permanent breach of privacy as well as unfairness.</w:t>
      </w:r>
    </w:p>
    <w:p w14:paraId="0D8ACB37" w14:textId="72CF7F42" w:rsidR="00A92A9E" w:rsidRPr="00A92A9E" w:rsidRDefault="00000000" w:rsidP="00A92A9E">
      <w:pPr>
        <w:spacing w:line="480" w:lineRule="auto"/>
        <w:ind w:firstLine="720"/>
        <w:jc w:val="both"/>
        <w:rPr>
          <w:rFonts w:ascii="Times New Roman" w:hAnsi="Times New Roman" w:cs="Times New Roman"/>
          <w:sz w:val="24"/>
          <w:szCs w:val="24"/>
          <w:lang w:val="en-US"/>
        </w:rPr>
      </w:pPr>
      <w:r w:rsidRPr="00944823">
        <w:rPr>
          <w:rFonts w:ascii="Times New Roman" w:hAnsi="Times New Roman" w:cs="Times New Roman"/>
          <w:sz w:val="24"/>
          <w:szCs w:val="24"/>
          <w:lang w:val="en-US"/>
        </w:rPr>
        <w:t xml:space="preserve">As a reaction to my post, Naeema </w:t>
      </w:r>
      <w:proofErr w:type="spellStart"/>
      <w:r w:rsidRPr="00944823">
        <w:rPr>
          <w:rFonts w:ascii="Times New Roman" w:hAnsi="Times New Roman" w:cs="Times New Roman"/>
          <w:sz w:val="24"/>
          <w:szCs w:val="24"/>
          <w:lang w:val="en-US"/>
        </w:rPr>
        <w:t>Alnaqbi</w:t>
      </w:r>
      <w:proofErr w:type="spellEnd"/>
      <w:r w:rsidRPr="00944823">
        <w:rPr>
          <w:rFonts w:ascii="Times New Roman" w:hAnsi="Times New Roman" w:cs="Times New Roman"/>
          <w:sz w:val="24"/>
          <w:szCs w:val="24"/>
          <w:lang w:val="en-US"/>
        </w:rPr>
        <w:t xml:space="preserve"> added details to my argument and said that most breaches are not happening because there are no cybersecurity tools in place, but poor governance within the organization. They highlighted how organizations that have poor governance systems tend to slow down in reporting any breach</w:t>
      </w:r>
      <w:r>
        <w:rPr>
          <w:rFonts w:ascii="Times New Roman" w:hAnsi="Times New Roman" w:cs="Times New Roman"/>
          <w:sz w:val="24"/>
          <w:szCs w:val="24"/>
          <w:lang w:val="en-US"/>
        </w:rPr>
        <w:t>,</w:t>
      </w:r>
      <w:r w:rsidRPr="00944823">
        <w:rPr>
          <w:rFonts w:ascii="Times New Roman" w:hAnsi="Times New Roman" w:cs="Times New Roman"/>
          <w:sz w:val="24"/>
          <w:szCs w:val="24"/>
          <w:lang w:val="en-US"/>
        </w:rPr>
        <w:t xml:space="preserve"> thereby exacerbating the ethical issue. They also </w:t>
      </w:r>
      <w:r>
        <w:rPr>
          <w:rFonts w:ascii="Times New Roman" w:hAnsi="Times New Roman" w:cs="Times New Roman"/>
          <w:sz w:val="24"/>
          <w:szCs w:val="24"/>
          <w:lang w:val="en-US"/>
        </w:rPr>
        <w:t>raised my fears about the dangers of AI systems being trained with vitiated data and referred to Mehrabi et al. (2021),</w:t>
      </w:r>
      <w:r w:rsidRPr="00944823">
        <w:rPr>
          <w:rFonts w:ascii="Times New Roman" w:hAnsi="Times New Roman" w:cs="Times New Roman"/>
          <w:sz w:val="24"/>
          <w:szCs w:val="24"/>
          <w:lang w:val="en-US"/>
        </w:rPr>
        <w:t xml:space="preserve"> who stated that it might result in biased or unsafe decisions against the ACM Principle 1.4 (Fairness). </w:t>
      </w:r>
      <w:r w:rsidRPr="00A92A9E">
        <w:rPr>
          <w:rFonts w:ascii="Times New Roman" w:hAnsi="Times New Roman" w:cs="Times New Roman"/>
          <w:sz w:val="24"/>
          <w:szCs w:val="24"/>
          <w:lang w:val="en-US"/>
        </w:rPr>
        <w:t xml:space="preserve">In addition, Naeema recommended </w:t>
      </w:r>
      <w:r w:rsidR="00581D1D">
        <w:rPr>
          <w:rFonts w:ascii="Times New Roman" w:hAnsi="Times New Roman" w:cs="Times New Roman"/>
          <w:sz w:val="24"/>
          <w:szCs w:val="24"/>
          <w:lang w:val="en-US"/>
        </w:rPr>
        <w:t>having cybersecurity audits as a compulsory process for organizations handling healthcare data, and when they fail to do this, disciplinary measures</w:t>
      </w:r>
      <w:r w:rsidRPr="00A92A9E">
        <w:rPr>
          <w:rFonts w:ascii="Times New Roman" w:hAnsi="Times New Roman" w:cs="Times New Roman"/>
          <w:sz w:val="24"/>
          <w:szCs w:val="24"/>
          <w:lang w:val="en-US"/>
        </w:rPr>
        <w:t xml:space="preserve"> can be implemented by professional communities such as BCS or ACM.</w:t>
      </w:r>
    </w:p>
    <w:p w14:paraId="3B26E15A" w14:textId="20A2B40E" w:rsidR="00A92A9E" w:rsidRDefault="00000000" w:rsidP="00A92A9E">
      <w:pPr>
        <w:spacing w:line="480" w:lineRule="auto"/>
        <w:ind w:firstLine="720"/>
        <w:jc w:val="both"/>
        <w:rPr>
          <w:rFonts w:ascii="Times New Roman" w:hAnsi="Times New Roman" w:cs="Times New Roman"/>
          <w:sz w:val="24"/>
          <w:szCs w:val="24"/>
          <w:lang w:val="en-US"/>
        </w:rPr>
      </w:pPr>
      <w:r w:rsidRPr="00A92A9E">
        <w:rPr>
          <w:rFonts w:ascii="Times New Roman" w:hAnsi="Times New Roman" w:cs="Times New Roman"/>
          <w:sz w:val="24"/>
          <w:szCs w:val="24"/>
          <w:lang w:val="en-US"/>
        </w:rPr>
        <w:t xml:space="preserve">In conclusion, my post and the response that Naeema provided raise the issue of </w:t>
      </w:r>
      <w:proofErr w:type="gramStart"/>
      <w:r w:rsidRPr="00A92A9E">
        <w:rPr>
          <w:rFonts w:ascii="Times New Roman" w:hAnsi="Times New Roman" w:cs="Times New Roman"/>
          <w:sz w:val="24"/>
          <w:szCs w:val="24"/>
          <w:lang w:val="en-US"/>
        </w:rPr>
        <w:t>the responsibility</w:t>
      </w:r>
      <w:proofErr w:type="gramEnd"/>
      <w:r w:rsidRPr="00A92A9E">
        <w:rPr>
          <w:rFonts w:ascii="Times New Roman" w:hAnsi="Times New Roman" w:cs="Times New Roman"/>
          <w:sz w:val="24"/>
          <w:szCs w:val="24"/>
          <w:lang w:val="en-US"/>
        </w:rPr>
        <w:t xml:space="preserve"> and prompt reporting of breaches associated with healthcare, the importance of </w:t>
      </w:r>
      <w:proofErr w:type="gramStart"/>
      <w:r w:rsidRPr="00A92A9E">
        <w:rPr>
          <w:rFonts w:ascii="Times New Roman" w:hAnsi="Times New Roman" w:cs="Times New Roman"/>
          <w:sz w:val="24"/>
          <w:szCs w:val="24"/>
          <w:lang w:val="en-US"/>
        </w:rPr>
        <w:t>the ethical</w:t>
      </w:r>
      <w:proofErr w:type="gramEnd"/>
      <w:r w:rsidRPr="00A92A9E">
        <w:rPr>
          <w:rFonts w:ascii="Times New Roman" w:hAnsi="Times New Roman" w:cs="Times New Roman"/>
          <w:sz w:val="24"/>
          <w:szCs w:val="24"/>
          <w:lang w:val="en-US"/>
        </w:rPr>
        <w:t xml:space="preserve"> perspective towards the consideration of </w:t>
      </w:r>
      <w:proofErr w:type="gramStart"/>
      <w:r w:rsidRPr="00A92A9E">
        <w:rPr>
          <w:rFonts w:ascii="Times New Roman" w:hAnsi="Times New Roman" w:cs="Times New Roman"/>
          <w:sz w:val="24"/>
          <w:szCs w:val="24"/>
          <w:lang w:val="en-US"/>
        </w:rPr>
        <w:t>the data</w:t>
      </w:r>
      <w:proofErr w:type="gramEnd"/>
      <w:r w:rsidRPr="00A92A9E">
        <w:rPr>
          <w:rFonts w:ascii="Times New Roman" w:hAnsi="Times New Roman" w:cs="Times New Roman"/>
          <w:sz w:val="24"/>
          <w:szCs w:val="24"/>
          <w:lang w:val="en-US"/>
        </w:rPr>
        <w:t xml:space="preserve"> breach and transparency, and that governance is an essential aspect of accountability and transparency.</w:t>
      </w:r>
    </w:p>
    <w:p w14:paraId="5273579C" w14:textId="77777777" w:rsidR="008F42E5" w:rsidRDefault="008F42E5" w:rsidP="00F845A9">
      <w:pPr>
        <w:spacing w:line="480" w:lineRule="auto"/>
        <w:jc w:val="both"/>
        <w:rPr>
          <w:rFonts w:ascii="Times New Roman" w:hAnsi="Times New Roman" w:cs="Times New Roman"/>
          <w:b/>
          <w:bCs/>
          <w:sz w:val="24"/>
          <w:szCs w:val="24"/>
          <w:lang w:val="en-US"/>
        </w:rPr>
      </w:pPr>
    </w:p>
    <w:p w14:paraId="26D1FBB1" w14:textId="77777777" w:rsidR="008F42E5" w:rsidRDefault="008F42E5" w:rsidP="00F845A9">
      <w:pPr>
        <w:spacing w:line="480" w:lineRule="auto"/>
        <w:jc w:val="both"/>
        <w:rPr>
          <w:rFonts w:ascii="Times New Roman" w:hAnsi="Times New Roman" w:cs="Times New Roman"/>
          <w:b/>
          <w:bCs/>
          <w:sz w:val="24"/>
          <w:szCs w:val="24"/>
          <w:lang w:val="en-US"/>
        </w:rPr>
      </w:pPr>
    </w:p>
    <w:p w14:paraId="146045B0" w14:textId="77777777" w:rsidR="008F42E5" w:rsidRDefault="008F42E5" w:rsidP="00F845A9">
      <w:pPr>
        <w:spacing w:line="480" w:lineRule="auto"/>
        <w:jc w:val="both"/>
        <w:rPr>
          <w:rFonts w:ascii="Times New Roman" w:hAnsi="Times New Roman" w:cs="Times New Roman"/>
          <w:b/>
          <w:bCs/>
          <w:sz w:val="24"/>
          <w:szCs w:val="24"/>
          <w:lang w:val="en-US"/>
        </w:rPr>
      </w:pPr>
    </w:p>
    <w:p w14:paraId="18CD82DB" w14:textId="60B17EF4" w:rsidR="000A66DE" w:rsidRPr="00F845A9" w:rsidRDefault="00000000" w:rsidP="00F845A9">
      <w:pPr>
        <w:spacing w:line="480" w:lineRule="auto"/>
        <w:jc w:val="both"/>
        <w:rPr>
          <w:rFonts w:ascii="Times New Roman" w:hAnsi="Times New Roman" w:cs="Times New Roman"/>
          <w:sz w:val="24"/>
          <w:szCs w:val="24"/>
          <w:lang w:val="en-US"/>
        </w:rPr>
      </w:pPr>
      <w:r w:rsidRPr="00F845A9">
        <w:rPr>
          <w:rFonts w:ascii="Times New Roman" w:hAnsi="Times New Roman" w:cs="Times New Roman"/>
          <w:b/>
          <w:bCs/>
          <w:sz w:val="24"/>
          <w:szCs w:val="24"/>
          <w:lang w:val="en-US"/>
        </w:rPr>
        <w:lastRenderedPageBreak/>
        <w:t>References</w:t>
      </w:r>
    </w:p>
    <w:p w14:paraId="7E5FAAAA" w14:textId="5A6EB0CD" w:rsidR="008F42E5" w:rsidRPr="008F42E5" w:rsidRDefault="008F42E5" w:rsidP="00F845A9">
      <w:pPr>
        <w:spacing w:line="480" w:lineRule="auto"/>
        <w:ind w:left="720" w:hanging="720"/>
        <w:jc w:val="both"/>
        <w:rPr>
          <w:rFonts w:ascii="Times New Roman" w:hAnsi="Times New Roman" w:cs="Times New Roman"/>
          <w:sz w:val="24"/>
          <w:szCs w:val="24"/>
          <w:lang w:val="en-US"/>
        </w:rPr>
      </w:pPr>
      <w:r w:rsidRPr="008F42E5">
        <w:rPr>
          <w:rFonts w:ascii="Times New Roman" w:hAnsi="Times New Roman" w:cs="Times New Roman"/>
          <w:sz w:val="24"/>
          <w:szCs w:val="24"/>
          <w:lang w:val="en-US"/>
        </w:rPr>
        <w:t xml:space="preserve">Nemec Zlatolas, L., Welzer, T., &amp; </w:t>
      </w:r>
      <w:proofErr w:type="spellStart"/>
      <w:r w:rsidRPr="008F42E5">
        <w:rPr>
          <w:rFonts w:ascii="Times New Roman" w:hAnsi="Times New Roman" w:cs="Times New Roman"/>
          <w:sz w:val="24"/>
          <w:szCs w:val="24"/>
          <w:lang w:val="en-US"/>
        </w:rPr>
        <w:t>Lhotska</w:t>
      </w:r>
      <w:proofErr w:type="spellEnd"/>
      <w:r w:rsidRPr="008F42E5">
        <w:rPr>
          <w:rFonts w:ascii="Times New Roman" w:hAnsi="Times New Roman" w:cs="Times New Roman"/>
          <w:sz w:val="24"/>
          <w:szCs w:val="24"/>
          <w:lang w:val="en-US"/>
        </w:rPr>
        <w:t xml:space="preserve">, L. (2024). Data breaches in healthcare: Security mechanisms for attack mitigation. </w:t>
      </w:r>
      <w:r w:rsidRPr="008F42E5">
        <w:rPr>
          <w:rFonts w:ascii="Times New Roman" w:hAnsi="Times New Roman" w:cs="Times New Roman"/>
          <w:i/>
          <w:iCs/>
          <w:sz w:val="24"/>
          <w:szCs w:val="24"/>
          <w:lang w:val="en-US"/>
        </w:rPr>
        <w:t>Cluster Computing</w:t>
      </w:r>
      <w:r w:rsidRPr="008F42E5">
        <w:rPr>
          <w:rFonts w:ascii="Times New Roman" w:hAnsi="Times New Roman" w:cs="Times New Roman"/>
          <w:sz w:val="24"/>
          <w:szCs w:val="24"/>
          <w:lang w:val="en-US"/>
        </w:rPr>
        <w:t xml:space="preserve">, 27(7), 8639–8654. Available at: </w:t>
      </w:r>
      <w:hyperlink r:id="rId5" w:tgtFrame="_new" w:history="1">
        <w:r w:rsidRPr="008F42E5">
          <w:rPr>
            <w:rStyle w:val="Hyperlink"/>
            <w:rFonts w:ascii="Times New Roman" w:hAnsi="Times New Roman" w:cs="Times New Roman"/>
            <w:sz w:val="24"/>
            <w:szCs w:val="24"/>
            <w:u w:val="none"/>
            <w:lang w:val="en-US"/>
          </w:rPr>
          <w:t>https://doi.org/10.1007/s10586-024-04507-2</w:t>
        </w:r>
      </w:hyperlink>
      <w:r w:rsidRPr="008F42E5">
        <w:rPr>
          <w:rFonts w:ascii="Times New Roman" w:hAnsi="Times New Roman" w:cs="Times New Roman"/>
          <w:sz w:val="24"/>
          <w:szCs w:val="24"/>
        </w:rPr>
        <w:t xml:space="preserve"> </w:t>
      </w:r>
      <w:r>
        <w:rPr>
          <w:rFonts w:ascii="Times New Roman" w:hAnsi="Times New Roman" w:cs="Times New Roman"/>
          <w:sz w:val="24"/>
          <w:szCs w:val="24"/>
          <w:lang w:val=""/>
        </w:rPr>
        <w:t>(</w:t>
      </w:r>
      <w:r w:rsidRPr="008F42E5">
        <w:rPr>
          <w:rFonts w:ascii="Times New Roman" w:hAnsi="Times New Roman" w:cs="Times New Roman"/>
          <w:sz w:val="24"/>
          <w:szCs w:val="24"/>
          <w:lang w:val=""/>
        </w:rPr>
        <w:t>14 November 2025</w:t>
      </w:r>
      <w:r>
        <w:rPr>
          <w:rFonts w:ascii="Times New Roman" w:hAnsi="Times New Roman" w:cs="Times New Roman"/>
          <w:sz w:val="24"/>
          <w:szCs w:val="24"/>
          <w:lang w:val=""/>
        </w:rPr>
        <w:t>)</w:t>
      </w:r>
      <w:r w:rsidRPr="008F42E5">
        <w:rPr>
          <w:rFonts w:ascii="Times New Roman" w:hAnsi="Times New Roman" w:cs="Times New Roman"/>
          <w:sz w:val="24"/>
          <w:szCs w:val="24"/>
          <w:lang w:val=""/>
        </w:rPr>
        <w:t>.</w:t>
      </w:r>
    </w:p>
    <w:p w14:paraId="372333CB" w14:textId="7CC1EBDD" w:rsidR="008F42E5" w:rsidRPr="008F42E5" w:rsidRDefault="008F42E5" w:rsidP="00F845A9">
      <w:pPr>
        <w:spacing w:line="480" w:lineRule="auto"/>
        <w:ind w:left="720" w:hanging="720"/>
        <w:jc w:val="both"/>
        <w:rPr>
          <w:rFonts w:ascii="Times New Roman" w:hAnsi="Times New Roman" w:cs="Times New Roman"/>
          <w:sz w:val="24"/>
          <w:szCs w:val="24"/>
          <w:lang w:val="en-US"/>
        </w:rPr>
      </w:pPr>
      <w:proofErr w:type="spellStart"/>
      <w:r w:rsidRPr="008F42E5">
        <w:rPr>
          <w:rFonts w:ascii="Times New Roman" w:hAnsi="Times New Roman" w:cs="Times New Roman"/>
          <w:sz w:val="24"/>
          <w:szCs w:val="24"/>
          <w:lang w:val="en-US"/>
        </w:rPr>
        <w:t>Prentosito</w:t>
      </w:r>
      <w:proofErr w:type="spellEnd"/>
      <w:r w:rsidRPr="008F42E5">
        <w:rPr>
          <w:rFonts w:ascii="Times New Roman" w:hAnsi="Times New Roman" w:cs="Times New Roman"/>
          <w:sz w:val="24"/>
          <w:szCs w:val="24"/>
          <w:lang w:val="en-US"/>
        </w:rPr>
        <w:t xml:space="preserve">, A., Skoczen, M., Kahrs, L., &amp; Bhunia, S. (2022). Case study on a session hijacking attack: The 2021 CVS Health data breach. In </w:t>
      </w:r>
      <w:r w:rsidRPr="008F42E5">
        <w:rPr>
          <w:rFonts w:ascii="Times New Roman" w:hAnsi="Times New Roman" w:cs="Times New Roman"/>
          <w:i/>
          <w:iCs/>
          <w:sz w:val="24"/>
          <w:szCs w:val="24"/>
          <w:lang w:val="en-US"/>
        </w:rPr>
        <w:t>International Conference on Mobile Web and Intelligent Information Systems</w:t>
      </w:r>
      <w:r w:rsidRPr="008F42E5">
        <w:rPr>
          <w:rFonts w:ascii="Times New Roman" w:hAnsi="Times New Roman" w:cs="Times New Roman"/>
          <w:sz w:val="24"/>
          <w:szCs w:val="24"/>
          <w:lang w:val="en-US"/>
        </w:rPr>
        <w:t xml:space="preserve"> (</w:t>
      </w:r>
      <w:proofErr w:type="gramStart"/>
      <w:r w:rsidRPr="008F42E5">
        <w:rPr>
          <w:rFonts w:ascii="Times New Roman" w:hAnsi="Times New Roman" w:cs="Times New Roman"/>
          <w:sz w:val="24"/>
          <w:szCs w:val="24"/>
          <w:lang w:val="en-US"/>
        </w:rPr>
        <w:t>pp</w:t>
      </w:r>
      <w:proofErr w:type="gramEnd"/>
      <w:r w:rsidRPr="008F42E5">
        <w:rPr>
          <w:rFonts w:ascii="Times New Roman" w:hAnsi="Times New Roman" w:cs="Times New Roman"/>
          <w:sz w:val="24"/>
          <w:szCs w:val="24"/>
          <w:lang w:val="en-US"/>
        </w:rPr>
        <w:t xml:space="preserve">. 93-105). Springer International Publishing. Available at: </w:t>
      </w:r>
      <w:hyperlink r:id="rId6" w:tgtFrame="_new" w:history="1">
        <w:r w:rsidRPr="008F42E5">
          <w:rPr>
            <w:rStyle w:val="Hyperlink"/>
            <w:rFonts w:ascii="Times New Roman" w:hAnsi="Times New Roman" w:cs="Times New Roman"/>
            <w:sz w:val="24"/>
            <w:szCs w:val="24"/>
            <w:u w:val="none"/>
            <w:lang w:val="en-US"/>
          </w:rPr>
          <w:t>https://doi.org/10.1007/978-3-031-14391-5_7</w:t>
        </w:r>
      </w:hyperlink>
      <w:r w:rsidRPr="008F42E5">
        <w:rPr>
          <w:rFonts w:ascii="Times New Roman" w:hAnsi="Times New Roman" w:cs="Times New Roman"/>
          <w:sz w:val="24"/>
          <w:szCs w:val="24"/>
        </w:rPr>
        <w:t xml:space="preserve"> </w:t>
      </w:r>
      <w:r>
        <w:rPr>
          <w:rFonts w:ascii="Times New Roman" w:hAnsi="Times New Roman" w:cs="Times New Roman"/>
          <w:sz w:val="24"/>
          <w:szCs w:val="24"/>
          <w:lang w:val=""/>
        </w:rPr>
        <w:t>(</w:t>
      </w:r>
      <w:r w:rsidRPr="008F42E5">
        <w:rPr>
          <w:rFonts w:ascii="Times New Roman" w:hAnsi="Times New Roman" w:cs="Times New Roman"/>
          <w:sz w:val="24"/>
          <w:szCs w:val="24"/>
          <w:lang w:val=""/>
        </w:rPr>
        <w:t>14 November 2025</w:t>
      </w:r>
      <w:r>
        <w:rPr>
          <w:rFonts w:ascii="Times New Roman" w:hAnsi="Times New Roman" w:cs="Times New Roman"/>
          <w:sz w:val="24"/>
          <w:szCs w:val="24"/>
          <w:lang w:val=""/>
        </w:rPr>
        <w:t>)</w:t>
      </w:r>
      <w:r w:rsidRPr="008F42E5">
        <w:rPr>
          <w:rFonts w:ascii="Times New Roman" w:hAnsi="Times New Roman" w:cs="Times New Roman"/>
          <w:sz w:val="24"/>
          <w:szCs w:val="24"/>
          <w:lang w:val=""/>
        </w:rPr>
        <w:t>.</w:t>
      </w:r>
    </w:p>
    <w:p w14:paraId="5C86CC49" w14:textId="3623A3BC" w:rsidR="008F42E5" w:rsidRPr="008F42E5" w:rsidRDefault="008F42E5" w:rsidP="00F845A9">
      <w:pPr>
        <w:spacing w:line="480" w:lineRule="auto"/>
        <w:ind w:left="720" w:hanging="720"/>
        <w:jc w:val="both"/>
        <w:rPr>
          <w:rFonts w:ascii="Times New Roman" w:hAnsi="Times New Roman" w:cs="Times New Roman"/>
          <w:sz w:val="24"/>
          <w:szCs w:val="24"/>
          <w:lang w:val="en-US"/>
        </w:rPr>
      </w:pPr>
      <w:r w:rsidRPr="008F42E5">
        <w:rPr>
          <w:rFonts w:ascii="Times New Roman" w:hAnsi="Times New Roman" w:cs="Times New Roman"/>
          <w:sz w:val="24"/>
          <w:szCs w:val="24"/>
          <w:lang w:val="en-US"/>
        </w:rPr>
        <w:t xml:space="preserve">Ugwu, A. O., Gao, X., Ugwu, J. O., &amp; Chang, V. (2022). Ethical implications of AI in healthcare data: A case study using healthcare data breaches from the US Department of Health and Human Services breach portal. In the </w:t>
      </w:r>
      <w:r w:rsidRPr="008F42E5">
        <w:rPr>
          <w:rFonts w:ascii="Times New Roman" w:hAnsi="Times New Roman" w:cs="Times New Roman"/>
          <w:i/>
          <w:iCs/>
          <w:sz w:val="24"/>
          <w:szCs w:val="24"/>
          <w:lang w:val="en-US"/>
        </w:rPr>
        <w:t>2022 International Conference on Industrial IoT, Big Data and Supply Chain</w:t>
      </w:r>
      <w:r w:rsidRPr="008F42E5">
        <w:rPr>
          <w:rFonts w:ascii="Times New Roman" w:hAnsi="Times New Roman" w:cs="Times New Roman"/>
          <w:sz w:val="24"/>
          <w:szCs w:val="24"/>
          <w:lang w:val="en-US"/>
        </w:rPr>
        <w:t xml:space="preserve"> (</w:t>
      </w:r>
      <w:proofErr w:type="spellStart"/>
      <w:r w:rsidRPr="008F42E5">
        <w:rPr>
          <w:rFonts w:ascii="Times New Roman" w:hAnsi="Times New Roman" w:cs="Times New Roman"/>
          <w:sz w:val="24"/>
          <w:szCs w:val="24"/>
          <w:lang w:val="en-US"/>
        </w:rPr>
        <w:t>IIoTBDSC</w:t>
      </w:r>
      <w:proofErr w:type="spellEnd"/>
      <w:r w:rsidRPr="008F42E5">
        <w:rPr>
          <w:rFonts w:ascii="Times New Roman" w:hAnsi="Times New Roman" w:cs="Times New Roman"/>
          <w:sz w:val="24"/>
          <w:szCs w:val="24"/>
          <w:lang w:val="en-US"/>
        </w:rPr>
        <w:t xml:space="preserve">) (pp. 343-349). IEEE. Available at: </w:t>
      </w:r>
      <w:hyperlink r:id="rId7" w:tgtFrame="_new" w:history="1">
        <w:r w:rsidRPr="008F42E5">
          <w:rPr>
            <w:rStyle w:val="Hyperlink"/>
            <w:rFonts w:ascii="Times New Roman" w:hAnsi="Times New Roman" w:cs="Times New Roman"/>
            <w:sz w:val="24"/>
            <w:szCs w:val="24"/>
            <w:u w:val="none"/>
            <w:lang w:val="en-US"/>
          </w:rPr>
          <w:t>https://doi.org/10.1109/IIoTBDSC57192.2022.00070</w:t>
        </w:r>
      </w:hyperlink>
      <w:r w:rsidRPr="008F42E5">
        <w:rPr>
          <w:rFonts w:ascii="Times New Roman" w:hAnsi="Times New Roman" w:cs="Times New Roman"/>
          <w:sz w:val="24"/>
          <w:szCs w:val="24"/>
          <w:lang w:val="en-US"/>
        </w:rPr>
        <w:t xml:space="preserve"> </w:t>
      </w:r>
      <w:r>
        <w:rPr>
          <w:rFonts w:ascii="Times New Roman" w:hAnsi="Times New Roman" w:cs="Times New Roman"/>
          <w:sz w:val="24"/>
          <w:szCs w:val="24"/>
          <w:lang w:val=""/>
        </w:rPr>
        <w:t>(</w:t>
      </w:r>
      <w:r w:rsidRPr="008F42E5">
        <w:rPr>
          <w:rFonts w:ascii="Times New Roman" w:hAnsi="Times New Roman" w:cs="Times New Roman"/>
          <w:sz w:val="24"/>
          <w:szCs w:val="24"/>
          <w:lang w:val=""/>
        </w:rPr>
        <w:t>14 November 2025</w:t>
      </w:r>
      <w:r>
        <w:rPr>
          <w:rFonts w:ascii="Times New Roman" w:hAnsi="Times New Roman" w:cs="Times New Roman"/>
          <w:sz w:val="24"/>
          <w:szCs w:val="24"/>
          <w:lang w:val=""/>
        </w:rPr>
        <w:t>)</w:t>
      </w:r>
      <w:r w:rsidRPr="008F42E5">
        <w:rPr>
          <w:rFonts w:ascii="Times New Roman" w:hAnsi="Times New Roman" w:cs="Times New Roman"/>
          <w:sz w:val="24"/>
          <w:szCs w:val="24"/>
          <w:lang w:val=""/>
        </w:rPr>
        <w:t>.</w:t>
      </w:r>
    </w:p>
    <w:p w14:paraId="0147F362" w14:textId="4050ACDA" w:rsidR="000A66DE" w:rsidRPr="00F845A9" w:rsidRDefault="000A66DE" w:rsidP="00F845A9">
      <w:pPr>
        <w:spacing w:line="480" w:lineRule="auto"/>
        <w:jc w:val="both"/>
        <w:rPr>
          <w:rFonts w:ascii="Times New Roman" w:hAnsi="Times New Roman" w:cs="Times New Roman"/>
          <w:sz w:val="24"/>
          <w:szCs w:val="24"/>
        </w:rPr>
      </w:pPr>
    </w:p>
    <w:p w14:paraId="7203EE27" w14:textId="77777777" w:rsidR="000A66DE" w:rsidRPr="00F845A9" w:rsidRDefault="000A66DE" w:rsidP="00F845A9">
      <w:pPr>
        <w:spacing w:line="480" w:lineRule="auto"/>
        <w:jc w:val="both"/>
        <w:rPr>
          <w:rFonts w:ascii="Times New Roman" w:hAnsi="Times New Roman" w:cs="Times New Roman"/>
          <w:sz w:val="24"/>
          <w:szCs w:val="24"/>
        </w:rPr>
      </w:pPr>
    </w:p>
    <w:sectPr w:rsidR="000A66DE" w:rsidRPr="00F845A9">
      <w:pgSz w:w="11906" w:h="16838"/>
      <w:pgMar w:top="1588" w:right="1134" w:bottom="102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akkal Majalla">
    <w:panose1 w:val="02000000000000000000"/>
    <w:charset w:val="B2"/>
    <w:family w:val="auto"/>
    <w:pitch w:val="variable"/>
    <w:sig w:usb0="80002007" w:usb1="80000000"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39C2"/>
    <w:multiLevelType w:val="multilevel"/>
    <w:tmpl w:val="2CF62D22"/>
    <w:styleLink w:val="LFO14"/>
    <w:lvl w:ilvl="0">
      <w:start w:val="1"/>
      <w:numFmt w:val="decimal"/>
      <w:pStyle w:val="TAQATable5"/>
      <w:lvlText w:val="%1."/>
      <w:lvlJc w:val="left"/>
      <w:pPr>
        <w:ind w:left="720" w:hanging="720"/>
      </w:pPr>
      <w:rPr>
        <w:b/>
        <w:i w:val="0"/>
      </w:rPr>
    </w:lvl>
    <w:lvl w:ilvl="1">
      <w:start w:val="1"/>
      <w:numFmt w:val="decimal"/>
      <w:lvlText w:val="%1.%2"/>
      <w:lvlJc w:val="left"/>
      <w:pPr>
        <w:ind w:left="720" w:hanging="720"/>
      </w:pPr>
      <w:rPr>
        <w:b/>
        <w:i w:val="0"/>
      </w:rPr>
    </w:lvl>
    <w:lvl w:ilvl="2">
      <w:start w:val="1"/>
      <w:numFmt w:val="lowerLetter"/>
      <w:lvlText w:val="(%3)"/>
      <w:lvlJc w:val="left"/>
      <w:pPr>
        <w:ind w:left="720" w:hanging="720"/>
      </w:pPr>
    </w:lvl>
    <w:lvl w:ilvl="3">
      <w:start w:val="1"/>
      <w:numFmt w:val="lowerRoman"/>
      <w:lvlText w:val="(%4)"/>
      <w:lvlJc w:val="left"/>
      <w:pPr>
        <w:ind w:left="1440" w:hanging="720"/>
      </w:pPr>
    </w:lvl>
    <w:lvl w:ilvl="4">
      <w:start w:val="1"/>
      <w:numFmt w:val="upperLetter"/>
      <w:lvlText w:val="(%5)"/>
      <w:lvlJc w:val="left"/>
      <w:pPr>
        <w:ind w:left="2160" w:hanging="720"/>
      </w:pPr>
    </w:lvl>
    <w:lvl w:ilvl="5">
      <w:start w:val="1"/>
      <w:numFmt w:val="none"/>
      <w:lvlText w:val="%6"/>
      <w:lvlJc w:val="left"/>
      <w:pPr>
        <w:ind w:left="2160" w:hanging="360"/>
      </w:pPr>
    </w:lvl>
    <w:lvl w:ilvl="6">
      <w:start w:val="1"/>
      <w:numFmt w:val="none"/>
      <w:lvlText w:val="%7"/>
      <w:lvlJc w:val="left"/>
      <w:pPr>
        <w:ind w:left="2520" w:hanging="360"/>
      </w:pPr>
    </w:lvl>
    <w:lvl w:ilvl="7">
      <w:start w:val="1"/>
      <w:numFmt w:val="none"/>
      <w:lvlText w:val="%8"/>
      <w:lvlJc w:val="left"/>
      <w:pPr>
        <w:ind w:left="2880" w:hanging="360"/>
      </w:pPr>
    </w:lvl>
    <w:lvl w:ilvl="8">
      <w:start w:val="1"/>
      <w:numFmt w:val="none"/>
      <w:lvlText w:val="%9"/>
      <w:lvlJc w:val="left"/>
      <w:pPr>
        <w:ind w:left="3240" w:hanging="360"/>
      </w:pPr>
    </w:lvl>
  </w:abstractNum>
  <w:abstractNum w:abstractNumId="1" w15:restartNumberingAfterBreak="0">
    <w:nsid w:val="12AF0A18"/>
    <w:multiLevelType w:val="multilevel"/>
    <w:tmpl w:val="D66C84F0"/>
    <w:styleLink w:val="LFO10"/>
    <w:lvl w:ilvl="0">
      <w:start w:val="1"/>
      <w:numFmt w:val="decimal"/>
      <w:pStyle w:val="TAQAANXParthead"/>
      <w:suff w:val="nothing"/>
      <w:lvlText w:val="Annex %1"/>
      <w:lvlJc w:val="left"/>
      <w:rPr>
        <w:b/>
        <w:i w:val="0"/>
      </w:rPr>
    </w:lvl>
    <w:lvl w:ilvl="1">
      <w:start w:val="1"/>
      <w:numFmt w:val="decimal"/>
      <w:suff w:val="nothing"/>
      <w:lvlText w:val="Part %2"/>
      <w:lvlJc w:val="left"/>
      <w:rPr>
        <w:b/>
        <w:i w:val="0"/>
      </w:rPr>
    </w:lvl>
    <w:lvl w:ilvl="2">
      <w:start w:val="1"/>
      <w:numFmt w:val="none"/>
      <w:lvlText w:val="%3"/>
      <w:lvlJc w:val="left"/>
      <w:pPr>
        <w:ind w:left="1080" w:hanging="360"/>
      </w:pPr>
    </w:lvl>
    <w:lvl w:ilvl="3">
      <w:start w:val="1"/>
      <w:numFmt w:val="none"/>
      <w:lvlText w:val="%4"/>
      <w:lvlJc w:val="left"/>
      <w:pPr>
        <w:ind w:left="1440" w:hanging="360"/>
      </w:pPr>
    </w:lvl>
    <w:lvl w:ilvl="4">
      <w:start w:val="1"/>
      <w:numFmt w:val="none"/>
      <w:lvlText w:val="%5"/>
      <w:lvlJc w:val="left"/>
      <w:pPr>
        <w:ind w:left="1800" w:hanging="360"/>
      </w:pPr>
    </w:lvl>
    <w:lvl w:ilvl="5">
      <w:start w:val="1"/>
      <w:numFmt w:val="none"/>
      <w:lvlText w:val="%6"/>
      <w:lvlJc w:val="left"/>
      <w:pPr>
        <w:ind w:left="2160" w:hanging="360"/>
      </w:pPr>
    </w:lvl>
    <w:lvl w:ilvl="6">
      <w:start w:val="1"/>
      <w:numFmt w:val="none"/>
      <w:lvlText w:val="%7"/>
      <w:lvlJc w:val="left"/>
      <w:pPr>
        <w:ind w:left="2520" w:hanging="360"/>
      </w:pPr>
    </w:lvl>
    <w:lvl w:ilvl="7">
      <w:start w:val="1"/>
      <w:numFmt w:val="none"/>
      <w:lvlText w:val="%8"/>
      <w:lvlJc w:val="left"/>
      <w:pPr>
        <w:ind w:left="2880" w:hanging="360"/>
      </w:pPr>
    </w:lvl>
    <w:lvl w:ilvl="8">
      <w:start w:val="1"/>
      <w:numFmt w:val="none"/>
      <w:lvlText w:val="%9"/>
      <w:lvlJc w:val="left"/>
      <w:pPr>
        <w:ind w:left="3240" w:hanging="360"/>
      </w:pPr>
    </w:lvl>
  </w:abstractNum>
  <w:abstractNum w:abstractNumId="2" w15:restartNumberingAfterBreak="0">
    <w:nsid w:val="1580743D"/>
    <w:multiLevelType w:val="multilevel"/>
    <w:tmpl w:val="0CDCBE90"/>
    <w:styleLink w:val="LFO9"/>
    <w:lvl w:ilvl="0">
      <w:start w:val="1"/>
      <w:numFmt w:val="decimal"/>
      <w:pStyle w:val="TOC9"/>
      <w:lvlText w:val="%1."/>
      <w:lvlJc w:val="left"/>
      <w:pPr>
        <w:ind w:left="720" w:hanging="720"/>
      </w:pPr>
      <w:rPr>
        <w:rFonts w:ascii="Arial" w:hAnsi="Arial"/>
        <w:b w:val="0"/>
        <w:i w:val="0"/>
        <w:sz w:val="20"/>
      </w:rPr>
    </w:lvl>
    <w:lvl w:ilvl="1">
      <w:start w:val="1"/>
      <w:numFmt w:val="decimal"/>
      <w:lvlText w:val="Part %2"/>
      <w:lvlJc w:val="left"/>
      <w:pPr>
        <w:ind w:left="1797" w:hanging="1077"/>
      </w:pPr>
      <w:rPr>
        <w:rFonts w:ascii="Arial" w:hAnsi="Arial"/>
        <w:b w:val="0"/>
        <w:i w:val="0"/>
        <w:sz w:val="2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8B5D86"/>
    <w:multiLevelType w:val="multilevel"/>
    <w:tmpl w:val="32D09F6A"/>
    <w:styleLink w:val="LFO13"/>
    <w:lvl w:ilvl="0">
      <w:start w:val="1"/>
      <w:numFmt w:val="decimal"/>
      <w:pStyle w:val="TAQASCHPartHead"/>
      <w:suff w:val="nothing"/>
      <w:lvlText w:val="Schedule %1"/>
      <w:lvlJc w:val="left"/>
      <w:rPr>
        <w:b/>
        <w:i w:val="0"/>
      </w:rPr>
    </w:lvl>
    <w:lvl w:ilvl="1">
      <w:start w:val="1"/>
      <w:numFmt w:val="decimal"/>
      <w:suff w:val="nothing"/>
      <w:lvlText w:val="Part %2"/>
      <w:lvlJc w:val="left"/>
      <w:rPr>
        <w:b/>
        <w:i w:val="0"/>
      </w:rPr>
    </w:lvl>
    <w:lvl w:ilvl="2">
      <w:start w:val="1"/>
      <w:numFmt w:val="none"/>
      <w:lvlText w:val="%3"/>
      <w:lvlJc w:val="left"/>
      <w:pPr>
        <w:ind w:left="1080" w:hanging="360"/>
      </w:pPr>
    </w:lvl>
    <w:lvl w:ilvl="3">
      <w:start w:val="1"/>
      <w:numFmt w:val="none"/>
      <w:lvlText w:val="%4"/>
      <w:lvlJc w:val="left"/>
      <w:pPr>
        <w:ind w:left="1440" w:hanging="360"/>
      </w:pPr>
    </w:lvl>
    <w:lvl w:ilvl="4">
      <w:start w:val="1"/>
      <w:numFmt w:val="none"/>
      <w:lvlText w:val="%5"/>
      <w:lvlJc w:val="left"/>
      <w:pPr>
        <w:ind w:left="1800" w:hanging="360"/>
      </w:pPr>
    </w:lvl>
    <w:lvl w:ilvl="5">
      <w:start w:val="1"/>
      <w:numFmt w:val="none"/>
      <w:lvlText w:val="%6"/>
      <w:lvlJc w:val="left"/>
      <w:pPr>
        <w:ind w:left="2160" w:hanging="360"/>
      </w:pPr>
    </w:lvl>
    <w:lvl w:ilvl="6">
      <w:start w:val="1"/>
      <w:numFmt w:val="none"/>
      <w:lvlText w:val="%7"/>
      <w:lvlJc w:val="left"/>
      <w:pPr>
        <w:ind w:left="2520" w:hanging="360"/>
      </w:pPr>
    </w:lvl>
    <w:lvl w:ilvl="7">
      <w:start w:val="1"/>
      <w:numFmt w:val="none"/>
      <w:lvlText w:val="%8"/>
      <w:lvlJc w:val="left"/>
      <w:pPr>
        <w:ind w:left="2880" w:hanging="360"/>
      </w:pPr>
    </w:lvl>
    <w:lvl w:ilvl="8">
      <w:start w:val="1"/>
      <w:numFmt w:val="none"/>
      <w:lvlText w:val="%9"/>
      <w:lvlJc w:val="left"/>
      <w:pPr>
        <w:ind w:left="3240" w:hanging="360"/>
      </w:pPr>
    </w:lvl>
  </w:abstractNum>
  <w:abstractNum w:abstractNumId="4" w15:restartNumberingAfterBreak="0">
    <w:nsid w:val="1917458E"/>
    <w:multiLevelType w:val="multilevel"/>
    <w:tmpl w:val="13922CFA"/>
    <w:styleLink w:val="WWOutlineListStyle"/>
    <w:lvl w:ilvl="0">
      <w:start w:val="1"/>
      <w:numFmt w:val="decimal"/>
      <w:lvlText w:val="(%1)"/>
      <w:lvlJc w:val="left"/>
      <w:pPr>
        <w:ind w:left="720" w:hanging="720"/>
      </w:pPr>
    </w:lvl>
    <w:lvl w:ilvl="1">
      <w:start w:val="1"/>
      <w:numFmt w:val="decimal"/>
      <w:lvlText w:val="%1.%2"/>
      <w:lvlJc w:val="left"/>
      <w:pPr>
        <w:ind w:left="720" w:hanging="720"/>
      </w:pPr>
    </w:lvl>
    <w:lvl w:ilvl="2">
      <w:start w:val="1"/>
      <w:numFmt w:val="lowerLetter"/>
      <w:lvlText w:val="(%3)"/>
      <w:lvlJc w:val="left"/>
      <w:pPr>
        <w:ind w:left="1440" w:hanging="720"/>
      </w:pPr>
    </w:lvl>
    <w:lvl w:ilvl="3">
      <w:start w:val="1"/>
      <w:numFmt w:val="lowerRoman"/>
      <w:lvlText w:val="(%4)"/>
      <w:lvlJc w:val="left"/>
      <w:pPr>
        <w:ind w:left="2160" w:hanging="720"/>
      </w:pPr>
    </w:lvl>
    <w:lvl w:ilvl="4">
      <w:start w:val="1"/>
      <w:numFmt w:val="upperLetter"/>
      <w:lvlText w:val="(%5)"/>
      <w:lvlJc w:val="left"/>
      <w:pPr>
        <w:ind w:left="2880" w:hanging="720"/>
      </w:pPr>
    </w:lvl>
    <w:lvl w:ilvl="5">
      <w:start w:val="1"/>
      <w:numFmt w:val="none"/>
      <w:lvlText w:val="(%6)"/>
      <w:lvlJc w:val="left"/>
      <w:pPr>
        <w:ind w:left="720" w:firstLine="0"/>
      </w:pPr>
    </w:lvl>
    <w:lvl w:ilvl="6">
      <w:start w:val="1"/>
      <w:numFmt w:val="lowerLetter"/>
      <w:lvlText w:val="%7"/>
      <w:lvlJc w:val="left"/>
      <w:pPr>
        <w:ind w:left="1440" w:hanging="720"/>
      </w:pPr>
    </w:lvl>
    <w:lvl w:ilvl="7">
      <w:start w:val="1"/>
      <w:numFmt w:val="none"/>
      <w:lvlText w:val="%8"/>
      <w:lvlJc w:val="left"/>
    </w:lvl>
    <w:lvl w:ilvl="8">
      <w:start w:val="1"/>
      <w:numFmt w:val="none"/>
      <w:lvlText w:val="%9"/>
      <w:lvlJc w:val="left"/>
    </w:lvl>
  </w:abstractNum>
  <w:abstractNum w:abstractNumId="5" w15:restartNumberingAfterBreak="0">
    <w:nsid w:val="1C0361C8"/>
    <w:multiLevelType w:val="multilevel"/>
    <w:tmpl w:val="023AE6F0"/>
    <w:styleLink w:val="LFO12"/>
    <w:lvl w:ilvl="0">
      <w:start w:val="1"/>
      <w:numFmt w:val="decimal"/>
      <w:pStyle w:val="TAQAListNumber4"/>
      <w:lvlText w:val="%1."/>
      <w:lvlJc w:val="left"/>
      <w:pPr>
        <w:ind w:left="720" w:hanging="720"/>
      </w:pPr>
    </w:lvl>
    <w:lvl w:ilvl="1">
      <w:start w:val="1"/>
      <w:numFmt w:val="lowerLetter"/>
      <w:lvlText w:val="(%2)"/>
      <w:lvlJc w:val="left"/>
      <w:pPr>
        <w:ind w:left="720" w:hanging="720"/>
      </w:pPr>
    </w:lvl>
    <w:lvl w:ilvl="2">
      <w:start w:val="1"/>
      <w:numFmt w:val="lowerRoman"/>
      <w:lvlText w:val="(%3)"/>
      <w:lvlJc w:val="left"/>
      <w:pPr>
        <w:ind w:left="1440" w:hanging="720"/>
      </w:pPr>
    </w:lvl>
    <w:lvl w:ilvl="3">
      <w:start w:val="1"/>
      <w:numFmt w:val="upperLetter"/>
      <w:lvlText w:val="(%4)"/>
      <w:lvlJc w:val="left"/>
      <w:pPr>
        <w:ind w:left="2160" w:hanging="720"/>
      </w:pPr>
    </w:lvl>
    <w:lvl w:ilvl="4">
      <w:start w:val="1"/>
      <w:numFmt w:val="upperRoman"/>
      <w:lvlText w:val="%5."/>
      <w:lvlJc w:val="left"/>
      <w:pPr>
        <w:ind w:left="2880" w:hanging="720"/>
      </w:pPr>
    </w:lvl>
    <w:lvl w:ilvl="5">
      <w:start w:val="1"/>
      <w:numFmt w:val="none"/>
      <w:lvlText w:val="%6"/>
      <w:lvlJc w:val="left"/>
      <w:pPr>
        <w:ind w:left="1440" w:hanging="720"/>
      </w:pPr>
    </w:lvl>
    <w:lvl w:ilvl="6">
      <w:start w:val="1"/>
      <w:numFmt w:val="none"/>
      <w:lvlText w:val="%7"/>
      <w:lvlJc w:val="left"/>
      <w:pPr>
        <w:ind w:left="2160" w:hanging="720"/>
      </w:pPr>
    </w:lvl>
    <w:lvl w:ilvl="7">
      <w:start w:val="1"/>
      <w:numFmt w:val="none"/>
      <w:lvlText w:val="%8"/>
      <w:lvlJc w:val="left"/>
      <w:pPr>
        <w:ind w:left="2880" w:hanging="720"/>
      </w:pPr>
    </w:lvl>
    <w:lvl w:ilvl="8">
      <w:start w:val="1"/>
      <w:numFmt w:val="none"/>
      <w:lvlText w:val="%9"/>
      <w:lvlJc w:val="left"/>
      <w:pPr>
        <w:ind w:left="3600" w:hanging="720"/>
      </w:pPr>
    </w:lvl>
  </w:abstractNum>
  <w:abstractNum w:abstractNumId="6" w15:restartNumberingAfterBreak="0">
    <w:nsid w:val="25E45F11"/>
    <w:multiLevelType w:val="multilevel"/>
    <w:tmpl w:val="96E69B24"/>
    <w:styleLink w:val="LFO11"/>
    <w:lvl w:ilvl="0">
      <w:start w:val="1"/>
      <w:numFmt w:val="decimal"/>
      <w:pStyle w:val="TAQAAPPPartHead"/>
      <w:suff w:val="nothing"/>
      <w:lvlText w:val="Appendix %1"/>
      <w:lvlJc w:val="left"/>
      <w:rPr>
        <w:b/>
        <w:i w:val="0"/>
      </w:rPr>
    </w:lvl>
    <w:lvl w:ilvl="1">
      <w:start w:val="1"/>
      <w:numFmt w:val="decimal"/>
      <w:suff w:val="nothing"/>
      <w:lvlText w:val="Part %2"/>
      <w:lvlJc w:val="left"/>
      <w:rPr>
        <w:b/>
        <w:i w:val="0"/>
      </w:rPr>
    </w:lvl>
    <w:lvl w:ilvl="2">
      <w:start w:val="1"/>
      <w:numFmt w:val="none"/>
      <w:lvlText w:val="%3"/>
      <w:lvlJc w:val="left"/>
      <w:pPr>
        <w:ind w:left="1080" w:hanging="360"/>
      </w:pPr>
    </w:lvl>
    <w:lvl w:ilvl="3">
      <w:start w:val="1"/>
      <w:numFmt w:val="none"/>
      <w:lvlText w:val="%4"/>
      <w:lvlJc w:val="left"/>
      <w:pPr>
        <w:ind w:left="1440" w:hanging="360"/>
      </w:pPr>
    </w:lvl>
    <w:lvl w:ilvl="4">
      <w:start w:val="1"/>
      <w:numFmt w:val="none"/>
      <w:lvlText w:val="%5"/>
      <w:lvlJc w:val="left"/>
      <w:pPr>
        <w:ind w:left="1800" w:hanging="360"/>
      </w:pPr>
    </w:lvl>
    <w:lvl w:ilvl="5">
      <w:start w:val="1"/>
      <w:numFmt w:val="none"/>
      <w:lvlText w:val="%6"/>
      <w:lvlJc w:val="left"/>
      <w:pPr>
        <w:ind w:left="2160" w:hanging="360"/>
      </w:pPr>
    </w:lvl>
    <w:lvl w:ilvl="6">
      <w:start w:val="1"/>
      <w:numFmt w:val="none"/>
      <w:lvlText w:val="%7"/>
      <w:lvlJc w:val="left"/>
      <w:pPr>
        <w:ind w:left="2520" w:hanging="360"/>
      </w:pPr>
    </w:lvl>
    <w:lvl w:ilvl="7">
      <w:start w:val="1"/>
      <w:numFmt w:val="none"/>
      <w:lvlText w:val="%8"/>
      <w:lvlJc w:val="left"/>
      <w:pPr>
        <w:ind w:left="2880" w:hanging="360"/>
      </w:pPr>
    </w:lvl>
    <w:lvl w:ilvl="8">
      <w:start w:val="1"/>
      <w:numFmt w:val="none"/>
      <w:lvlText w:val="%9"/>
      <w:lvlJc w:val="left"/>
      <w:pPr>
        <w:ind w:left="3240" w:hanging="360"/>
      </w:pPr>
    </w:lvl>
  </w:abstractNum>
  <w:abstractNum w:abstractNumId="7" w15:restartNumberingAfterBreak="0">
    <w:nsid w:val="288959D2"/>
    <w:multiLevelType w:val="multilevel"/>
    <w:tmpl w:val="3904BB68"/>
    <w:styleLink w:val="LFO8"/>
    <w:lvl w:ilvl="0">
      <w:start w:val="1"/>
      <w:numFmt w:val="decimal"/>
      <w:pStyle w:val="TOC7"/>
      <w:lvlText w:val="%1."/>
      <w:lvlJc w:val="left"/>
      <w:pPr>
        <w:ind w:left="720" w:hanging="720"/>
      </w:pPr>
      <w:rPr>
        <w:rFonts w:ascii="Arial" w:hAnsi="Arial"/>
        <w:b w:val="0"/>
        <w:i w:val="0"/>
        <w:sz w:val="20"/>
      </w:rPr>
    </w:lvl>
    <w:lvl w:ilvl="1">
      <w:start w:val="1"/>
      <w:numFmt w:val="decimal"/>
      <w:lvlText w:val="Part %2"/>
      <w:lvlJc w:val="left"/>
      <w:pPr>
        <w:ind w:left="1797" w:hanging="1077"/>
      </w:pPr>
      <w:rPr>
        <w:rFonts w:ascii="Arial" w:hAnsi="Arial"/>
        <w:b w:val="0"/>
        <w:i w:val="0"/>
        <w:sz w:val="20"/>
      </w:rPr>
    </w:lvl>
    <w:lvl w:ilvl="2">
      <w:start w:val="1"/>
      <w:numFmt w:val="none"/>
      <w:lvlText w:val="%3"/>
      <w:lvlJc w:val="left"/>
      <w:pPr>
        <w:ind w:left="1080" w:hanging="360"/>
      </w:pPr>
    </w:lvl>
    <w:lvl w:ilvl="3">
      <w:start w:val="1"/>
      <w:numFmt w:val="none"/>
      <w:lvlText w:val="%4"/>
      <w:lvlJc w:val="left"/>
      <w:pPr>
        <w:ind w:left="1440" w:hanging="360"/>
      </w:pPr>
    </w:lvl>
    <w:lvl w:ilvl="4">
      <w:start w:val="1"/>
      <w:numFmt w:val="none"/>
      <w:lvlText w:val="%5"/>
      <w:lvlJc w:val="left"/>
      <w:pPr>
        <w:ind w:left="1800" w:hanging="360"/>
      </w:pPr>
    </w:lvl>
    <w:lvl w:ilvl="5">
      <w:start w:val="1"/>
      <w:numFmt w:val="none"/>
      <w:lvlText w:val="%6"/>
      <w:lvlJc w:val="left"/>
      <w:pPr>
        <w:ind w:left="2160" w:hanging="360"/>
      </w:pPr>
    </w:lvl>
    <w:lvl w:ilvl="6">
      <w:start w:val="1"/>
      <w:numFmt w:val="none"/>
      <w:lvlText w:val="%7"/>
      <w:lvlJc w:val="left"/>
      <w:pPr>
        <w:ind w:left="2520" w:hanging="360"/>
      </w:pPr>
    </w:lvl>
    <w:lvl w:ilvl="7">
      <w:start w:val="1"/>
      <w:numFmt w:val="none"/>
      <w:lvlText w:val="%8"/>
      <w:lvlJc w:val="left"/>
      <w:pPr>
        <w:ind w:left="2880" w:hanging="360"/>
      </w:pPr>
    </w:lvl>
    <w:lvl w:ilvl="8">
      <w:start w:val="1"/>
      <w:numFmt w:val="none"/>
      <w:lvlText w:val="%9"/>
      <w:lvlJc w:val="left"/>
      <w:pPr>
        <w:ind w:left="3240" w:hanging="360"/>
      </w:pPr>
    </w:lvl>
  </w:abstractNum>
  <w:abstractNum w:abstractNumId="8" w15:restartNumberingAfterBreak="0">
    <w:nsid w:val="409003C8"/>
    <w:multiLevelType w:val="multilevel"/>
    <w:tmpl w:val="87403F16"/>
    <w:styleLink w:val="LFO6"/>
    <w:lvl w:ilvl="0">
      <w:start w:val="1"/>
      <w:numFmt w:val="decimal"/>
      <w:pStyle w:val="TAQAGenNum1Para3"/>
      <w:lvlText w:val="%1."/>
      <w:lvlJc w:val="left"/>
      <w:pPr>
        <w:ind w:left="720" w:hanging="720"/>
      </w:pPr>
      <w:rPr>
        <w:caps w:val="0"/>
      </w:rPr>
    </w:lvl>
    <w:lvl w:ilvl="1">
      <w:start w:val="1"/>
      <w:numFmt w:val="decimal"/>
      <w:lvlText w:val="%1.%2"/>
      <w:lvlJc w:val="left"/>
      <w:pPr>
        <w:ind w:left="720" w:hanging="720"/>
      </w:pPr>
    </w:lvl>
    <w:lvl w:ilvl="2">
      <w:start w:val="1"/>
      <w:numFmt w:val="lowerLetter"/>
      <w:lvlText w:val="(%3)"/>
      <w:lvlJc w:val="left"/>
      <w:pPr>
        <w:ind w:left="720" w:hanging="720"/>
      </w:pPr>
    </w:lvl>
    <w:lvl w:ilvl="3">
      <w:start w:val="1"/>
      <w:numFmt w:val="lowerLetter"/>
      <w:lvlText w:val="(%4)"/>
      <w:lvlJc w:val="left"/>
      <w:pPr>
        <w:ind w:left="1440" w:hanging="720"/>
      </w:pPr>
    </w:lvl>
    <w:lvl w:ilvl="4">
      <w:start w:val="1"/>
      <w:numFmt w:val="lowerRoman"/>
      <w:lvlText w:val="(%5)"/>
      <w:lvlJc w:val="left"/>
      <w:pPr>
        <w:ind w:left="1440" w:hanging="720"/>
      </w:pPr>
    </w:lvl>
    <w:lvl w:ilvl="5">
      <w:start w:val="1"/>
      <w:numFmt w:val="upperRoman"/>
      <w:lvlText w:val="(%6)"/>
      <w:lvlJc w:val="left"/>
      <w:pPr>
        <w:ind w:left="2160" w:hanging="720"/>
      </w:pPr>
    </w:lvl>
    <w:lvl w:ilvl="6">
      <w:start w:val="1"/>
      <w:numFmt w:val="upperLetter"/>
      <w:lvlText w:val="(%7)"/>
      <w:lvlJc w:val="left"/>
      <w:pPr>
        <w:ind w:left="2160" w:hanging="720"/>
      </w:pPr>
    </w:lvl>
    <w:lvl w:ilvl="7">
      <w:start w:val="1"/>
      <w:numFmt w:val="upperLetter"/>
      <w:lvlText w:val="%8."/>
      <w:lvlJc w:val="left"/>
      <w:pPr>
        <w:ind w:left="2880" w:hanging="720"/>
      </w:pPr>
    </w:lvl>
    <w:lvl w:ilvl="8">
      <w:start w:val="1"/>
      <w:numFmt w:val="none"/>
      <w:suff w:val="nothing"/>
      <w:lvlText w:val="%9"/>
      <w:lvlJc w:val="left"/>
    </w:lvl>
  </w:abstractNum>
  <w:abstractNum w:abstractNumId="9" w15:restartNumberingAfterBreak="0">
    <w:nsid w:val="413D139F"/>
    <w:multiLevelType w:val="multilevel"/>
    <w:tmpl w:val="F12838EE"/>
    <w:styleLink w:val="LFO5"/>
    <w:lvl w:ilvl="0">
      <w:numFmt w:val="bullet"/>
      <w:pStyle w:val="TAQABullet4"/>
      <w:lvlText w:val=""/>
      <w:lvlJc w:val="left"/>
      <w:pPr>
        <w:ind w:left="720" w:hanging="720"/>
      </w:pPr>
      <w:rPr>
        <w:rFonts w:ascii="Symbol" w:hAnsi="Symbol"/>
        <w:color w:val="auto"/>
      </w:rPr>
    </w:lvl>
    <w:lvl w:ilvl="1">
      <w:numFmt w:val="bullet"/>
      <w:lvlText w:val=""/>
      <w:lvlJc w:val="left"/>
      <w:pPr>
        <w:ind w:left="720" w:hanging="720"/>
      </w:pPr>
      <w:rPr>
        <w:rFonts w:ascii="Symbol" w:hAnsi="Symbol"/>
        <w:color w:val="auto"/>
      </w:rPr>
    </w:lvl>
    <w:lvl w:ilvl="2">
      <w:numFmt w:val="bullet"/>
      <w:lvlText w:val=""/>
      <w:lvlJc w:val="left"/>
      <w:pPr>
        <w:ind w:left="1440" w:hanging="720"/>
      </w:pPr>
      <w:rPr>
        <w:rFonts w:ascii="Symbol" w:hAnsi="Symbol"/>
        <w:color w:val="auto"/>
      </w:rPr>
    </w:lvl>
    <w:lvl w:ilvl="3">
      <w:numFmt w:val="bullet"/>
      <w:lvlText w:val=""/>
      <w:lvlJc w:val="left"/>
      <w:pPr>
        <w:ind w:left="1440" w:hanging="720"/>
      </w:pPr>
      <w:rPr>
        <w:rFonts w:ascii="Symbol" w:hAnsi="Symbol"/>
        <w:color w:val="auto"/>
      </w:rPr>
    </w:lvl>
    <w:lvl w:ilvl="4">
      <w:start w:val="1"/>
      <w:numFmt w:val="none"/>
      <w:lvlText w:val="%5"/>
      <w:lvlJc w:val="left"/>
      <w:pPr>
        <w:ind w:left="2160" w:hanging="720"/>
      </w:pPr>
    </w:lvl>
    <w:lvl w:ilvl="5">
      <w:start w:val="1"/>
      <w:numFmt w:val="none"/>
      <w:lvlText w:val="%6"/>
      <w:lvlJc w:val="left"/>
      <w:pPr>
        <w:ind w:left="2880" w:hanging="720"/>
      </w:pPr>
    </w:lvl>
    <w:lvl w:ilvl="6">
      <w:start w:val="1"/>
      <w:numFmt w:val="none"/>
      <w:lvlText w:val="%7"/>
      <w:lvlJc w:val="left"/>
      <w:pPr>
        <w:ind w:left="2160" w:hanging="720"/>
      </w:pPr>
    </w:lvl>
    <w:lvl w:ilvl="7">
      <w:start w:val="1"/>
      <w:numFmt w:val="none"/>
      <w:lvlText w:val="%8"/>
      <w:lvlJc w:val="left"/>
      <w:pPr>
        <w:ind w:left="1440" w:hanging="720"/>
      </w:pPr>
    </w:lvl>
    <w:lvl w:ilvl="8">
      <w:start w:val="1"/>
      <w:numFmt w:val="none"/>
      <w:lvlText w:val="%9"/>
      <w:lvlJc w:val="left"/>
      <w:pPr>
        <w:ind w:left="2160" w:hanging="720"/>
      </w:pPr>
    </w:lvl>
  </w:abstractNum>
  <w:abstractNum w:abstractNumId="10" w15:restartNumberingAfterBreak="0">
    <w:nsid w:val="41B152AB"/>
    <w:multiLevelType w:val="multilevel"/>
    <w:tmpl w:val="6AE2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D77CC"/>
    <w:multiLevelType w:val="multilevel"/>
    <w:tmpl w:val="4B5EE044"/>
    <w:styleLink w:val="WWOutlineListStyle1"/>
    <w:lvl w:ilvl="0">
      <w:start w:val="1"/>
      <w:numFmt w:val="decimal"/>
      <w:pStyle w:val="TAQA1"/>
      <w:lvlText w:val="(%1)"/>
      <w:lvlJc w:val="left"/>
      <w:pPr>
        <w:ind w:left="720" w:hanging="720"/>
      </w:pPr>
    </w:lvl>
    <w:lvl w:ilvl="1">
      <w:start w:val="1"/>
      <w:numFmt w:val="decimal"/>
      <w:pStyle w:val="TAQALevel2"/>
      <w:lvlText w:val="%1.%2"/>
      <w:lvlJc w:val="left"/>
      <w:pPr>
        <w:ind w:left="720" w:hanging="720"/>
      </w:pPr>
    </w:lvl>
    <w:lvl w:ilvl="2">
      <w:start w:val="1"/>
      <w:numFmt w:val="lowerLetter"/>
      <w:pStyle w:val="TAQALevel3"/>
      <w:lvlText w:val="(%3)"/>
      <w:lvlJc w:val="left"/>
      <w:pPr>
        <w:ind w:left="1440" w:hanging="720"/>
      </w:pPr>
    </w:lvl>
    <w:lvl w:ilvl="3">
      <w:start w:val="1"/>
      <w:numFmt w:val="lowerRoman"/>
      <w:pStyle w:val="TAQALevel4"/>
      <w:lvlText w:val="(%4)"/>
      <w:lvlJc w:val="left"/>
      <w:pPr>
        <w:ind w:left="2160" w:hanging="720"/>
      </w:pPr>
    </w:lvl>
    <w:lvl w:ilvl="4">
      <w:start w:val="1"/>
      <w:numFmt w:val="upperLetter"/>
      <w:pStyle w:val="TAQALevel5"/>
      <w:lvlText w:val="(%5)"/>
      <w:lvlJc w:val="left"/>
      <w:pPr>
        <w:ind w:left="2880" w:hanging="720"/>
      </w:pPr>
    </w:lvl>
    <w:lvl w:ilvl="5">
      <w:start w:val="1"/>
      <w:numFmt w:val="none"/>
      <w:lvlText w:val="%6"/>
      <w:lvlJc w:val="left"/>
    </w:lvl>
    <w:lvl w:ilvl="6">
      <w:start w:val="1"/>
      <w:numFmt w:val="lowerLetter"/>
      <w:pStyle w:val="TAQADefPara1"/>
      <w:lvlText w:val="%7"/>
      <w:lvlJc w:val="left"/>
      <w:pPr>
        <w:ind w:left="1440" w:hanging="720"/>
      </w:pPr>
    </w:lvl>
    <w:lvl w:ilvl="7">
      <w:start w:val="1"/>
      <w:numFmt w:val="none"/>
      <w:lvlText w:val=""/>
      <w:lvlJc w:val="left"/>
    </w:lvl>
    <w:lvl w:ilvl="8">
      <w:start w:val="1"/>
      <w:numFmt w:val="none"/>
      <w:lvlText w:val=""/>
      <w:lvlJc w:val="left"/>
    </w:lvl>
  </w:abstractNum>
  <w:abstractNum w:abstractNumId="12" w15:restartNumberingAfterBreak="0">
    <w:nsid w:val="56206014"/>
    <w:multiLevelType w:val="multilevel"/>
    <w:tmpl w:val="4718CD60"/>
    <w:styleLink w:val="LFO7"/>
    <w:lvl w:ilvl="0">
      <w:start w:val="1"/>
      <w:numFmt w:val="decimal"/>
      <w:pStyle w:val="TOC4"/>
      <w:lvlText w:val="%1."/>
      <w:lvlJc w:val="left"/>
      <w:pPr>
        <w:ind w:left="720" w:hanging="720"/>
      </w:pPr>
      <w:rPr>
        <w:rFonts w:ascii="Arial" w:hAnsi="Arial" w:cs="Times New Roman"/>
        <w:b w:val="0"/>
        <w:i w:val="0"/>
        <w:sz w:val="20"/>
      </w:rPr>
    </w:lvl>
    <w:lvl w:ilvl="1">
      <w:start w:val="1"/>
      <w:numFmt w:val="decimal"/>
      <w:lvlText w:val="Part %2"/>
      <w:lvlJc w:val="left"/>
      <w:pPr>
        <w:ind w:left="1797" w:hanging="1077"/>
      </w:pPr>
      <w:rPr>
        <w:rFonts w:ascii="Arial" w:hAnsi="Arial" w:cs="Times New Roman"/>
        <w:b w:val="0"/>
        <w:i w:val="0"/>
        <w:sz w:val="20"/>
      </w:rPr>
    </w:lvl>
    <w:lvl w:ilvl="2">
      <w:start w:val="1"/>
      <w:numFmt w:val="none"/>
      <w:suff w:val="nothing"/>
      <w:lvlText w:val="%3"/>
      <w:lvlJc w:val="left"/>
      <w:rPr>
        <w:rFonts w:ascii="Times New Roman" w:hAnsi="Times New Roman" w:cs="Times New Roman"/>
      </w:rPr>
    </w:lvl>
    <w:lvl w:ilvl="3">
      <w:start w:val="1"/>
      <w:numFmt w:val="none"/>
      <w:suff w:val="nothing"/>
      <w:lvlText w:val="%4"/>
      <w:lvlJc w:val="left"/>
      <w:rPr>
        <w:rFonts w:ascii="Times New Roman" w:hAnsi="Times New Roman" w:cs="Times New Roman"/>
      </w:rPr>
    </w:lvl>
    <w:lvl w:ilvl="4">
      <w:start w:val="1"/>
      <w:numFmt w:val="none"/>
      <w:suff w:val="nothing"/>
      <w:lvlText w:val="%5"/>
      <w:lvlJc w:val="left"/>
      <w:rPr>
        <w:rFonts w:ascii="Times New Roman" w:hAnsi="Times New Roman" w:cs="Times New Roman"/>
      </w:rPr>
    </w:lvl>
    <w:lvl w:ilvl="5">
      <w:start w:val="1"/>
      <w:numFmt w:val="none"/>
      <w:suff w:val="nothing"/>
      <w:lvlText w:val="%6"/>
      <w:lvlJc w:val="left"/>
      <w:rPr>
        <w:rFonts w:ascii="Times New Roman" w:hAnsi="Times New Roman" w:cs="Times New Roman"/>
      </w:rPr>
    </w:lvl>
    <w:lvl w:ilvl="6">
      <w:start w:val="1"/>
      <w:numFmt w:val="none"/>
      <w:suff w:val="nothing"/>
      <w:lvlText w:val="%7"/>
      <w:lvlJc w:val="left"/>
      <w:rPr>
        <w:rFonts w:ascii="Times New Roman" w:hAnsi="Times New Roman" w:cs="Times New Roman"/>
      </w:rPr>
    </w:lvl>
    <w:lvl w:ilvl="7">
      <w:start w:val="1"/>
      <w:numFmt w:val="none"/>
      <w:suff w:val="nothing"/>
      <w:lvlText w:val="%8"/>
      <w:lvlJc w:val="left"/>
      <w:rPr>
        <w:rFonts w:ascii="Times New Roman" w:hAnsi="Times New Roman" w:cs="Times New Roman"/>
      </w:rPr>
    </w:lvl>
    <w:lvl w:ilvl="8">
      <w:start w:val="1"/>
      <w:numFmt w:val="none"/>
      <w:suff w:val="nothing"/>
      <w:lvlText w:val="%9"/>
      <w:lvlJc w:val="left"/>
      <w:rPr>
        <w:rFonts w:ascii="Times New Roman" w:hAnsi="Times New Roman" w:cs="Times New Roman"/>
      </w:rPr>
    </w:lvl>
  </w:abstractNum>
  <w:abstractNum w:abstractNumId="13" w15:restartNumberingAfterBreak="0">
    <w:nsid w:val="5F9D4C2D"/>
    <w:multiLevelType w:val="multilevel"/>
    <w:tmpl w:val="3878C966"/>
    <w:styleLink w:val="LFO2"/>
    <w:lvl w:ilvl="0">
      <w:start w:val="1"/>
      <w:numFmt w:val="upperLetter"/>
      <w:pStyle w:val="TAQAA"/>
      <w:lvlText w:val="(%1)"/>
      <w:lvlJc w:val="left"/>
      <w:pPr>
        <w:ind w:left="720" w:hanging="720"/>
      </w:pPr>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4" w15:restartNumberingAfterBreak="0">
    <w:nsid w:val="607D7711"/>
    <w:multiLevelType w:val="multilevel"/>
    <w:tmpl w:val="4B0C5C32"/>
    <w:styleLink w:val="LFO15"/>
    <w:lvl w:ilvl="0">
      <w:numFmt w:val="bullet"/>
      <w:pStyle w:val="TAQATableBullet4"/>
      <w:lvlText w:val=""/>
      <w:lvlJc w:val="left"/>
      <w:pPr>
        <w:ind w:left="720" w:hanging="720"/>
      </w:pPr>
      <w:rPr>
        <w:rFonts w:ascii="Symbol" w:hAnsi="Symbol"/>
        <w:color w:val="auto"/>
      </w:rPr>
    </w:lvl>
    <w:lvl w:ilvl="1">
      <w:numFmt w:val="bullet"/>
      <w:lvlText w:val=""/>
      <w:lvlJc w:val="left"/>
      <w:pPr>
        <w:ind w:left="720" w:hanging="720"/>
      </w:pPr>
      <w:rPr>
        <w:rFonts w:ascii="Symbol" w:hAnsi="Symbol"/>
        <w:color w:val="auto"/>
      </w:rPr>
    </w:lvl>
    <w:lvl w:ilvl="2">
      <w:numFmt w:val="bullet"/>
      <w:lvlText w:val=""/>
      <w:lvlJc w:val="left"/>
      <w:pPr>
        <w:ind w:left="1440" w:hanging="720"/>
      </w:pPr>
      <w:rPr>
        <w:rFonts w:ascii="Symbol" w:hAnsi="Symbol"/>
        <w:color w:val="auto"/>
      </w:rPr>
    </w:lvl>
    <w:lvl w:ilvl="3">
      <w:numFmt w:val="bullet"/>
      <w:lvlText w:val=""/>
      <w:lvlJc w:val="left"/>
      <w:pPr>
        <w:ind w:left="1440" w:hanging="720"/>
      </w:pPr>
      <w:rPr>
        <w:rFonts w:ascii="Symbol" w:hAnsi="Symbol"/>
        <w:color w:val="auto"/>
      </w:rPr>
    </w:lvl>
    <w:lvl w:ilvl="4">
      <w:start w:val="1"/>
      <w:numFmt w:val="none"/>
      <w:lvlText w:val="%5"/>
      <w:lvlJc w:val="left"/>
      <w:pPr>
        <w:ind w:left="1800" w:hanging="360"/>
      </w:pPr>
    </w:lvl>
    <w:lvl w:ilvl="5">
      <w:start w:val="1"/>
      <w:numFmt w:val="none"/>
      <w:lvlText w:val="%6"/>
      <w:lvlJc w:val="left"/>
      <w:pPr>
        <w:ind w:left="2160" w:hanging="360"/>
      </w:pPr>
    </w:lvl>
    <w:lvl w:ilvl="6">
      <w:start w:val="1"/>
      <w:numFmt w:val="none"/>
      <w:lvlText w:val="%7"/>
      <w:lvlJc w:val="left"/>
      <w:pPr>
        <w:ind w:left="2520" w:hanging="360"/>
      </w:pPr>
    </w:lvl>
    <w:lvl w:ilvl="7">
      <w:start w:val="1"/>
      <w:numFmt w:val="none"/>
      <w:lvlText w:val="%8"/>
      <w:lvlJc w:val="left"/>
      <w:pPr>
        <w:ind w:left="2880" w:hanging="360"/>
      </w:pPr>
    </w:lvl>
    <w:lvl w:ilvl="8">
      <w:start w:val="1"/>
      <w:numFmt w:val="none"/>
      <w:lvlText w:val="%9"/>
      <w:lvlJc w:val="left"/>
      <w:pPr>
        <w:ind w:left="3240" w:hanging="360"/>
      </w:pPr>
    </w:lvl>
  </w:abstractNum>
  <w:abstractNum w:abstractNumId="15" w15:restartNumberingAfterBreak="0">
    <w:nsid w:val="66E05E89"/>
    <w:multiLevelType w:val="multilevel"/>
    <w:tmpl w:val="03BEE848"/>
    <w:styleLink w:val="LFO3"/>
    <w:lvl w:ilvl="0">
      <w:start w:val="1"/>
      <w:numFmt w:val="decimal"/>
      <w:pStyle w:val="TAQALevel2Alt"/>
      <w:lvlText w:val="%1."/>
      <w:lvlJc w:val="left"/>
      <w:pPr>
        <w:ind w:left="720" w:hanging="720"/>
      </w:pPr>
    </w:lvl>
    <w:lvl w:ilvl="1">
      <w:start w:val="1"/>
      <w:numFmt w:val="decimal"/>
      <w:lvlText w:val="%1.%2"/>
      <w:lvlJc w:val="left"/>
      <w:pPr>
        <w:ind w:left="720" w:hanging="720"/>
      </w:pPr>
    </w:lvl>
    <w:lvl w:ilvl="2">
      <w:start w:val="1"/>
      <w:numFmt w:val="lowerLetter"/>
      <w:lvlText w:val="(%3)"/>
      <w:lvlJc w:val="left"/>
      <w:pPr>
        <w:ind w:left="1440" w:hanging="720"/>
      </w:pPr>
    </w:lvl>
    <w:lvl w:ilvl="3">
      <w:start w:val="1"/>
      <w:numFmt w:val="lowerRoman"/>
      <w:lvlText w:val="(%4)"/>
      <w:lvlJc w:val="left"/>
      <w:pPr>
        <w:ind w:left="2160" w:hanging="720"/>
      </w:pPr>
    </w:lvl>
    <w:lvl w:ilvl="4">
      <w:start w:val="1"/>
      <w:numFmt w:val="upperLetter"/>
      <w:lvlText w:val="(%5)"/>
      <w:lvlJc w:val="left"/>
      <w:pPr>
        <w:ind w:left="2880" w:hanging="720"/>
      </w:pPr>
    </w:lvl>
    <w:lvl w:ilvl="5">
      <w:start w:val="1"/>
      <w:numFmt w:val="upperRoman"/>
      <w:lvlText w:val="(%6)"/>
      <w:lvlJc w:val="left"/>
      <w:pPr>
        <w:ind w:left="3600" w:hanging="720"/>
      </w:pPr>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6" w15:restartNumberingAfterBreak="0">
    <w:nsid w:val="69787C87"/>
    <w:multiLevelType w:val="multilevel"/>
    <w:tmpl w:val="387C59F4"/>
    <w:styleLink w:val="LFO4"/>
    <w:lvl w:ilvl="0">
      <w:start w:val="1"/>
      <w:numFmt w:val="none"/>
      <w:pStyle w:val="TAQADefPara5"/>
      <w:suff w:val="nothing"/>
      <w:lvlText w:val="%1"/>
      <w:lvlJc w:val="left"/>
      <w:pPr>
        <w:ind w:left="720" w:firstLine="0"/>
      </w:pPr>
    </w:lvl>
    <w:lvl w:ilvl="1">
      <w:start w:val="1"/>
      <w:numFmt w:val="lowerLetter"/>
      <w:lvlText w:val="(%2)"/>
      <w:lvlJc w:val="left"/>
      <w:pPr>
        <w:ind w:left="1440" w:hanging="720"/>
      </w:pPr>
    </w:lvl>
    <w:lvl w:ilvl="2">
      <w:start w:val="1"/>
      <w:numFmt w:val="lowerRoman"/>
      <w:lvlText w:val="(%3)"/>
      <w:lvlJc w:val="left"/>
      <w:pPr>
        <w:ind w:left="1440" w:hanging="720"/>
      </w:pPr>
    </w:lvl>
    <w:lvl w:ilvl="3">
      <w:start w:val="1"/>
      <w:numFmt w:val="lowerLetter"/>
      <w:lvlText w:val="(%4)"/>
      <w:lvlJc w:val="left"/>
      <w:pPr>
        <w:ind w:left="2160" w:hanging="720"/>
      </w:pPr>
    </w:lvl>
    <w:lvl w:ilvl="4">
      <w:start w:val="1"/>
      <w:numFmt w:val="lowerRoman"/>
      <w:lvlText w:val="(%5)"/>
      <w:lvlJc w:val="left"/>
      <w:pPr>
        <w:ind w:left="2160" w:hanging="720"/>
      </w:pPr>
    </w:lvl>
    <w:lvl w:ilvl="5">
      <w:start w:val="1"/>
      <w:numFmt w:val="upperLetter"/>
      <w:lvlText w:val="(%6)"/>
      <w:lvlJc w:val="left"/>
      <w:pPr>
        <w:ind w:left="2880" w:hanging="720"/>
      </w:pPr>
    </w:lvl>
    <w:lvl w:ilvl="6">
      <w:start w:val="1"/>
      <w:numFmt w:val="none"/>
      <w:lvlText w:val="%7"/>
      <w:lvlJc w:val="left"/>
      <w:pPr>
        <w:ind w:left="2160" w:hanging="720"/>
      </w:pPr>
    </w:lvl>
    <w:lvl w:ilvl="7">
      <w:start w:val="1"/>
      <w:numFmt w:val="none"/>
      <w:lvlText w:val="%8"/>
      <w:lvlJc w:val="left"/>
      <w:pPr>
        <w:ind w:left="1440" w:hanging="720"/>
      </w:pPr>
    </w:lvl>
    <w:lvl w:ilvl="8">
      <w:start w:val="1"/>
      <w:numFmt w:val="none"/>
      <w:lvlText w:val="%9"/>
      <w:lvlJc w:val="left"/>
      <w:pPr>
        <w:ind w:left="2160" w:hanging="720"/>
      </w:pPr>
    </w:lvl>
  </w:abstractNum>
  <w:num w:numId="1" w16cid:durableId="1530530203">
    <w:abstractNumId w:val="11"/>
  </w:num>
  <w:num w:numId="2" w16cid:durableId="328485023">
    <w:abstractNumId w:val="4"/>
  </w:num>
  <w:num w:numId="3" w16cid:durableId="1579973520">
    <w:abstractNumId w:val="13"/>
  </w:num>
  <w:num w:numId="4" w16cid:durableId="905654109">
    <w:abstractNumId w:val="15"/>
  </w:num>
  <w:num w:numId="5" w16cid:durableId="1863932210">
    <w:abstractNumId w:val="16"/>
  </w:num>
  <w:num w:numId="6" w16cid:durableId="448623476">
    <w:abstractNumId w:val="9"/>
  </w:num>
  <w:num w:numId="7" w16cid:durableId="1753890739">
    <w:abstractNumId w:val="8"/>
  </w:num>
  <w:num w:numId="8" w16cid:durableId="470024802">
    <w:abstractNumId w:val="12"/>
  </w:num>
  <w:num w:numId="9" w16cid:durableId="661547025">
    <w:abstractNumId w:val="7"/>
  </w:num>
  <w:num w:numId="10" w16cid:durableId="769012643">
    <w:abstractNumId w:val="2"/>
  </w:num>
  <w:num w:numId="11" w16cid:durableId="580681453">
    <w:abstractNumId w:val="1"/>
  </w:num>
  <w:num w:numId="12" w16cid:durableId="241451697">
    <w:abstractNumId w:val="6"/>
  </w:num>
  <w:num w:numId="13" w16cid:durableId="1487548401">
    <w:abstractNumId w:val="5"/>
  </w:num>
  <w:num w:numId="14" w16cid:durableId="1332637565">
    <w:abstractNumId w:val="3"/>
  </w:num>
  <w:num w:numId="15" w16cid:durableId="1514303490">
    <w:abstractNumId w:val="0"/>
  </w:num>
  <w:num w:numId="16" w16cid:durableId="1568303907">
    <w:abstractNumId w:val="14"/>
  </w:num>
  <w:num w:numId="17" w16cid:durableId="2871232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87E"/>
    <w:rsid w:val="000A66DE"/>
    <w:rsid w:val="005017FF"/>
    <w:rsid w:val="00581D1D"/>
    <w:rsid w:val="006868F1"/>
    <w:rsid w:val="0080387E"/>
    <w:rsid w:val="00844C13"/>
    <w:rsid w:val="008F42E5"/>
    <w:rsid w:val="00944823"/>
    <w:rsid w:val="00A92A9E"/>
    <w:rsid w:val="00F25284"/>
    <w:rsid w:val="00F845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66E8CC"/>
  <w15:docId w15:val="{6089F14E-992A-4D78-AE80-982773034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GB" w:eastAsia="en-US"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hAnsi="Arial"/>
    </w:rPr>
  </w:style>
  <w:style w:type="paragraph" w:styleId="Heading1">
    <w:name w:val="heading 1"/>
    <w:basedOn w:val="Normal"/>
    <w:next w:val="Normal"/>
    <w:uiPriority w:val="9"/>
    <w:qFormat/>
    <w:pPr>
      <w:keepNext/>
      <w:keepLines/>
      <w:spacing w:before="240"/>
      <w:outlineLvl w:val="0"/>
    </w:pPr>
    <w:rPr>
      <w:rFonts w:ascii="Calibri Light" w:eastAsia="DengXian Light" w:hAnsi="Calibri Light" w:cs="Times New Roman"/>
      <w:color w:val="0C0C18"/>
      <w:sz w:val="32"/>
      <w:szCs w:val="32"/>
    </w:rPr>
  </w:style>
  <w:style w:type="paragraph" w:styleId="Heading2">
    <w:name w:val="heading 2"/>
    <w:basedOn w:val="Normal"/>
    <w:next w:val="Normal"/>
    <w:uiPriority w:val="9"/>
    <w:semiHidden/>
    <w:unhideWhenUsed/>
    <w:qFormat/>
    <w:pPr>
      <w:keepNext/>
      <w:keepLines/>
      <w:spacing w:before="40"/>
      <w:outlineLvl w:val="1"/>
    </w:pPr>
    <w:rPr>
      <w:rFonts w:ascii="Calibri Light" w:eastAsia="DengXian Light" w:hAnsi="Calibri Light" w:cs="Times New Roman"/>
      <w:color w:val="0C0C18"/>
      <w:sz w:val="26"/>
      <w:szCs w:val="26"/>
    </w:rPr>
  </w:style>
  <w:style w:type="paragraph" w:styleId="Heading3">
    <w:name w:val="heading 3"/>
    <w:basedOn w:val="Normal"/>
    <w:next w:val="Normal"/>
    <w:uiPriority w:val="9"/>
    <w:semiHidden/>
    <w:unhideWhenUsed/>
    <w:qFormat/>
    <w:pPr>
      <w:keepNext/>
      <w:keepLines/>
      <w:spacing w:before="40"/>
      <w:outlineLvl w:val="2"/>
    </w:pPr>
    <w:rPr>
      <w:rFonts w:ascii="Calibri Light" w:eastAsia="DengXian Light" w:hAnsi="Calibri Light" w:cs="Times New Roman"/>
      <w:color w:val="080810"/>
      <w:sz w:val="24"/>
      <w:szCs w:val="24"/>
    </w:rPr>
  </w:style>
  <w:style w:type="paragraph" w:styleId="Heading4">
    <w:name w:val="heading 4"/>
    <w:basedOn w:val="Normal"/>
    <w:next w:val="Normal"/>
    <w:uiPriority w:val="9"/>
    <w:semiHidden/>
    <w:unhideWhenUsed/>
    <w:qFormat/>
    <w:pPr>
      <w:keepNext/>
      <w:keepLines/>
      <w:spacing w:before="40"/>
      <w:outlineLvl w:val="3"/>
    </w:pPr>
    <w:rPr>
      <w:rFonts w:ascii="Calibri Light" w:eastAsia="DengXian Light" w:hAnsi="Calibri Light" w:cs="Times New Roman"/>
      <w:i/>
      <w:iCs/>
      <w:color w:val="0C0C18"/>
    </w:rPr>
  </w:style>
  <w:style w:type="paragraph" w:styleId="Heading5">
    <w:name w:val="heading 5"/>
    <w:basedOn w:val="Normal"/>
    <w:next w:val="Normal"/>
    <w:uiPriority w:val="9"/>
    <w:semiHidden/>
    <w:unhideWhenUsed/>
    <w:qFormat/>
    <w:pPr>
      <w:keepNext/>
      <w:keepLines/>
      <w:spacing w:before="40"/>
      <w:outlineLvl w:val="4"/>
    </w:pPr>
    <w:rPr>
      <w:rFonts w:ascii="Calibri Light" w:eastAsia="DengXian Light" w:hAnsi="Calibri Light" w:cs="Times New Roman"/>
      <w:color w:val="0C0C18"/>
    </w:rPr>
  </w:style>
  <w:style w:type="paragraph" w:styleId="Heading6">
    <w:name w:val="heading 6"/>
    <w:basedOn w:val="Normal"/>
    <w:next w:val="Normal"/>
    <w:uiPriority w:val="9"/>
    <w:semiHidden/>
    <w:unhideWhenUsed/>
    <w:qFormat/>
    <w:pPr>
      <w:keepNext/>
      <w:keepLines/>
      <w:spacing w:before="40"/>
      <w:outlineLvl w:val="5"/>
    </w:pPr>
    <w:rPr>
      <w:rFonts w:ascii="Calibri Light" w:eastAsia="DengXian Light" w:hAnsi="Calibri Light" w:cs="Times New Roman"/>
      <w:color w:val="080810"/>
    </w:rPr>
  </w:style>
  <w:style w:type="paragraph" w:styleId="Heading7">
    <w:name w:val="heading 7"/>
    <w:basedOn w:val="Normal"/>
    <w:next w:val="Normal"/>
    <w:pPr>
      <w:tabs>
        <w:tab w:val="left" w:pos="360"/>
      </w:tabs>
      <w:spacing w:before="240" w:line="260" w:lineRule="atLeast"/>
      <w:outlineLvl w:val="6"/>
    </w:pPr>
    <w:rPr>
      <w:rFonts w:ascii="Times New Roman" w:eastAsia="Times New Roman" w:hAnsi="Times New Roman" w:cs="Times New Roman"/>
      <w:iCs/>
      <w:sz w:val="22"/>
    </w:rPr>
  </w:style>
  <w:style w:type="paragraph" w:styleId="Heading8">
    <w:name w:val="heading 8"/>
    <w:basedOn w:val="Normal"/>
    <w:next w:val="Normal"/>
    <w:pPr>
      <w:tabs>
        <w:tab w:val="left" w:pos="360"/>
      </w:tabs>
      <w:spacing w:before="240" w:line="260" w:lineRule="atLeast"/>
      <w:outlineLvl w:val="7"/>
    </w:pPr>
    <w:rPr>
      <w:rFonts w:ascii="Times New Roman" w:eastAsia="Times New Roman" w:hAnsi="Times New Roman" w:cs="Times New Roman"/>
      <w:sz w:val="22"/>
    </w:rPr>
  </w:style>
  <w:style w:type="paragraph" w:styleId="Heading9">
    <w:name w:val="heading 9"/>
    <w:basedOn w:val="Normal"/>
    <w:next w:val="Normal"/>
    <w:pPr>
      <w:tabs>
        <w:tab w:val="left" w:pos="360"/>
      </w:tabs>
      <w:spacing w:before="240" w:line="260" w:lineRule="atLeast"/>
      <w:outlineLvl w:val="8"/>
    </w:pPr>
    <w:rPr>
      <w:rFonts w:ascii="Times New Roman" w:eastAsia="Times New Roman" w:hAnsi="Times New Roman" w:cs="Times New Roman"/>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1">
    <w:name w:val="WW_OutlineListStyle_1"/>
    <w:basedOn w:val="NoList"/>
    <w:pPr>
      <w:numPr>
        <w:numId w:val="1"/>
      </w:numPr>
    </w:pPr>
  </w:style>
  <w:style w:type="paragraph" w:customStyle="1" w:styleId="TAQA1">
    <w:name w:val="TAQA(1)"/>
    <w:basedOn w:val="TAQANormal"/>
    <w:next w:val="TAQADoctxt"/>
    <w:pPr>
      <w:numPr>
        <w:numId w:val="1"/>
      </w:numPr>
      <w:spacing w:before="240" w:line="260" w:lineRule="atLeast"/>
      <w:jc w:val="both"/>
      <w:outlineLvl w:val="0"/>
    </w:pPr>
  </w:style>
  <w:style w:type="paragraph" w:customStyle="1" w:styleId="TAQALevel2">
    <w:name w:val="TAQALevel2"/>
    <w:basedOn w:val="TAQALevel2Alt"/>
    <w:next w:val="TAQALevel3"/>
    <w:pPr>
      <w:keepNext/>
      <w:numPr>
        <w:ilvl w:val="1"/>
        <w:numId w:val="1"/>
      </w:numPr>
      <w:outlineLvl w:val="1"/>
    </w:pPr>
    <w:rPr>
      <w:b/>
    </w:rPr>
  </w:style>
  <w:style w:type="paragraph" w:customStyle="1" w:styleId="TAQALevel3">
    <w:name w:val="TAQALevel3"/>
    <w:basedOn w:val="TAQANormal"/>
    <w:pPr>
      <w:numPr>
        <w:ilvl w:val="2"/>
        <w:numId w:val="1"/>
      </w:numPr>
      <w:spacing w:before="240" w:line="260" w:lineRule="atLeast"/>
      <w:jc w:val="both"/>
      <w:outlineLvl w:val="2"/>
    </w:pPr>
  </w:style>
  <w:style w:type="paragraph" w:customStyle="1" w:styleId="TAQALevel4">
    <w:name w:val="TAQALevel4"/>
    <w:basedOn w:val="TAQANormal"/>
    <w:pPr>
      <w:numPr>
        <w:ilvl w:val="3"/>
        <w:numId w:val="1"/>
      </w:numPr>
      <w:spacing w:before="240" w:line="260" w:lineRule="atLeast"/>
      <w:jc w:val="both"/>
      <w:outlineLvl w:val="3"/>
    </w:pPr>
  </w:style>
  <w:style w:type="paragraph" w:customStyle="1" w:styleId="TAQALevel5">
    <w:name w:val="TAQALevel5"/>
    <w:basedOn w:val="TAQANormal"/>
    <w:pPr>
      <w:numPr>
        <w:ilvl w:val="4"/>
        <w:numId w:val="1"/>
      </w:numPr>
      <w:spacing w:before="240" w:line="260" w:lineRule="atLeast"/>
      <w:jc w:val="both"/>
      <w:outlineLvl w:val="4"/>
    </w:pPr>
  </w:style>
  <w:style w:type="paragraph" w:customStyle="1" w:styleId="TAQADef">
    <w:name w:val="TAQADef"/>
    <w:basedOn w:val="TAQANormal"/>
    <w:pPr>
      <w:spacing w:before="240" w:line="260" w:lineRule="atLeast"/>
      <w:jc w:val="both"/>
      <w:outlineLvl w:val="5"/>
    </w:pPr>
  </w:style>
  <w:style w:type="paragraph" w:customStyle="1" w:styleId="TAQADefPara1">
    <w:name w:val="TAQADefPara1"/>
    <w:basedOn w:val="TAQANormal"/>
    <w:pPr>
      <w:numPr>
        <w:ilvl w:val="6"/>
        <w:numId w:val="1"/>
      </w:numPr>
      <w:spacing w:before="240" w:line="260" w:lineRule="atLeast"/>
      <w:jc w:val="both"/>
      <w:outlineLvl w:val="6"/>
    </w:pPr>
    <w:rPr>
      <w:lang w:val="es-ES"/>
    </w:rPr>
  </w:style>
  <w:style w:type="character" w:customStyle="1" w:styleId="Heading1Char">
    <w:name w:val="Heading 1 Char"/>
    <w:basedOn w:val="DefaultParagraphFont"/>
    <w:rPr>
      <w:rFonts w:ascii="Calibri Light" w:eastAsia="DengXian Light" w:hAnsi="Calibri Light" w:cs="Times New Roman"/>
      <w:color w:val="0C0C18"/>
      <w:sz w:val="32"/>
      <w:szCs w:val="32"/>
    </w:rPr>
  </w:style>
  <w:style w:type="character" w:customStyle="1" w:styleId="Heading2Char">
    <w:name w:val="Heading 2 Char"/>
    <w:basedOn w:val="DefaultParagraphFont"/>
    <w:rPr>
      <w:rFonts w:ascii="Calibri Light" w:eastAsia="DengXian Light" w:hAnsi="Calibri Light" w:cs="Times New Roman"/>
      <w:color w:val="0C0C18"/>
      <w:sz w:val="26"/>
      <w:szCs w:val="26"/>
    </w:rPr>
  </w:style>
  <w:style w:type="character" w:customStyle="1" w:styleId="Heading3Char">
    <w:name w:val="Heading 3 Char"/>
    <w:basedOn w:val="DefaultParagraphFont"/>
    <w:rPr>
      <w:rFonts w:ascii="Calibri Light" w:eastAsia="DengXian Light" w:hAnsi="Calibri Light" w:cs="Times New Roman"/>
      <w:color w:val="080810"/>
      <w:sz w:val="24"/>
      <w:szCs w:val="24"/>
    </w:rPr>
  </w:style>
  <w:style w:type="character" w:customStyle="1" w:styleId="Heading4Char">
    <w:name w:val="Heading 4 Char"/>
    <w:basedOn w:val="DefaultParagraphFont"/>
    <w:rPr>
      <w:rFonts w:ascii="Calibri Light" w:eastAsia="DengXian Light" w:hAnsi="Calibri Light" w:cs="Times New Roman"/>
      <w:i/>
      <w:iCs/>
      <w:color w:val="0C0C18"/>
      <w:sz w:val="20"/>
    </w:rPr>
  </w:style>
  <w:style w:type="character" w:customStyle="1" w:styleId="Heading5Char">
    <w:name w:val="Heading 5 Char"/>
    <w:basedOn w:val="DefaultParagraphFont"/>
    <w:rPr>
      <w:rFonts w:ascii="Calibri Light" w:eastAsia="DengXian Light" w:hAnsi="Calibri Light" w:cs="Times New Roman"/>
      <w:color w:val="0C0C18"/>
      <w:sz w:val="20"/>
    </w:rPr>
  </w:style>
  <w:style w:type="character" w:customStyle="1" w:styleId="Heading6Char">
    <w:name w:val="Heading 6 Char"/>
    <w:basedOn w:val="DefaultParagraphFont"/>
    <w:rPr>
      <w:rFonts w:ascii="Calibri Light" w:eastAsia="DengXian Light" w:hAnsi="Calibri Light" w:cs="Times New Roman"/>
      <w:color w:val="080810"/>
      <w:sz w:val="20"/>
    </w:rPr>
  </w:style>
  <w:style w:type="character" w:customStyle="1" w:styleId="Heading7Char">
    <w:name w:val="Heading 7 Char"/>
    <w:basedOn w:val="DefaultParagraphFont"/>
    <w:rPr>
      <w:rFonts w:ascii="Times New Roman" w:eastAsia="Times New Roman" w:hAnsi="Times New Roman" w:cs="Times New Roman"/>
      <w:iCs/>
    </w:rPr>
  </w:style>
  <w:style w:type="character" w:customStyle="1" w:styleId="Heading8Char">
    <w:name w:val="Heading 8 Char"/>
    <w:basedOn w:val="DefaultParagraphFont"/>
    <w:rPr>
      <w:rFonts w:ascii="Times New Roman" w:eastAsia="Times New Roman" w:hAnsi="Times New Roman" w:cs="Times New Roman"/>
      <w:szCs w:val="20"/>
    </w:rPr>
  </w:style>
  <w:style w:type="character" w:customStyle="1" w:styleId="Heading9Char">
    <w:name w:val="Heading 9 Char"/>
    <w:basedOn w:val="DefaultParagraphFont"/>
    <w:rPr>
      <w:rFonts w:ascii="Times New Roman" w:eastAsia="Times New Roman" w:hAnsi="Times New Roman" w:cs="Times New Roman"/>
      <w:iCs/>
      <w:szCs w:val="20"/>
    </w:rPr>
  </w:style>
  <w:style w:type="paragraph" w:styleId="Footer">
    <w:name w:val="footer"/>
    <w:basedOn w:val="Normal"/>
    <w:pPr>
      <w:tabs>
        <w:tab w:val="center" w:pos="4513"/>
        <w:tab w:val="right" w:pos="9026"/>
      </w:tabs>
    </w:pPr>
    <w:rPr>
      <w:sz w:val="16"/>
    </w:rPr>
  </w:style>
  <w:style w:type="character" w:customStyle="1" w:styleId="FooterChar">
    <w:name w:val="Footer Char"/>
    <w:basedOn w:val="DefaultParagraphFont"/>
    <w:rPr>
      <w:rFonts w:ascii="Arial" w:hAnsi="Arial"/>
      <w:sz w:val="16"/>
    </w:rPr>
  </w:style>
  <w:style w:type="paragraph" w:styleId="Header">
    <w:name w:val="header"/>
    <w:basedOn w:val="Normal"/>
    <w:pPr>
      <w:tabs>
        <w:tab w:val="center" w:pos="4513"/>
        <w:tab w:val="right" w:pos="9026"/>
      </w:tabs>
    </w:pPr>
    <w:rPr>
      <w:sz w:val="16"/>
    </w:rPr>
  </w:style>
  <w:style w:type="character" w:customStyle="1" w:styleId="HeaderChar">
    <w:name w:val="Header Char"/>
    <w:basedOn w:val="DefaultParagraphFont"/>
    <w:rPr>
      <w:rFonts w:ascii="Arial" w:hAnsi="Arial"/>
      <w:sz w:val="16"/>
    </w:rPr>
  </w:style>
  <w:style w:type="paragraph" w:customStyle="1" w:styleId="TAQANormal">
    <w:name w:val="TAQANormal"/>
    <w:basedOn w:val="Normal"/>
  </w:style>
  <w:style w:type="paragraph" w:customStyle="1" w:styleId="TAQADoctxt">
    <w:name w:val="TAQADoctxt"/>
    <w:basedOn w:val="TAQANormal"/>
    <w:pPr>
      <w:spacing w:before="240" w:line="260" w:lineRule="atLeast"/>
      <w:jc w:val="both"/>
    </w:pPr>
  </w:style>
  <w:style w:type="paragraph" w:customStyle="1" w:styleId="TAQADoctxt1">
    <w:name w:val="TAQADoctxt1"/>
    <w:basedOn w:val="TAQANormal"/>
    <w:pPr>
      <w:spacing w:before="240" w:line="260" w:lineRule="atLeast"/>
      <w:ind w:left="720"/>
      <w:jc w:val="both"/>
    </w:pPr>
  </w:style>
  <w:style w:type="paragraph" w:customStyle="1" w:styleId="TAQADoctxt2">
    <w:name w:val="TAQADoctxt2"/>
    <w:basedOn w:val="TAQANormal"/>
    <w:pPr>
      <w:spacing w:before="240" w:line="260" w:lineRule="atLeast"/>
      <w:ind w:left="1440"/>
      <w:jc w:val="both"/>
    </w:pPr>
  </w:style>
  <w:style w:type="paragraph" w:customStyle="1" w:styleId="TAQADoctxt3">
    <w:name w:val="TAQADoctxt3"/>
    <w:basedOn w:val="TAQANormal"/>
    <w:pPr>
      <w:spacing w:before="240" w:line="260" w:lineRule="atLeast"/>
      <w:ind w:left="2160"/>
      <w:jc w:val="both"/>
    </w:pPr>
  </w:style>
  <w:style w:type="paragraph" w:customStyle="1" w:styleId="TAQADoctxt4">
    <w:name w:val="TAQADoctxt4"/>
    <w:basedOn w:val="TAQANormal"/>
    <w:pPr>
      <w:spacing w:before="240" w:line="260" w:lineRule="atLeast"/>
      <w:ind w:left="2880"/>
      <w:jc w:val="both"/>
    </w:pPr>
  </w:style>
  <w:style w:type="paragraph" w:customStyle="1" w:styleId="TAQADoctxt5">
    <w:name w:val="TAQADoctxt5"/>
    <w:basedOn w:val="TAQANormal"/>
    <w:pPr>
      <w:spacing w:before="240" w:line="260" w:lineRule="atLeast"/>
      <w:ind w:left="3600"/>
      <w:jc w:val="both"/>
    </w:pPr>
  </w:style>
  <w:style w:type="paragraph" w:customStyle="1" w:styleId="TAQADoctxt6">
    <w:name w:val="TAQADoctxt6"/>
    <w:basedOn w:val="TAQANormal"/>
    <w:pPr>
      <w:spacing w:before="240" w:line="260" w:lineRule="atLeast"/>
      <w:ind w:left="4321"/>
      <w:jc w:val="both"/>
    </w:pPr>
  </w:style>
  <w:style w:type="paragraph" w:customStyle="1" w:styleId="TAQADoctxt7">
    <w:name w:val="TAQADoctxt7"/>
    <w:basedOn w:val="TAQANormal"/>
    <w:pPr>
      <w:spacing w:before="240" w:line="260" w:lineRule="atLeast"/>
      <w:ind w:left="5041"/>
      <w:jc w:val="both"/>
    </w:pPr>
  </w:style>
  <w:style w:type="paragraph" w:customStyle="1" w:styleId="TAQADoctxt8">
    <w:name w:val="TAQADoctxt8"/>
    <w:basedOn w:val="TAQANormal"/>
    <w:pPr>
      <w:spacing w:before="240" w:line="260" w:lineRule="atLeast"/>
      <w:ind w:left="5761"/>
      <w:jc w:val="both"/>
    </w:pPr>
  </w:style>
  <w:style w:type="paragraph" w:customStyle="1" w:styleId="TAQAA">
    <w:name w:val="TAQA(A)"/>
    <w:basedOn w:val="TAQANormal"/>
    <w:next w:val="TAQADoctxt"/>
    <w:pPr>
      <w:numPr>
        <w:numId w:val="3"/>
      </w:numPr>
      <w:spacing w:before="240" w:line="260" w:lineRule="atLeast"/>
      <w:jc w:val="both"/>
      <w:outlineLvl w:val="0"/>
    </w:pPr>
  </w:style>
  <w:style w:type="paragraph" w:customStyle="1" w:styleId="TAQAFPCopyright">
    <w:name w:val="TAQAFPCopyright"/>
    <w:basedOn w:val="TAQANormal"/>
    <w:pPr>
      <w:spacing w:line="260" w:lineRule="atLeast"/>
    </w:pPr>
    <w:rPr>
      <w:b/>
    </w:rPr>
  </w:style>
  <w:style w:type="paragraph" w:customStyle="1" w:styleId="TAQAFPTitle">
    <w:name w:val="TAQAFPTitle"/>
    <w:basedOn w:val="TAQANormal"/>
    <w:pPr>
      <w:spacing w:line="260" w:lineRule="atLeast"/>
      <w:jc w:val="center"/>
    </w:pPr>
    <w:rPr>
      <w:b/>
      <w:sz w:val="32"/>
      <w:szCs w:val="32"/>
    </w:rPr>
  </w:style>
  <w:style w:type="paragraph" w:customStyle="1" w:styleId="TAQAFPTxt">
    <w:name w:val="TAQAFPTxt"/>
    <w:basedOn w:val="TAQADoctxt"/>
    <w:pPr>
      <w:jc w:val="center"/>
    </w:pPr>
    <w:rPr>
      <w:b/>
    </w:rPr>
  </w:style>
  <w:style w:type="paragraph" w:customStyle="1" w:styleId="TAQALevel1">
    <w:name w:val="TAQALevel1"/>
    <w:basedOn w:val="TAQANormal"/>
    <w:next w:val="TAQADoctxt1"/>
    <w:pPr>
      <w:keepNext/>
      <w:spacing w:before="240" w:line="260" w:lineRule="atLeast"/>
      <w:jc w:val="both"/>
      <w:outlineLvl w:val="0"/>
    </w:pPr>
    <w:rPr>
      <w:b/>
      <w:caps/>
    </w:rPr>
  </w:style>
  <w:style w:type="paragraph" w:customStyle="1" w:styleId="TAQALevel6">
    <w:name w:val="TAQALevel6"/>
    <w:basedOn w:val="Normal"/>
    <w:pPr>
      <w:spacing w:before="240" w:line="260" w:lineRule="exact"/>
    </w:pPr>
  </w:style>
  <w:style w:type="paragraph" w:customStyle="1" w:styleId="TAQADefPara2">
    <w:name w:val="TAQADefPara2"/>
    <w:basedOn w:val="TAQANormal"/>
    <w:pPr>
      <w:spacing w:before="240" w:line="260" w:lineRule="atLeast"/>
      <w:jc w:val="both"/>
    </w:pPr>
  </w:style>
  <w:style w:type="paragraph" w:customStyle="1" w:styleId="TAQADefPara4">
    <w:name w:val="TAQADefPara4"/>
    <w:basedOn w:val="TAQANormal"/>
    <w:pPr>
      <w:spacing w:before="240" w:line="260" w:lineRule="atLeast"/>
      <w:jc w:val="both"/>
    </w:pPr>
  </w:style>
  <w:style w:type="paragraph" w:customStyle="1" w:styleId="TAQADefPara3">
    <w:name w:val="TAQADefPara3"/>
    <w:basedOn w:val="TAQANormal"/>
    <w:pPr>
      <w:spacing w:before="240" w:line="260" w:lineRule="atLeast"/>
      <w:jc w:val="both"/>
    </w:pPr>
  </w:style>
  <w:style w:type="paragraph" w:customStyle="1" w:styleId="TAQADefPara5">
    <w:name w:val="TAQADefPara5"/>
    <w:basedOn w:val="TAQANormal"/>
    <w:pPr>
      <w:numPr>
        <w:numId w:val="5"/>
      </w:numPr>
      <w:spacing w:before="240" w:line="260" w:lineRule="atLeast"/>
      <w:jc w:val="both"/>
    </w:pPr>
    <w:rPr>
      <w:lang w:val="es-ES"/>
    </w:rPr>
  </w:style>
  <w:style w:type="paragraph" w:customStyle="1" w:styleId="TAQABullet1">
    <w:name w:val="TAQABullet1"/>
    <w:basedOn w:val="TAQANormal"/>
    <w:pPr>
      <w:spacing w:before="240" w:line="260" w:lineRule="atLeast"/>
      <w:jc w:val="both"/>
    </w:pPr>
  </w:style>
  <w:style w:type="paragraph" w:customStyle="1" w:styleId="TAQABullet2">
    <w:name w:val="TAQABullet2"/>
    <w:basedOn w:val="TAQANormal"/>
    <w:pPr>
      <w:spacing w:before="240" w:line="260" w:lineRule="atLeast"/>
      <w:jc w:val="both"/>
    </w:pPr>
  </w:style>
  <w:style w:type="paragraph" w:customStyle="1" w:styleId="TAQABullet3">
    <w:name w:val="TAQABullet3"/>
    <w:basedOn w:val="TAQANormal"/>
    <w:pPr>
      <w:spacing w:before="240" w:line="260" w:lineRule="atLeast"/>
      <w:jc w:val="both"/>
    </w:pPr>
  </w:style>
  <w:style w:type="paragraph" w:customStyle="1" w:styleId="TAQABullet4">
    <w:name w:val="TAQABullet4"/>
    <w:basedOn w:val="TAQANormal"/>
    <w:pPr>
      <w:numPr>
        <w:numId w:val="6"/>
      </w:numPr>
      <w:spacing w:before="240" w:line="260" w:lineRule="atLeast"/>
      <w:jc w:val="both"/>
    </w:pPr>
  </w:style>
  <w:style w:type="paragraph" w:customStyle="1" w:styleId="TAQAGenNum1">
    <w:name w:val="TAQAGenNum1"/>
    <w:basedOn w:val="TAQADoctxt"/>
    <w:next w:val="TAQADoctxt1"/>
    <w:pPr>
      <w:keepNext/>
      <w:outlineLvl w:val="0"/>
    </w:pPr>
    <w:rPr>
      <w:b/>
    </w:rPr>
  </w:style>
  <w:style w:type="paragraph" w:customStyle="1" w:styleId="TAQAGenNum1Para2Alt">
    <w:name w:val="TAQAGenNum1Para2Alt"/>
    <w:basedOn w:val="TAQADoctxt"/>
    <w:pPr>
      <w:outlineLvl w:val="1"/>
    </w:pPr>
  </w:style>
  <w:style w:type="paragraph" w:customStyle="1" w:styleId="TAQAGenNum1Para4">
    <w:name w:val="TAQAGenNum1Para4"/>
    <w:basedOn w:val="TAQADoctxt"/>
    <w:pPr>
      <w:outlineLvl w:val="2"/>
    </w:pPr>
  </w:style>
  <w:style w:type="paragraph" w:customStyle="1" w:styleId="TAQAGenNum1Para5">
    <w:name w:val="TAQAGenNum1Para5"/>
    <w:basedOn w:val="TAQADoctxt"/>
    <w:pPr>
      <w:outlineLvl w:val="2"/>
    </w:pPr>
  </w:style>
  <w:style w:type="paragraph" w:customStyle="1" w:styleId="TAQAGenNum1Para6">
    <w:name w:val="TAQAGenNum1Para6"/>
    <w:basedOn w:val="TAQADoctxt"/>
    <w:pPr>
      <w:outlineLvl w:val="3"/>
    </w:pPr>
  </w:style>
  <w:style w:type="paragraph" w:customStyle="1" w:styleId="TAQAGenNum1Para7">
    <w:name w:val="TAQAGenNum1Para7"/>
    <w:basedOn w:val="TAQADoctxt"/>
    <w:pPr>
      <w:outlineLvl w:val="3"/>
    </w:pPr>
  </w:style>
  <w:style w:type="paragraph" w:customStyle="1" w:styleId="TAQAGenNum1Para8">
    <w:name w:val="TAQAGenNum1Para8"/>
    <w:basedOn w:val="TAQADoctxt"/>
    <w:pPr>
      <w:outlineLvl w:val="4"/>
    </w:pPr>
  </w:style>
  <w:style w:type="paragraph" w:customStyle="1" w:styleId="TAQAGenNum1Para2">
    <w:name w:val="TAQAGenNum1Para2"/>
    <w:basedOn w:val="TAQAGenNum1Para2Alt"/>
    <w:next w:val="TAQAGenNum1Para3"/>
    <w:pPr>
      <w:keepNext/>
    </w:pPr>
    <w:rPr>
      <w:b/>
    </w:rPr>
  </w:style>
  <w:style w:type="paragraph" w:customStyle="1" w:styleId="TAQASchHead">
    <w:name w:val="TAQASchHead"/>
    <w:basedOn w:val="TAQANormal"/>
    <w:next w:val="TAQASCHTitle"/>
    <w:pPr>
      <w:pageBreakBefore/>
      <w:spacing w:before="240" w:line="260" w:lineRule="atLeast"/>
      <w:jc w:val="center"/>
      <w:outlineLvl w:val="0"/>
    </w:pPr>
    <w:rPr>
      <w:caps/>
    </w:rPr>
  </w:style>
  <w:style w:type="paragraph" w:customStyle="1" w:styleId="TAQASCHTitle">
    <w:name w:val="TAQASCHTitle"/>
    <w:basedOn w:val="TAQANormal"/>
    <w:next w:val="TAQADoctxt"/>
    <w:pPr>
      <w:spacing w:before="240" w:line="260" w:lineRule="atLeast"/>
      <w:jc w:val="center"/>
      <w:outlineLvl w:val="0"/>
    </w:pPr>
    <w:rPr>
      <w:b/>
      <w:caps/>
    </w:rPr>
  </w:style>
  <w:style w:type="paragraph" w:customStyle="1" w:styleId="TAQASCHPartHead">
    <w:name w:val="TAQASCHPartHead"/>
    <w:basedOn w:val="TAQANormal"/>
    <w:next w:val="TAQASCHPartTitle"/>
    <w:pPr>
      <w:numPr>
        <w:numId w:val="14"/>
      </w:numPr>
      <w:spacing w:before="240" w:line="260" w:lineRule="atLeast"/>
      <w:jc w:val="center"/>
      <w:outlineLvl w:val="1"/>
    </w:pPr>
    <w:rPr>
      <w:caps/>
    </w:rPr>
  </w:style>
  <w:style w:type="paragraph" w:customStyle="1" w:styleId="TAQASCHPartTitle">
    <w:name w:val="TAQASCHPartTitle"/>
    <w:basedOn w:val="TAQANormal"/>
    <w:next w:val="TAQADoctxt"/>
    <w:pPr>
      <w:spacing w:before="240" w:line="260" w:lineRule="atLeast"/>
      <w:jc w:val="center"/>
      <w:outlineLvl w:val="1"/>
    </w:pPr>
    <w:rPr>
      <w:b/>
      <w:caps/>
    </w:rPr>
  </w:style>
  <w:style w:type="paragraph" w:customStyle="1" w:styleId="TAQAANXHead">
    <w:name w:val="TAQAANXHead"/>
    <w:basedOn w:val="TAQANormal"/>
    <w:pPr>
      <w:pageBreakBefore/>
      <w:spacing w:before="240" w:line="260" w:lineRule="atLeast"/>
      <w:jc w:val="center"/>
      <w:outlineLvl w:val="0"/>
    </w:pPr>
    <w:rPr>
      <w:caps/>
    </w:rPr>
  </w:style>
  <w:style w:type="paragraph" w:customStyle="1" w:styleId="TAQAANXTitle">
    <w:name w:val="TAQAANXTitle"/>
    <w:basedOn w:val="TAQANormal"/>
    <w:next w:val="TAQADoctxt"/>
    <w:pPr>
      <w:spacing w:before="240" w:line="260" w:lineRule="atLeast"/>
      <w:jc w:val="center"/>
      <w:outlineLvl w:val="0"/>
    </w:pPr>
    <w:rPr>
      <w:b/>
      <w:caps/>
    </w:rPr>
  </w:style>
  <w:style w:type="paragraph" w:customStyle="1" w:styleId="TAQAANXParthead">
    <w:name w:val="TAQAANXParthead"/>
    <w:basedOn w:val="TAQANormal"/>
    <w:pPr>
      <w:numPr>
        <w:numId w:val="11"/>
      </w:numPr>
      <w:spacing w:before="240" w:line="260" w:lineRule="atLeast"/>
      <w:jc w:val="center"/>
      <w:outlineLvl w:val="1"/>
    </w:pPr>
    <w:rPr>
      <w:caps/>
    </w:rPr>
  </w:style>
  <w:style w:type="paragraph" w:customStyle="1" w:styleId="TAQAANXPartTitle">
    <w:name w:val="TAQAANXPartTitle"/>
    <w:basedOn w:val="TAQANormal"/>
    <w:next w:val="TAQADoctxt"/>
    <w:pPr>
      <w:spacing w:before="240" w:line="260" w:lineRule="atLeast"/>
      <w:jc w:val="center"/>
      <w:outlineLvl w:val="1"/>
    </w:pPr>
    <w:rPr>
      <w:b/>
      <w:caps/>
    </w:rPr>
  </w:style>
  <w:style w:type="paragraph" w:customStyle="1" w:styleId="TAQAAPPHead">
    <w:name w:val="TAQAAPPHead"/>
    <w:basedOn w:val="TAQANormal"/>
    <w:pPr>
      <w:pageBreakBefore/>
      <w:spacing w:before="240" w:line="260" w:lineRule="atLeast"/>
      <w:jc w:val="center"/>
      <w:outlineLvl w:val="0"/>
    </w:pPr>
    <w:rPr>
      <w:caps/>
    </w:rPr>
  </w:style>
  <w:style w:type="paragraph" w:customStyle="1" w:styleId="TAQAAPPTitle">
    <w:name w:val="TAQAAPPTitle"/>
    <w:basedOn w:val="TAQANormal"/>
    <w:pPr>
      <w:spacing w:before="240" w:line="260" w:lineRule="atLeast"/>
      <w:jc w:val="center"/>
      <w:outlineLvl w:val="0"/>
    </w:pPr>
    <w:rPr>
      <w:b/>
      <w:caps/>
    </w:rPr>
  </w:style>
  <w:style w:type="paragraph" w:customStyle="1" w:styleId="TAQAAPPPartHead">
    <w:name w:val="TAQAAPPPartHead"/>
    <w:basedOn w:val="TAQANormal"/>
    <w:pPr>
      <w:numPr>
        <w:numId w:val="12"/>
      </w:numPr>
      <w:spacing w:before="240" w:line="260" w:lineRule="atLeast"/>
      <w:jc w:val="center"/>
      <w:outlineLvl w:val="1"/>
    </w:pPr>
    <w:rPr>
      <w:caps/>
    </w:rPr>
  </w:style>
  <w:style w:type="paragraph" w:customStyle="1" w:styleId="TAQAAPPPartTitle">
    <w:name w:val="TAQAAPPPartTitle"/>
    <w:basedOn w:val="TAQANormal"/>
    <w:next w:val="TAQADoctxt"/>
    <w:pPr>
      <w:spacing w:before="240" w:line="260" w:lineRule="atLeast"/>
      <w:jc w:val="center"/>
      <w:outlineLvl w:val="1"/>
    </w:pPr>
    <w:rPr>
      <w:b/>
      <w:caps/>
    </w:rPr>
  </w:style>
  <w:style w:type="paragraph" w:customStyle="1" w:styleId="TAQAHEADING1">
    <w:name w:val="TAQAHEADING1"/>
    <w:basedOn w:val="TAQADoctxt"/>
    <w:next w:val="TAQADoctxt"/>
    <w:pPr>
      <w:outlineLvl w:val="0"/>
    </w:pPr>
    <w:rPr>
      <w:b/>
      <w:caps/>
    </w:rPr>
  </w:style>
  <w:style w:type="paragraph" w:customStyle="1" w:styleId="TAQAHeading2">
    <w:name w:val="TAQAHeading2"/>
    <w:basedOn w:val="TAQADoctxt"/>
    <w:next w:val="TAQADoctxt"/>
    <w:pPr>
      <w:outlineLvl w:val="1"/>
    </w:pPr>
    <w:rPr>
      <w:b/>
    </w:rPr>
  </w:style>
  <w:style w:type="paragraph" w:customStyle="1" w:styleId="TAQAHeading3">
    <w:name w:val="TAQAHeading3"/>
    <w:basedOn w:val="TAQADoctxt"/>
    <w:next w:val="TAQADoctxt1"/>
    <w:pPr>
      <w:ind w:left="720"/>
      <w:outlineLvl w:val="2"/>
    </w:pPr>
    <w:rPr>
      <w:b/>
    </w:rPr>
  </w:style>
  <w:style w:type="paragraph" w:customStyle="1" w:styleId="TAQAHeading4">
    <w:name w:val="TAQAHeading4"/>
    <w:basedOn w:val="TAQADoctxt"/>
    <w:next w:val="TAQADoctxt"/>
    <w:pPr>
      <w:outlineLvl w:val="3"/>
    </w:pPr>
    <w:rPr>
      <w:i/>
    </w:rPr>
  </w:style>
  <w:style w:type="paragraph" w:customStyle="1" w:styleId="TAQAHeading5">
    <w:name w:val="TAQAHeading5"/>
    <w:basedOn w:val="TAQADoctxt"/>
    <w:next w:val="TAQADoctxt1"/>
    <w:pPr>
      <w:ind w:left="720"/>
      <w:outlineLvl w:val="4"/>
    </w:pPr>
    <w:rPr>
      <w:i/>
    </w:rPr>
  </w:style>
  <w:style w:type="paragraph" w:customStyle="1" w:styleId="TAQAHeading6">
    <w:name w:val="TAQAHeading6"/>
    <w:basedOn w:val="TAQADoctxt"/>
    <w:next w:val="TAQADoctxt"/>
    <w:pPr>
      <w:outlineLvl w:val="5"/>
    </w:pPr>
    <w:rPr>
      <w:b/>
      <w:i/>
    </w:rPr>
  </w:style>
  <w:style w:type="paragraph" w:customStyle="1" w:styleId="TAQAHeading7">
    <w:name w:val="TAQAHeading7"/>
    <w:basedOn w:val="TAQADoctxt"/>
    <w:next w:val="TAQADoctxt1"/>
    <w:pPr>
      <w:ind w:left="720"/>
      <w:outlineLvl w:val="6"/>
    </w:pPr>
    <w:rPr>
      <w:b/>
      <w:i/>
    </w:rPr>
  </w:style>
  <w:style w:type="paragraph" w:styleId="TOC1">
    <w:name w:val="toc 1"/>
    <w:basedOn w:val="Normal"/>
    <w:next w:val="Normal"/>
    <w:autoRedefine/>
    <w:pPr>
      <w:tabs>
        <w:tab w:val="left" w:pos="432"/>
        <w:tab w:val="right" w:leader="dot" w:pos="4608"/>
      </w:tabs>
      <w:spacing w:line="260" w:lineRule="atLeast"/>
      <w:ind w:left="432" w:hanging="432"/>
    </w:pPr>
  </w:style>
  <w:style w:type="paragraph" w:styleId="TOC2">
    <w:name w:val="toc 2"/>
    <w:basedOn w:val="Normal"/>
    <w:next w:val="Normal"/>
    <w:autoRedefine/>
    <w:pPr>
      <w:tabs>
        <w:tab w:val="left" w:pos="432"/>
        <w:tab w:val="right" w:leader="dot" w:pos="4608"/>
      </w:tabs>
      <w:bidi/>
      <w:spacing w:line="260" w:lineRule="atLeast"/>
    </w:pPr>
  </w:style>
  <w:style w:type="character" w:styleId="Hyperlink">
    <w:name w:val="Hyperlink"/>
    <w:basedOn w:val="DefaultParagraphFont"/>
    <w:rPr>
      <w:color w:val="08C2C2"/>
      <w:u w:val="single"/>
    </w:rPr>
  </w:style>
  <w:style w:type="paragraph" w:customStyle="1" w:styleId="TAQATOCHeading">
    <w:name w:val="TAQATOCHeading"/>
    <w:basedOn w:val="TAQANormal"/>
    <w:pPr>
      <w:tabs>
        <w:tab w:val="right" w:pos="9611"/>
      </w:tabs>
      <w:spacing w:before="240" w:after="240" w:line="260" w:lineRule="atLeast"/>
      <w:jc w:val="both"/>
    </w:pPr>
    <w:rPr>
      <w:b/>
    </w:rPr>
  </w:style>
  <w:style w:type="paragraph" w:styleId="TOC3">
    <w:name w:val="toc 3"/>
    <w:basedOn w:val="Normal"/>
    <w:next w:val="Normal"/>
    <w:autoRedefine/>
    <w:pPr>
      <w:tabs>
        <w:tab w:val="left" w:pos="0"/>
        <w:tab w:val="right" w:leader="dot" w:pos="8919"/>
      </w:tabs>
      <w:spacing w:line="260" w:lineRule="atLeast"/>
    </w:pPr>
  </w:style>
  <w:style w:type="paragraph" w:styleId="TOC4">
    <w:name w:val="toc 4"/>
    <w:basedOn w:val="Normal"/>
    <w:next w:val="Normal"/>
    <w:autoRedefine/>
    <w:pPr>
      <w:numPr>
        <w:numId w:val="8"/>
      </w:numPr>
      <w:tabs>
        <w:tab w:val="right" w:leader="dot" w:pos="7122"/>
      </w:tabs>
      <w:spacing w:line="260" w:lineRule="atLeast"/>
    </w:pPr>
  </w:style>
  <w:style w:type="paragraph" w:styleId="TOC6">
    <w:name w:val="toc 6"/>
    <w:basedOn w:val="Normal"/>
    <w:next w:val="Normal"/>
    <w:autoRedefine/>
    <w:pPr>
      <w:tabs>
        <w:tab w:val="left" w:pos="0"/>
        <w:tab w:val="right" w:leader="dot" w:pos="8919"/>
      </w:tabs>
      <w:spacing w:line="260" w:lineRule="atLeast"/>
    </w:pPr>
  </w:style>
  <w:style w:type="paragraph" w:styleId="TOC7">
    <w:name w:val="toc 7"/>
    <w:basedOn w:val="Normal"/>
    <w:next w:val="Normal"/>
    <w:autoRedefine/>
    <w:pPr>
      <w:numPr>
        <w:numId w:val="9"/>
      </w:numPr>
      <w:tabs>
        <w:tab w:val="left" w:pos="-720"/>
        <w:tab w:val="right" w:leader="dot" w:pos="7122"/>
      </w:tabs>
      <w:spacing w:line="260" w:lineRule="atLeast"/>
    </w:pPr>
  </w:style>
  <w:style w:type="paragraph" w:styleId="TOC8">
    <w:name w:val="toc 8"/>
    <w:basedOn w:val="Normal"/>
    <w:next w:val="Normal"/>
    <w:autoRedefine/>
    <w:pPr>
      <w:tabs>
        <w:tab w:val="left" w:pos="0"/>
        <w:tab w:val="right" w:leader="dot" w:pos="8919"/>
      </w:tabs>
      <w:spacing w:line="260" w:lineRule="atLeast"/>
    </w:pPr>
  </w:style>
  <w:style w:type="paragraph" w:styleId="TOC9">
    <w:name w:val="toc 9"/>
    <w:basedOn w:val="Normal"/>
    <w:next w:val="Normal"/>
    <w:autoRedefine/>
    <w:pPr>
      <w:numPr>
        <w:numId w:val="10"/>
      </w:numPr>
      <w:tabs>
        <w:tab w:val="left" w:pos="-720"/>
        <w:tab w:val="right" w:leader="dot" w:pos="7122"/>
      </w:tabs>
      <w:spacing w:line="260" w:lineRule="atLeast"/>
    </w:pPr>
  </w:style>
  <w:style w:type="paragraph" w:styleId="FootnoteText">
    <w:name w:val="footnote text"/>
    <w:basedOn w:val="Normal"/>
    <w:pPr>
      <w:ind w:left="720" w:hanging="720"/>
    </w:pPr>
    <w:rPr>
      <w:sz w:val="16"/>
    </w:rPr>
  </w:style>
  <w:style w:type="character" w:customStyle="1" w:styleId="FootnoteTextChar">
    <w:name w:val="Footnote Text Char"/>
    <w:basedOn w:val="DefaultParagraphFont"/>
    <w:rPr>
      <w:rFonts w:ascii="Arial" w:hAnsi="Arial"/>
      <w:sz w:val="16"/>
      <w:szCs w:val="20"/>
    </w:rPr>
  </w:style>
  <w:style w:type="character" w:styleId="FootnoteReference">
    <w:name w:val="footnote reference"/>
    <w:basedOn w:val="DefaultParagraphFont"/>
    <w:rPr>
      <w:position w:val="0"/>
      <w:vertAlign w:val="superscript"/>
    </w:rPr>
  </w:style>
  <w:style w:type="paragraph" w:customStyle="1" w:styleId="TAQASignatory">
    <w:name w:val="TAQASignatory"/>
    <w:basedOn w:val="TAQANormal"/>
    <w:next w:val="TAQADoctxt"/>
    <w:pPr>
      <w:pageBreakBefore/>
      <w:spacing w:before="240" w:after="240" w:line="260" w:lineRule="atLeast"/>
      <w:jc w:val="center"/>
      <w:outlineLvl w:val="0"/>
    </w:pPr>
    <w:rPr>
      <w:b/>
      <w:caps/>
    </w:rPr>
  </w:style>
  <w:style w:type="paragraph" w:styleId="TOC5">
    <w:name w:val="toc 5"/>
    <w:basedOn w:val="Normal"/>
    <w:next w:val="Normal"/>
    <w:autoRedefine/>
    <w:pPr>
      <w:tabs>
        <w:tab w:val="left" w:leader="dot" w:pos="4320"/>
      </w:tabs>
      <w:bidi/>
      <w:spacing w:before="240" w:after="240" w:line="260" w:lineRule="atLeast"/>
    </w:pPr>
  </w:style>
  <w:style w:type="paragraph" w:customStyle="1" w:styleId="TAQALevel2Alt">
    <w:name w:val="TAQALevel2Alt"/>
    <w:basedOn w:val="TAQANormal"/>
    <w:pPr>
      <w:numPr>
        <w:numId w:val="4"/>
      </w:numPr>
      <w:spacing w:before="240" w:line="260" w:lineRule="atLeast"/>
      <w:jc w:val="both"/>
    </w:pPr>
  </w:style>
  <w:style w:type="paragraph" w:customStyle="1" w:styleId="TAQAListNumber">
    <w:name w:val="TAQAListNumber"/>
    <w:basedOn w:val="TAQADoctxt"/>
    <w:pPr>
      <w:outlineLvl w:val="0"/>
    </w:pPr>
  </w:style>
  <w:style w:type="paragraph" w:customStyle="1" w:styleId="TAQAListNumber1">
    <w:name w:val="TAQAListNumber1"/>
    <w:basedOn w:val="TAQADoctxt"/>
    <w:pPr>
      <w:outlineLvl w:val="1"/>
    </w:pPr>
  </w:style>
  <w:style w:type="paragraph" w:customStyle="1" w:styleId="TAQAListNumber2">
    <w:name w:val="TAQAListNumber2"/>
    <w:basedOn w:val="TAQADoctxt"/>
    <w:pPr>
      <w:outlineLvl w:val="2"/>
    </w:pPr>
  </w:style>
  <w:style w:type="paragraph" w:customStyle="1" w:styleId="TAQAListNumber3">
    <w:name w:val="TAQAListNumber3"/>
    <w:basedOn w:val="TAQADoctxt"/>
    <w:pPr>
      <w:outlineLvl w:val="3"/>
    </w:pPr>
  </w:style>
  <w:style w:type="paragraph" w:customStyle="1" w:styleId="TAQAListNumber4">
    <w:name w:val="TAQAListNumber4"/>
    <w:basedOn w:val="TAQADoctxt"/>
    <w:pPr>
      <w:numPr>
        <w:numId w:val="13"/>
      </w:numPr>
      <w:outlineLvl w:val="4"/>
    </w:pPr>
  </w:style>
  <w:style w:type="paragraph" w:styleId="CommentText">
    <w:name w:val="annotation text"/>
    <w:basedOn w:val="Normal"/>
    <w:rPr>
      <w:rFonts w:ascii="Times New Roman" w:hAnsi="Times New Roman" w:cs="Times New Roman"/>
    </w:rPr>
  </w:style>
  <w:style w:type="character" w:customStyle="1" w:styleId="CommentTextChar">
    <w:name w:val="Comment Text Char"/>
    <w:basedOn w:val="DefaultParagraphFont"/>
    <w:rPr>
      <w:rFonts w:ascii="Times New Roman" w:hAnsi="Times New Roman" w:cs="Times New Roman"/>
      <w:sz w:val="20"/>
      <w:szCs w:val="20"/>
    </w:rPr>
  </w:style>
  <w:style w:type="paragraph" w:styleId="BodyTextIndent">
    <w:name w:val="Body Text Indent"/>
    <w:basedOn w:val="Normal"/>
    <w:pPr>
      <w:spacing w:after="120"/>
      <w:ind w:left="360"/>
    </w:pPr>
    <w:rPr>
      <w:rFonts w:ascii="Times New Roman" w:hAnsi="Times New Roman" w:cs="Times New Roman"/>
      <w:sz w:val="22"/>
    </w:rPr>
  </w:style>
  <w:style w:type="character" w:customStyle="1" w:styleId="BodyTextIndentChar">
    <w:name w:val="Body Text Indent Char"/>
    <w:basedOn w:val="DefaultParagraphFont"/>
    <w:rPr>
      <w:rFonts w:ascii="Times New Roman" w:hAnsi="Times New Roman" w:cs="Times New Roman"/>
    </w:rPr>
  </w:style>
  <w:style w:type="paragraph" w:styleId="EndnoteText">
    <w:name w:val="endnote text"/>
    <w:basedOn w:val="Normal"/>
    <w:pPr>
      <w:ind w:hanging="720"/>
    </w:pPr>
    <w:rPr>
      <w:rFonts w:ascii="Times New Roman" w:hAnsi="Times New Roman" w:cs="Times New Roman"/>
      <w:sz w:val="16"/>
    </w:rPr>
  </w:style>
  <w:style w:type="character" w:customStyle="1" w:styleId="EndnoteTextChar">
    <w:name w:val="Endnote Text Char"/>
    <w:basedOn w:val="DefaultParagraphFont"/>
    <w:rPr>
      <w:rFonts w:ascii="Times New Roman" w:hAnsi="Times New Roman" w:cs="Times New Roman"/>
      <w:sz w:val="16"/>
      <w:szCs w:val="20"/>
    </w:rPr>
  </w:style>
  <w:style w:type="paragraph" w:styleId="TOCHeading">
    <w:name w:val="TOC Heading"/>
    <w:basedOn w:val="Heading1"/>
    <w:next w:val="Normal"/>
    <w:pPr>
      <w:spacing w:before="480" w:line="276" w:lineRule="auto"/>
    </w:pPr>
    <w:rPr>
      <w:b/>
      <w:bCs/>
      <w:sz w:val="28"/>
      <w:szCs w:val="28"/>
    </w:rPr>
  </w:style>
  <w:style w:type="paragraph" w:styleId="BalloonText">
    <w:name w:val="Balloon Text"/>
    <w:basedOn w:val="Normal"/>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ListParagraph">
    <w:name w:val="List Paragraph"/>
    <w:basedOn w:val="Normal"/>
    <w:pPr>
      <w:ind w:left="720"/>
      <w:contextualSpacing/>
    </w:pPr>
    <w:rPr>
      <w:rFonts w:ascii="Times New Roman" w:hAnsi="Times New Roman" w:cs="Times New Roman"/>
      <w:sz w:val="22"/>
    </w:rPr>
  </w:style>
  <w:style w:type="character" w:styleId="SubtleEmphasis">
    <w:name w:val="Subtle Emphasis"/>
    <w:basedOn w:val="DefaultParagraphFont"/>
    <w:rPr>
      <w:i/>
      <w:iCs/>
      <w:color w:val="808080"/>
      <w:lang w:val="en-GB"/>
    </w:rPr>
  </w:style>
  <w:style w:type="character" w:styleId="BookTitle">
    <w:name w:val="Book Title"/>
    <w:basedOn w:val="DefaultParagraphFont"/>
    <w:rPr>
      <w:b/>
      <w:bCs/>
      <w:i/>
      <w:iCs/>
      <w:spacing w:val="5"/>
    </w:rPr>
  </w:style>
  <w:style w:type="character" w:styleId="Emphasis">
    <w:name w:val="Emphasis"/>
    <w:basedOn w:val="DefaultParagraphFont"/>
    <w:rPr>
      <w:i/>
      <w:iCs/>
    </w:rPr>
  </w:style>
  <w:style w:type="character" w:styleId="IntenseEmphasis">
    <w:name w:val="Intense Emphasis"/>
    <w:basedOn w:val="DefaultParagraphFont"/>
    <w:rPr>
      <w:i/>
      <w:iCs/>
      <w:color w:val="111121"/>
    </w:rPr>
  </w:style>
  <w:style w:type="paragraph" w:styleId="IntenseQuote">
    <w:name w:val="Intense Quote"/>
    <w:basedOn w:val="Normal"/>
    <w:next w:val="Normal"/>
    <w:pPr>
      <w:pBdr>
        <w:top w:val="single" w:sz="4" w:space="10" w:color="111121"/>
        <w:bottom w:val="single" w:sz="4" w:space="10" w:color="111121"/>
      </w:pBdr>
      <w:spacing w:before="360" w:after="360"/>
      <w:ind w:left="864" w:right="864"/>
      <w:jc w:val="center"/>
    </w:pPr>
    <w:rPr>
      <w:rFonts w:ascii="Times New Roman" w:hAnsi="Times New Roman" w:cs="Times New Roman"/>
      <w:i/>
      <w:iCs/>
      <w:color w:val="111121"/>
      <w:sz w:val="22"/>
    </w:rPr>
  </w:style>
  <w:style w:type="character" w:customStyle="1" w:styleId="IntenseQuoteChar">
    <w:name w:val="Intense Quote Char"/>
    <w:basedOn w:val="DefaultParagraphFont"/>
    <w:rPr>
      <w:rFonts w:ascii="Times New Roman" w:hAnsi="Times New Roman" w:cs="Times New Roman"/>
      <w:i/>
      <w:iCs/>
      <w:color w:val="111121"/>
    </w:rPr>
  </w:style>
  <w:style w:type="character" w:styleId="IntenseReference">
    <w:name w:val="Intense Reference"/>
    <w:basedOn w:val="DefaultParagraphFont"/>
    <w:rPr>
      <w:b/>
      <w:bCs/>
      <w:smallCaps/>
      <w:color w:val="111121"/>
      <w:spacing w:val="5"/>
    </w:rPr>
  </w:style>
  <w:style w:type="paragraph" w:styleId="NoSpacing">
    <w:name w:val="No Spacing"/>
    <w:pPr>
      <w:suppressAutoHyphens/>
    </w:pPr>
    <w:rPr>
      <w:rFonts w:ascii="Times New Roman" w:hAnsi="Times New Roman" w:cs="Times New Roman"/>
    </w:rPr>
  </w:style>
  <w:style w:type="paragraph" w:styleId="Quote">
    <w:name w:val="Quote"/>
    <w:basedOn w:val="Normal"/>
    <w:next w:val="Normal"/>
    <w:pPr>
      <w:spacing w:before="200"/>
      <w:ind w:left="864" w:right="864"/>
      <w:jc w:val="center"/>
    </w:pPr>
    <w:rPr>
      <w:rFonts w:ascii="Times New Roman" w:hAnsi="Times New Roman" w:cs="Times New Roman"/>
      <w:i/>
      <w:iCs/>
      <w:color w:val="404040"/>
      <w:sz w:val="22"/>
    </w:rPr>
  </w:style>
  <w:style w:type="character" w:customStyle="1" w:styleId="QuoteChar">
    <w:name w:val="Quote Char"/>
    <w:basedOn w:val="DefaultParagraphFont"/>
    <w:rPr>
      <w:rFonts w:ascii="Times New Roman" w:hAnsi="Times New Roman" w:cs="Times New Roman"/>
      <w:i/>
      <w:iCs/>
      <w:color w:val="404040"/>
    </w:rPr>
  </w:style>
  <w:style w:type="character" w:styleId="Strong">
    <w:name w:val="Strong"/>
    <w:basedOn w:val="DefaultParagraphFont"/>
    <w:rPr>
      <w:b/>
      <w:bCs/>
    </w:rPr>
  </w:style>
  <w:style w:type="paragraph" w:styleId="Subtitle">
    <w:name w:val="Subtitle"/>
    <w:basedOn w:val="Normal"/>
    <w:next w:val="Normal"/>
    <w:uiPriority w:val="11"/>
    <w:qFormat/>
    <w:rPr>
      <w:rFonts w:ascii="Calibri" w:eastAsia="DengXian" w:hAnsi="Calibri"/>
      <w:color w:val="5A5A5A"/>
      <w:spacing w:val="15"/>
      <w:sz w:val="22"/>
    </w:rPr>
  </w:style>
  <w:style w:type="character" w:customStyle="1" w:styleId="SubtitleChar">
    <w:name w:val="Subtitle Char"/>
    <w:basedOn w:val="DefaultParagraphFont"/>
    <w:rPr>
      <w:rFonts w:eastAsia="DengXian"/>
      <w:color w:val="5A5A5A"/>
      <w:spacing w:val="15"/>
    </w:rPr>
  </w:style>
  <w:style w:type="character" w:styleId="SubtleReference">
    <w:name w:val="Subtle Reference"/>
    <w:basedOn w:val="DefaultParagraphFont"/>
    <w:rPr>
      <w:smallCaps/>
      <w:color w:val="5A5A5A"/>
    </w:rPr>
  </w:style>
  <w:style w:type="paragraph" w:styleId="Title">
    <w:name w:val="Title"/>
    <w:basedOn w:val="Normal"/>
    <w:next w:val="Normal"/>
    <w:uiPriority w:val="10"/>
    <w:qFormat/>
    <w:pPr>
      <w:contextualSpacing/>
    </w:pPr>
    <w:rPr>
      <w:rFonts w:ascii="Calibri Light" w:eastAsia="DengXian Light" w:hAnsi="Calibri Light" w:cs="Times New Roman"/>
      <w:spacing w:val="-10"/>
      <w:kern w:val="3"/>
      <w:sz w:val="56"/>
      <w:szCs w:val="56"/>
    </w:rPr>
  </w:style>
  <w:style w:type="character" w:customStyle="1" w:styleId="TitleChar">
    <w:name w:val="Title Char"/>
    <w:basedOn w:val="DefaultParagraphFont"/>
    <w:rPr>
      <w:rFonts w:ascii="Calibri Light" w:eastAsia="DengXian Light" w:hAnsi="Calibri Light" w:cs="Times New Roman"/>
      <w:spacing w:val="-10"/>
      <w:kern w:val="3"/>
      <w:sz w:val="56"/>
      <w:szCs w:val="56"/>
    </w:rPr>
  </w:style>
  <w:style w:type="character" w:styleId="EndnoteReference">
    <w:name w:val="endnote reference"/>
    <w:basedOn w:val="DefaultParagraphFont"/>
    <w:rPr>
      <w:position w:val="0"/>
      <w:vertAlign w:val="superscript"/>
    </w:rPr>
  </w:style>
  <w:style w:type="character" w:styleId="CommentReference">
    <w:name w:val="annotation reference"/>
    <w:basedOn w:val="DefaultParagraphFont"/>
    <w:rPr>
      <w:sz w:val="16"/>
      <w:szCs w:val="16"/>
    </w:rPr>
  </w:style>
  <w:style w:type="paragraph" w:styleId="Index1">
    <w:name w:val="index 1"/>
    <w:basedOn w:val="Normal"/>
    <w:next w:val="Normal"/>
    <w:pPr>
      <w:ind w:left="220" w:hanging="220"/>
    </w:pPr>
    <w:rPr>
      <w:rFonts w:ascii="Times New Roman" w:hAnsi="Times New Roman" w:cs="Times New Roman"/>
      <w:sz w:val="22"/>
    </w:rPr>
  </w:style>
  <w:style w:type="paragraph" w:styleId="Index2">
    <w:name w:val="index 2"/>
    <w:basedOn w:val="Normal"/>
    <w:next w:val="Normal"/>
    <w:pPr>
      <w:ind w:left="440" w:hanging="220"/>
    </w:pPr>
    <w:rPr>
      <w:rFonts w:ascii="Times New Roman" w:hAnsi="Times New Roman" w:cs="Times New Roman"/>
      <w:sz w:val="22"/>
    </w:rPr>
  </w:style>
  <w:style w:type="paragraph" w:styleId="Index3">
    <w:name w:val="index 3"/>
    <w:basedOn w:val="Normal"/>
    <w:next w:val="Normal"/>
    <w:pPr>
      <w:ind w:left="660" w:hanging="220"/>
    </w:pPr>
    <w:rPr>
      <w:rFonts w:ascii="Times New Roman" w:hAnsi="Times New Roman" w:cs="Times New Roman"/>
      <w:sz w:val="22"/>
    </w:rPr>
  </w:style>
  <w:style w:type="paragraph" w:styleId="Index4">
    <w:name w:val="index 4"/>
    <w:basedOn w:val="Normal"/>
    <w:next w:val="Normal"/>
    <w:pPr>
      <w:ind w:left="880" w:hanging="220"/>
    </w:pPr>
    <w:rPr>
      <w:rFonts w:ascii="Times New Roman" w:hAnsi="Times New Roman" w:cs="Times New Roman"/>
      <w:sz w:val="22"/>
    </w:rPr>
  </w:style>
  <w:style w:type="paragraph" w:styleId="Index5">
    <w:name w:val="index 5"/>
    <w:basedOn w:val="Normal"/>
    <w:next w:val="Normal"/>
    <w:pPr>
      <w:ind w:left="1100" w:hanging="220"/>
    </w:pPr>
    <w:rPr>
      <w:rFonts w:ascii="Times New Roman" w:hAnsi="Times New Roman" w:cs="Times New Roman"/>
      <w:sz w:val="22"/>
    </w:rPr>
  </w:style>
  <w:style w:type="paragraph" w:styleId="Index6">
    <w:name w:val="index 6"/>
    <w:basedOn w:val="Normal"/>
    <w:next w:val="Normal"/>
    <w:pPr>
      <w:ind w:left="1320" w:hanging="220"/>
    </w:pPr>
    <w:rPr>
      <w:rFonts w:ascii="Times New Roman" w:hAnsi="Times New Roman" w:cs="Times New Roman"/>
      <w:sz w:val="22"/>
    </w:rPr>
  </w:style>
  <w:style w:type="paragraph" w:styleId="Index7">
    <w:name w:val="index 7"/>
    <w:basedOn w:val="Normal"/>
    <w:next w:val="Normal"/>
    <w:pPr>
      <w:ind w:left="1540" w:hanging="220"/>
    </w:pPr>
    <w:rPr>
      <w:rFonts w:ascii="Times New Roman" w:hAnsi="Times New Roman" w:cs="Times New Roman"/>
      <w:sz w:val="22"/>
    </w:rPr>
  </w:style>
  <w:style w:type="paragraph" w:styleId="Index8">
    <w:name w:val="index 8"/>
    <w:basedOn w:val="Normal"/>
    <w:next w:val="Normal"/>
    <w:pPr>
      <w:ind w:left="1760" w:hanging="220"/>
    </w:pPr>
    <w:rPr>
      <w:rFonts w:ascii="Times New Roman" w:hAnsi="Times New Roman" w:cs="Times New Roman"/>
      <w:sz w:val="22"/>
    </w:rPr>
  </w:style>
  <w:style w:type="paragraph" w:styleId="Index9">
    <w:name w:val="index 9"/>
    <w:basedOn w:val="Normal"/>
    <w:next w:val="Normal"/>
    <w:pPr>
      <w:ind w:left="1980" w:hanging="220"/>
    </w:pPr>
    <w:rPr>
      <w:rFonts w:ascii="Times New Roman" w:hAnsi="Times New Roman" w:cs="Times New Roman"/>
      <w:sz w:val="22"/>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ascii="Times New Roman" w:hAnsi="Times New Roman" w:cs="Times New Roman"/>
      <w:b/>
      <w:bCs/>
      <w:sz w:val="20"/>
      <w:szCs w:val="20"/>
    </w:rPr>
  </w:style>
  <w:style w:type="character" w:styleId="FollowedHyperlink">
    <w:name w:val="FollowedHyperlink"/>
    <w:basedOn w:val="DefaultParagraphFont"/>
    <w:rPr>
      <w:color w:val="089ED1"/>
      <w:u w:val="single"/>
    </w:rPr>
  </w:style>
  <w:style w:type="paragraph" w:styleId="Revision">
    <w:name w:val="Revision"/>
    <w:pPr>
      <w:suppressAutoHyphens/>
    </w:pPr>
    <w:rPr>
      <w:rFonts w:ascii="Times New Roman" w:hAnsi="Times New Roman" w:cs="Times New Roman"/>
    </w:rPr>
  </w:style>
  <w:style w:type="paragraph" w:customStyle="1" w:styleId="TAQATableBody">
    <w:name w:val="TAQATableBody"/>
    <w:basedOn w:val="TAQANormal"/>
    <w:pPr>
      <w:spacing w:before="60" w:after="60" w:line="288" w:lineRule="auto"/>
      <w:jc w:val="both"/>
    </w:pPr>
  </w:style>
  <w:style w:type="paragraph" w:customStyle="1" w:styleId="TAQATable1">
    <w:name w:val="TAQATable1"/>
    <w:basedOn w:val="TAQATableBody"/>
    <w:next w:val="Normal"/>
  </w:style>
  <w:style w:type="paragraph" w:customStyle="1" w:styleId="TAQATable2">
    <w:name w:val="TAQATable2"/>
    <w:basedOn w:val="TAQATableBody"/>
    <w:next w:val="Normal"/>
  </w:style>
  <w:style w:type="paragraph" w:customStyle="1" w:styleId="TAQATable3">
    <w:name w:val="TAQATable3"/>
    <w:basedOn w:val="TAQATableBody"/>
  </w:style>
  <w:style w:type="paragraph" w:customStyle="1" w:styleId="TAQATable4">
    <w:name w:val="TAQATable4"/>
    <w:basedOn w:val="TAQATableBody"/>
  </w:style>
  <w:style w:type="paragraph" w:customStyle="1" w:styleId="TAQATable5">
    <w:name w:val="TAQATable5"/>
    <w:basedOn w:val="TAQATableBody"/>
    <w:pPr>
      <w:numPr>
        <w:numId w:val="15"/>
      </w:numPr>
    </w:pPr>
  </w:style>
  <w:style w:type="paragraph" w:customStyle="1" w:styleId="TAQATableBody1">
    <w:name w:val="TAQATableBody1"/>
    <w:basedOn w:val="TAQATableBody"/>
    <w:pPr>
      <w:ind w:left="720"/>
    </w:pPr>
  </w:style>
  <w:style w:type="paragraph" w:customStyle="1" w:styleId="TAQATableBody2">
    <w:name w:val="TAQATableBody2"/>
    <w:basedOn w:val="TAQATableBody"/>
    <w:pPr>
      <w:ind w:left="1440"/>
    </w:pPr>
  </w:style>
  <w:style w:type="paragraph" w:customStyle="1" w:styleId="TAQATableBody3">
    <w:name w:val="TAQATableBody3"/>
    <w:basedOn w:val="TAQATableBody"/>
    <w:pPr>
      <w:ind w:left="2160"/>
    </w:pPr>
  </w:style>
  <w:style w:type="paragraph" w:customStyle="1" w:styleId="TAQATableBullet1">
    <w:name w:val="TAQATableBullet1"/>
    <w:basedOn w:val="TAQATableBody"/>
  </w:style>
  <w:style w:type="paragraph" w:customStyle="1" w:styleId="TAQATableBullet2">
    <w:name w:val="TAQATableBullet2"/>
    <w:basedOn w:val="TAQATableBody"/>
  </w:style>
  <w:style w:type="paragraph" w:customStyle="1" w:styleId="TAQATableBullet3">
    <w:name w:val="TAQATableBullet3"/>
    <w:basedOn w:val="TAQATableBody"/>
  </w:style>
  <w:style w:type="paragraph" w:customStyle="1" w:styleId="TAQATableBullet4">
    <w:name w:val="TAQATableBullet4"/>
    <w:basedOn w:val="TAQATableBody"/>
    <w:pPr>
      <w:numPr>
        <w:numId w:val="16"/>
      </w:numPr>
    </w:pPr>
  </w:style>
  <w:style w:type="paragraph" w:customStyle="1" w:styleId="TAQATableHead">
    <w:name w:val="TAQATableHead"/>
    <w:basedOn w:val="TAQATableBody"/>
    <w:rPr>
      <w:b/>
    </w:rPr>
  </w:style>
  <w:style w:type="character" w:customStyle="1" w:styleId="TAQABeige">
    <w:name w:val="TAQABeige"/>
    <w:rPr>
      <w:color w:val="B2A1A1"/>
    </w:rPr>
  </w:style>
  <w:style w:type="character" w:customStyle="1" w:styleId="TAQADarkBlue">
    <w:name w:val="TAQADark Blue"/>
    <w:rPr>
      <w:color w:val="111121"/>
    </w:rPr>
  </w:style>
  <w:style w:type="character" w:customStyle="1" w:styleId="TAQATurquoise">
    <w:name w:val="TAQATurquoise"/>
    <w:rPr>
      <w:color w:val="08C2C2"/>
    </w:rPr>
  </w:style>
  <w:style w:type="character" w:customStyle="1" w:styleId="TAQARed">
    <w:name w:val="TAQARed"/>
    <w:rPr>
      <w:color w:val="D95F52"/>
    </w:rPr>
  </w:style>
  <w:style w:type="character" w:customStyle="1" w:styleId="TAQALightBlue">
    <w:name w:val="TAQALight Blue"/>
    <w:rPr>
      <w:color w:val="089ED1"/>
    </w:rPr>
  </w:style>
  <w:style w:type="paragraph" w:customStyle="1" w:styleId="TAQAGenNum1Para3">
    <w:name w:val="TAQAGenNum1Para3"/>
    <w:basedOn w:val="TAQANormal"/>
    <w:pPr>
      <w:numPr>
        <w:numId w:val="7"/>
      </w:numPr>
      <w:spacing w:before="240" w:line="260" w:lineRule="atLeast"/>
      <w:jc w:val="both"/>
    </w:pPr>
  </w:style>
  <w:style w:type="paragraph" w:customStyle="1" w:styleId="TAQAArabtxt">
    <w:name w:val="TAQAArabtxt"/>
    <w:basedOn w:val="TAQAArabNormal"/>
    <w:pPr>
      <w:spacing w:before="240" w:line="260" w:lineRule="atLeast"/>
      <w:jc w:val="both"/>
    </w:pPr>
  </w:style>
  <w:style w:type="paragraph" w:customStyle="1" w:styleId="TAQAArabtxt1">
    <w:name w:val="TAQAArabtxt1"/>
    <w:basedOn w:val="TAQAArabtxt"/>
    <w:pPr>
      <w:ind w:left="720"/>
    </w:pPr>
  </w:style>
  <w:style w:type="paragraph" w:customStyle="1" w:styleId="TAQAArabtxt2">
    <w:name w:val="TAQAArabtxt2"/>
    <w:basedOn w:val="TAQAArabtxt"/>
    <w:pPr>
      <w:ind w:left="1440"/>
    </w:pPr>
  </w:style>
  <w:style w:type="paragraph" w:customStyle="1" w:styleId="TAQAArabtxt3">
    <w:name w:val="TAQAArabtxt3"/>
    <w:basedOn w:val="TAQAArabtxt"/>
    <w:pPr>
      <w:ind w:left="2160"/>
    </w:pPr>
  </w:style>
  <w:style w:type="paragraph" w:customStyle="1" w:styleId="TAQAArabtxt4">
    <w:name w:val="TAQAArabtxt4"/>
    <w:basedOn w:val="TAQAArabtxt"/>
    <w:pPr>
      <w:ind w:left="2880"/>
    </w:pPr>
  </w:style>
  <w:style w:type="paragraph" w:customStyle="1" w:styleId="TAQAArabtxt5">
    <w:name w:val="TAQAArabtxt5"/>
    <w:basedOn w:val="TAQAArabtxt"/>
    <w:pPr>
      <w:ind w:left="3600"/>
    </w:pPr>
  </w:style>
  <w:style w:type="paragraph" w:customStyle="1" w:styleId="TAQAArabtxt6">
    <w:name w:val="TAQAArabtxt6"/>
    <w:basedOn w:val="TAQAArabtxt"/>
    <w:pPr>
      <w:ind w:left="4320"/>
    </w:pPr>
  </w:style>
  <w:style w:type="paragraph" w:customStyle="1" w:styleId="TAQAArabtxt7">
    <w:name w:val="TAQAArabtxt7"/>
    <w:basedOn w:val="TAQAArabtxt"/>
    <w:pPr>
      <w:ind w:left="5040"/>
    </w:pPr>
  </w:style>
  <w:style w:type="paragraph" w:customStyle="1" w:styleId="TAQAArabtxt8">
    <w:name w:val="TAQAArabtxt8"/>
    <w:basedOn w:val="TAQAArabtxt"/>
    <w:pPr>
      <w:ind w:left="5760"/>
    </w:pPr>
  </w:style>
  <w:style w:type="paragraph" w:customStyle="1" w:styleId="TAQAArabNormal">
    <w:name w:val="TAQAArabNormal"/>
    <w:basedOn w:val="Normal"/>
    <w:rPr>
      <w:rFonts w:ascii="Sakkal Majalla" w:hAnsi="Sakkal Majalla" w:cs="Sakkal Majalla"/>
      <w:sz w:val="24"/>
      <w:szCs w:val="24"/>
    </w:rPr>
  </w:style>
  <w:style w:type="paragraph" w:customStyle="1" w:styleId="TAQAArabHead1">
    <w:name w:val="TAQAArabHead1"/>
    <w:basedOn w:val="TAQAArabtxt"/>
    <w:rPr>
      <w:b/>
      <w:caps/>
    </w:rPr>
  </w:style>
  <w:style w:type="paragraph" w:customStyle="1" w:styleId="TAQAArabHead2">
    <w:name w:val="TAQAArabHead2"/>
    <w:basedOn w:val="TAQAArabtxt"/>
    <w:rPr>
      <w:b/>
    </w:rPr>
  </w:style>
  <w:style w:type="paragraph" w:customStyle="1" w:styleId="TAQAArabHead3">
    <w:name w:val="TAQAArabHead3"/>
    <w:basedOn w:val="TAQAArabtxt"/>
    <w:pPr>
      <w:ind w:left="720"/>
    </w:pPr>
    <w:rPr>
      <w:b/>
    </w:rPr>
  </w:style>
  <w:style w:type="paragraph" w:customStyle="1" w:styleId="TAQAArabHead4">
    <w:name w:val="TAQAArabHead4"/>
    <w:basedOn w:val="TAQAArabtxt"/>
    <w:rPr>
      <w:i/>
    </w:rPr>
  </w:style>
  <w:style w:type="paragraph" w:customStyle="1" w:styleId="TAQAArabHead5">
    <w:name w:val="TAQAArabHead5"/>
    <w:basedOn w:val="TAQAArabtxt"/>
    <w:pPr>
      <w:ind w:left="720"/>
    </w:pPr>
    <w:rPr>
      <w:i/>
    </w:rPr>
  </w:style>
  <w:style w:type="paragraph" w:customStyle="1" w:styleId="TAQAArabHead6">
    <w:name w:val="TAQAArabHead6"/>
    <w:basedOn w:val="TAQAArabtxt"/>
    <w:rPr>
      <w:b/>
      <w:i/>
    </w:rPr>
  </w:style>
  <w:style w:type="paragraph" w:customStyle="1" w:styleId="TAQAArabHead7">
    <w:name w:val="TAQAArabHead7"/>
    <w:basedOn w:val="TAQAArabtxt"/>
    <w:pPr>
      <w:ind w:left="720"/>
    </w:pPr>
    <w:rPr>
      <w:b/>
      <w:i/>
    </w:rPr>
  </w:style>
  <w:style w:type="paragraph" w:customStyle="1" w:styleId="TAQAArabFPCopyright">
    <w:name w:val="TAQAArabFPCopyright"/>
    <w:basedOn w:val="TAQAArabtxt"/>
    <w:rPr>
      <w:b/>
    </w:rPr>
  </w:style>
  <w:style w:type="paragraph" w:customStyle="1" w:styleId="TAQAArabFPTitle">
    <w:name w:val="TAQAArabFPTitle"/>
    <w:basedOn w:val="TAQAArabtxt"/>
    <w:pPr>
      <w:jc w:val="center"/>
    </w:pPr>
    <w:rPr>
      <w:b/>
      <w:sz w:val="40"/>
    </w:rPr>
  </w:style>
  <w:style w:type="paragraph" w:customStyle="1" w:styleId="TAQAArabFPTxt">
    <w:name w:val="TAQAArabFPTxt"/>
    <w:basedOn w:val="TAQAArabtxt"/>
    <w:pPr>
      <w:jc w:val="center"/>
    </w:pPr>
    <w:rPr>
      <w:b/>
    </w:rPr>
  </w:style>
  <w:style w:type="paragraph" w:customStyle="1" w:styleId="TAQAArabSignatory">
    <w:name w:val="TAQAArabSignatory"/>
    <w:basedOn w:val="TAQAArabtxt"/>
    <w:pPr>
      <w:jc w:val="center"/>
    </w:pPr>
    <w:rPr>
      <w:b/>
      <w:caps/>
    </w:rPr>
  </w:style>
  <w:style w:type="paragraph" w:customStyle="1" w:styleId="TAQAArabLevel1">
    <w:name w:val="TAQAArabLevel1"/>
    <w:basedOn w:val="TAQAArabtxt"/>
    <w:rPr>
      <w:b/>
      <w:caps/>
    </w:rPr>
  </w:style>
  <w:style w:type="paragraph" w:customStyle="1" w:styleId="TAQASchArabHead">
    <w:name w:val="TAQASchArabHead"/>
    <w:basedOn w:val="TAQAArabtxt"/>
    <w:pPr>
      <w:jc w:val="center"/>
    </w:pPr>
    <w:rPr>
      <w:b/>
      <w:caps/>
    </w:rPr>
  </w:style>
  <w:style w:type="paragraph" w:customStyle="1" w:styleId="TAQASchArabTitle">
    <w:name w:val="TAQASchArabTitle"/>
    <w:basedOn w:val="TAQAArabtxt"/>
    <w:pPr>
      <w:jc w:val="center"/>
    </w:pPr>
    <w:rPr>
      <w:b/>
      <w:caps/>
    </w:rPr>
  </w:style>
  <w:style w:type="paragraph" w:customStyle="1" w:styleId="TAQASchArabParthead">
    <w:name w:val="TAQASchArabParthead"/>
    <w:basedOn w:val="TAQAArabtxt"/>
    <w:pPr>
      <w:jc w:val="center"/>
    </w:pPr>
    <w:rPr>
      <w:b/>
      <w:caps/>
    </w:rPr>
  </w:style>
  <w:style w:type="paragraph" w:customStyle="1" w:styleId="TAQASchArabPartTitle">
    <w:name w:val="TAQASchArabPartTitle"/>
    <w:basedOn w:val="TAQAArabtxt"/>
    <w:pPr>
      <w:jc w:val="center"/>
    </w:pPr>
    <w:rPr>
      <w:b/>
      <w:caps/>
    </w:rPr>
  </w:style>
  <w:style w:type="paragraph" w:customStyle="1" w:styleId="TAQAArabHead8">
    <w:name w:val="TAQAArabHead8"/>
    <w:basedOn w:val="TAQAArabtxt"/>
    <w:pPr>
      <w:jc w:val="center"/>
    </w:pPr>
    <w:rPr>
      <w:b/>
      <w:caps/>
    </w:rPr>
  </w:style>
  <w:style w:type="character" w:styleId="UnresolvedMention">
    <w:name w:val="Unresolved Mention"/>
    <w:basedOn w:val="DefaultParagraphFont"/>
    <w:rPr>
      <w:color w:val="605E5C"/>
      <w:shd w:val="clear" w:color="auto" w:fill="E1DFDD"/>
    </w:rPr>
  </w:style>
  <w:style w:type="numbering" w:customStyle="1" w:styleId="WWOutlineListStyle">
    <w:name w:val="WW_OutlineListStyle"/>
    <w:basedOn w:val="NoList"/>
    <w:pPr>
      <w:numPr>
        <w:numId w:val="2"/>
      </w:numPr>
    </w:pPr>
  </w:style>
  <w:style w:type="numbering" w:customStyle="1" w:styleId="LFO2">
    <w:name w:val="LFO2"/>
    <w:basedOn w:val="NoList"/>
    <w:pPr>
      <w:numPr>
        <w:numId w:val="3"/>
      </w:numPr>
    </w:pPr>
  </w:style>
  <w:style w:type="numbering" w:customStyle="1" w:styleId="LFO3">
    <w:name w:val="LFO3"/>
    <w:basedOn w:val="NoList"/>
    <w:pPr>
      <w:numPr>
        <w:numId w:val="4"/>
      </w:numPr>
    </w:pPr>
  </w:style>
  <w:style w:type="numbering" w:customStyle="1" w:styleId="LFO4">
    <w:name w:val="LFO4"/>
    <w:basedOn w:val="NoList"/>
    <w:pPr>
      <w:numPr>
        <w:numId w:val="5"/>
      </w:numPr>
    </w:pPr>
  </w:style>
  <w:style w:type="numbering" w:customStyle="1" w:styleId="LFO5">
    <w:name w:val="LFO5"/>
    <w:basedOn w:val="NoList"/>
    <w:pPr>
      <w:numPr>
        <w:numId w:val="6"/>
      </w:numPr>
    </w:pPr>
  </w:style>
  <w:style w:type="numbering" w:customStyle="1" w:styleId="LFO6">
    <w:name w:val="LFO6"/>
    <w:basedOn w:val="NoList"/>
    <w:pPr>
      <w:numPr>
        <w:numId w:val="7"/>
      </w:numPr>
    </w:pPr>
  </w:style>
  <w:style w:type="numbering" w:customStyle="1" w:styleId="LFO7">
    <w:name w:val="LFO7"/>
    <w:basedOn w:val="NoList"/>
    <w:pPr>
      <w:numPr>
        <w:numId w:val="8"/>
      </w:numPr>
    </w:pPr>
  </w:style>
  <w:style w:type="numbering" w:customStyle="1" w:styleId="LFO8">
    <w:name w:val="LFO8"/>
    <w:basedOn w:val="NoList"/>
    <w:pPr>
      <w:numPr>
        <w:numId w:val="9"/>
      </w:numPr>
    </w:pPr>
  </w:style>
  <w:style w:type="numbering" w:customStyle="1" w:styleId="LFO9">
    <w:name w:val="LFO9"/>
    <w:basedOn w:val="NoList"/>
    <w:pPr>
      <w:numPr>
        <w:numId w:val="10"/>
      </w:numPr>
    </w:pPr>
  </w:style>
  <w:style w:type="numbering" w:customStyle="1" w:styleId="LFO10">
    <w:name w:val="LFO10"/>
    <w:basedOn w:val="NoList"/>
    <w:pPr>
      <w:numPr>
        <w:numId w:val="11"/>
      </w:numPr>
    </w:pPr>
  </w:style>
  <w:style w:type="numbering" w:customStyle="1" w:styleId="LFO11">
    <w:name w:val="LFO11"/>
    <w:basedOn w:val="NoList"/>
    <w:pPr>
      <w:numPr>
        <w:numId w:val="12"/>
      </w:numPr>
    </w:pPr>
  </w:style>
  <w:style w:type="numbering" w:customStyle="1" w:styleId="LFO12">
    <w:name w:val="LFO12"/>
    <w:basedOn w:val="NoList"/>
    <w:pPr>
      <w:numPr>
        <w:numId w:val="13"/>
      </w:numPr>
    </w:pPr>
  </w:style>
  <w:style w:type="numbering" w:customStyle="1" w:styleId="LFO13">
    <w:name w:val="LFO13"/>
    <w:basedOn w:val="NoList"/>
    <w:pPr>
      <w:numPr>
        <w:numId w:val="14"/>
      </w:numPr>
    </w:pPr>
  </w:style>
  <w:style w:type="numbering" w:customStyle="1" w:styleId="LFO14">
    <w:name w:val="LFO14"/>
    <w:basedOn w:val="NoList"/>
    <w:pPr>
      <w:numPr>
        <w:numId w:val="15"/>
      </w:numPr>
    </w:pPr>
  </w:style>
  <w:style w:type="numbering" w:customStyle="1" w:styleId="LFO15">
    <w:name w:val="LFO15"/>
    <w:basedOn w:val="NoList"/>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eckpoint.url-protection.com/v1/r07/url?o=https%3A//doi.org/10.1109/IIoTBDSC57192.2022.00070&amp;g=YzE0NDBhYzhjYjJjNzFlNA==&amp;h=YjE1Mjc1ZWYyOGEyOGUyNjI3MmQ2ZmNiYjVhN2JmZjc5Yzk2MzM0NmU4MzkxNjU1Njc2YWE5ZmU4ZmVkMDI3Ng==&amp;p=bWVjMTp0YXFhdHJhbnNtaXNzaW9uYW5kZGlzdHJpYnV0aW9uOmM6bzo4NDc4OGZiMWMzZjFlODYyODQxMzczZTBiMmQ3ZGM1Zjo3OnA6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eckpoint.url-protection.com/v1/r07/url?o=https%3A//doi.org/10.1007/978-3-031-14391-5_7&amp;g=ZDQzMDdmMTIxZGQ2YzNkMQ==&amp;h=YzY1ZTJhYTc4MjI0ZTVmZTkzMGI5NjY3OWJlNTc0NDdmYjgxNDM4ZjE1MTg4Yzk4NGVlMTRmNDE5MWZmYjJiNg==&amp;p=bWVjMTp0YXFhdHJhbnNtaXNzaW9uYW5kZGlzdHJpYnV0aW9uOmM6bzo4NDc4OGZiMWMzZjFlODYyODQxMzczZTBiMmQ3ZGM1Zjo3OnA6VA==" TargetMode="External"/><Relationship Id="rId5" Type="http://schemas.openxmlformats.org/officeDocument/2006/relationships/hyperlink" Target="https://checkpoint.url-protection.com/v1/r07/url?o=https%3A//doi.org/10.1007/s10586-024-04507-2&amp;g=MmUwNjQ4MTAyYTJiMWNlMQ==&amp;h=OTdhOGJiNGM2OGNjNDU0Y2MyMTE3NWZmOGQ1ZjdkMWI2YjdhZWFhZTVmZjA3NTUzMDljNjdkYmZkOWQ2OTFhYg==&amp;p=bWVjMTp0YXFhdHJhbnNtaXNzaW9uYW5kZGlzdHJpYnV0aW9uOmM6bzo4NDc4OGZiMWMzZjFlODYyODQxMzczZTBiMmQ3ZGM1Zjo3OnA6V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623</Words>
  <Characters>3495</Characters>
  <Application>Microsoft Office Word</Application>
  <DocSecurity>0</DocSecurity>
  <Lines>54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Saleh Alhammadi</dc:creator>
  <cp:lastModifiedBy>Ali Saleh Alhammadi</cp:lastModifiedBy>
  <cp:revision>16</cp:revision>
  <dcterms:created xsi:type="dcterms:W3CDTF">2025-11-14T22:03:00Z</dcterms:created>
  <dcterms:modified xsi:type="dcterms:W3CDTF">2025-11-15T05:31:00Z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07d3dc29-ce5b-4ccc-a509-4eb66315d929</vt:lpwstr>
  </property>
</Properties>
</file>