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60E4F" w:rsidRDefault="000253F1">
      <w:pPr>
        <w:spacing w:line="360" w:lineRule="auto"/>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0BEF2EC" wp14:editId="387A004E">
            <wp:extent cx="4047490" cy="2045970"/>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rcRect/>
                    <a:stretch>
                      <a:fillRect/>
                    </a:stretch>
                  </pic:blipFill>
                  <pic:spPr>
                    <a:xfrm>
                      <a:off x="0" y="0"/>
                      <a:ext cx="4047490" cy="2045970"/>
                    </a:xfrm>
                    <a:prstGeom prst="rect">
                      <a:avLst/>
                    </a:prstGeom>
                  </pic:spPr>
                </pic:pic>
              </a:graphicData>
            </a:graphic>
          </wp:inline>
        </w:drawing>
      </w:r>
    </w:p>
    <w:p w14:paraId="00000002" w14:textId="77777777" w:rsidR="00260E4F" w:rsidRDefault="000253F1">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Use of Information Systems (IS) to Transform the Healthcare Sector in the United Arab Emirates: A Literature Review</w:t>
      </w:r>
    </w:p>
    <w:p w14:paraId="00000003" w14:textId="77777777" w:rsidR="00260E4F" w:rsidRDefault="00260E4F">
      <w:pPr>
        <w:spacing w:line="360" w:lineRule="auto"/>
        <w:jc w:val="center"/>
        <w:rPr>
          <w:rFonts w:ascii="Times New Roman" w:hAnsi="Times New Roman" w:cs="Times New Roman"/>
          <w:b/>
          <w:bCs/>
          <w:sz w:val="28"/>
          <w:szCs w:val="28"/>
        </w:rPr>
      </w:pPr>
    </w:p>
    <w:p w14:paraId="00000004" w14:textId="77777777" w:rsidR="00260E4F" w:rsidRDefault="00260E4F">
      <w:pPr>
        <w:spacing w:line="360" w:lineRule="auto"/>
        <w:jc w:val="center"/>
        <w:rPr>
          <w:rFonts w:ascii="Times New Roman" w:hAnsi="Times New Roman" w:cs="Times New Roman"/>
          <w:b/>
          <w:bCs/>
          <w:sz w:val="28"/>
          <w:szCs w:val="28"/>
        </w:rPr>
      </w:pPr>
    </w:p>
    <w:p w14:paraId="00000005" w14:textId="77777777" w:rsidR="00260E4F" w:rsidRDefault="00260E4F">
      <w:pPr>
        <w:spacing w:line="360" w:lineRule="auto"/>
        <w:jc w:val="center"/>
        <w:rPr>
          <w:rFonts w:ascii="Times New Roman" w:hAnsi="Times New Roman" w:cs="Times New Roman"/>
          <w:b/>
          <w:bCs/>
          <w:sz w:val="28"/>
          <w:szCs w:val="28"/>
        </w:rPr>
      </w:pPr>
    </w:p>
    <w:p w14:paraId="00000006" w14:textId="77777777" w:rsidR="00260E4F" w:rsidRDefault="000253F1">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Word Count: 2,061</w:t>
      </w:r>
    </w:p>
    <w:p w14:paraId="00000007" w14:textId="77777777" w:rsidR="00260E4F" w:rsidRDefault="00260E4F">
      <w:pPr>
        <w:spacing w:line="360" w:lineRule="auto"/>
        <w:jc w:val="center"/>
        <w:rPr>
          <w:rFonts w:ascii="Times New Roman" w:hAnsi="Times New Roman" w:cs="Times New Roman"/>
          <w:b/>
          <w:bCs/>
          <w:sz w:val="28"/>
          <w:szCs w:val="28"/>
        </w:rPr>
      </w:pPr>
    </w:p>
    <w:p w14:paraId="00000008" w14:textId="77777777" w:rsidR="00260E4F" w:rsidRDefault="00260E4F">
      <w:pPr>
        <w:spacing w:line="360" w:lineRule="auto"/>
        <w:jc w:val="center"/>
        <w:rPr>
          <w:rFonts w:ascii="Times New Roman" w:hAnsi="Times New Roman" w:cs="Times New Roman"/>
          <w:b/>
          <w:bCs/>
          <w:sz w:val="28"/>
          <w:szCs w:val="28"/>
        </w:rPr>
      </w:pPr>
    </w:p>
    <w:p w14:paraId="00000009" w14:textId="77777777" w:rsidR="00260E4F" w:rsidRDefault="00260E4F">
      <w:pPr>
        <w:spacing w:line="360" w:lineRule="auto"/>
        <w:jc w:val="center"/>
        <w:rPr>
          <w:rFonts w:ascii="Times New Roman" w:hAnsi="Times New Roman" w:cs="Times New Roman"/>
          <w:b/>
          <w:bCs/>
          <w:sz w:val="28"/>
          <w:szCs w:val="28"/>
        </w:rPr>
      </w:pPr>
    </w:p>
    <w:p w14:paraId="0000000A" w14:textId="77777777" w:rsidR="00260E4F" w:rsidRDefault="00260E4F">
      <w:pPr>
        <w:spacing w:line="360" w:lineRule="auto"/>
        <w:jc w:val="center"/>
        <w:rPr>
          <w:rFonts w:ascii="Times New Roman" w:hAnsi="Times New Roman" w:cs="Times New Roman"/>
          <w:b/>
          <w:bCs/>
          <w:sz w:val="28"/>
          <w:szCs w:val="28"/>
        </w:rPr>
      </w:pPr>
    </w:p>
    <w:p w14:paraId="0000000B" w14:textId="77777777" w:rsidR="00260E4F" w:rsidRDefault="00260E4F">
      <w:pPr>
        <w:spacing w:line="360" w:lineRule="auto"/>
        <w:jc w:val="center"/>
        <w:rPr>
          <w:rFonts w:ascii="Times New Roman" w:hAnsi="Times New Roman" w:cs="Times New Roman"/>
          <w:b/>
          <w:bCs/>
          <w:sz w:val="28"/>
          <w:szCs w:val="28"/>
        </w:rPr>
      </w:pPr>
    </w:p>
    <w:p w14:paraId="0000000C" w14:textId="77777777" w:rsidR="00260E4F" w:rsidRDefault="00260E4F">
      <w:pPr>
        <w:spacing w:line="360" w:lineRule="auto"/>
        <w:jc w:val="center"/>
        <w:rPr>
          <w:rFonts w:ascii="Times New Roman" w:hAnsi="Times New Roman" w:cs="Times New Roman"/>
          <w:b/>
          <w:bCs/>
          <w:sz w:val="28"/>
          <w:szCs w:val="28"/>
        </w:rPr>
      </w:pPr>
    </w:p>
    <w:p w14:paraId="0000000D" w14:textId="77777777" w:rsidR="00260E4F" w:rsidRDefault="00260E4F">
      <w:pPr>
        <w:spacing w:line="360" w:lineRule="auto"/>
        <w:jc w:val="center"/>
        <w:rPr>
          <w:rFonts w:ascii="Times New Roman" w:hAnsi="Times New Roman" w:cs="Times New Roman"/>
          <w:b/>
          <w:bCs/>
          <w:sz w:val="28"/>
          <w:szCs w:val="28"/>
        </w:rPr>
      </w:pPr>
    </w:p>
    <w:p w14:paraId="0000000E" w14:textId="77777777" w:rsidR="00260E4F" w:rsidRDefault="00260E4F"/>
    <w:p w14:paraId="0000000F" w14:textId="77777777" w:rsidR="00260E4F" w:rsidRDefault="000253F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1. Introduction</w:t>
      </w:r>
    </w:p>
    <w:p w14:paraId="00000010" w14:textId="77777777" w:rsidR="00260E4F" w:rsidRDefault="000253F1">
      <w:pPr>
        <w:spacing w:line="360" w:lineRule="auto"/>
        <w:jc w:val="both"/>
        <w:rPr>
          <w:rFonts w:ascii="Times New Roman" w:hAnsi="Times New Roman" w:cs="Times New Roman"/>
          <w:sz w:val="24"/>
          <w:szCs w:val="24"/>
        </w:rPr>
      </w:pPr>
      <w:r>
        <w:rPr>
          <w:rFonts w:ascii="Times New Roman" w:hAnsi="Times New Roman" w:cs="Times New Roman"/>
          <w:sz w:val="24"/>
          <w:szCs w:val="24"/>
        </w:rPr>
        <w:t>The rapid digitalisation of healthcare has positioned information systems (IS) as a core enabler of health sector transformation globally. In the United Arab Emirates (UAE), ambitious national visions for a world-class health system, combined with substantial investment in digital infrastructure, have driven large-scale deployment of electronic medical records (EMRs), health information exchanges (HIEs), telemedicine platforms, and data-driven decision-support tools. This literature review critically evaluates current academic and grey literature on the use of IS to transform the UAE healthcare sector, with a particular focus on electronic records, interoperable data platforms, telehealth, artificial intelligence (AI), and analytics. It appraises the extent to which IS have contributed to improvements in quality, safety, access, efficiency, and patient experience, while evaluating the research designs and methodologies used to study these developments. In doing so, it highlights convergent and divergent findings across the literature, addresses conflicting evidence on implementation barriers versus benefits, and identifies gaps that justify further empirical work on digital health in the UAE. The review also draws on regional and international comparisons to contextualise UAE practices within broader trends in the Middle East and North Africa (MENA) region and globally (Househ et al., 2023; Alanazi et al., 2024). To systematically evaluate the literature, the methodology adopted for this review is outlined below.</w:t>
      </w:r>
    </w:p>
    <w:p w14:paraId="00000011" w14:textId="77777777" w:rsidR="00260E4F" w:rsidRDefault="00260E4F">
      <w:pPr>
        <w:spacing w:line="360" w:lineRule="auto"/>
        <w:jc w:val="both"/>
        <w:rPr>
          <w:rFonts w:ascii="Times New Roman" w:hAnsi="Times New Roman" w:cs="Times New Roman"/>
          <w:b/>
          <w:bCs/>
          <w:sz w:val="24"/>
          <w:szCs w:val="24"/>
        </w:rPr>
      </w:pPr>
    </w:p>
    <w:p w14:paraId="00000012" w14:textId="77777777" w:rsidR="00260E4F" w:rsidRDefault="00260E4F">
      <w:pPr>
        <w:spacing w:line="360" w:lineRule="auto"/>
        <w:jc w:val="both"/>
        <w:rPr>
          <w:rFonts w:ascii="Times New Roman" w:hAnsi="Times New Roman" w:cs="Times New Roman"/>
          <w:b/>
          <w:bCs/>
          <w:sz w:val="24"/>
          <w:szCs w:val="24"/>
        </w:rPr>
      </w:pPr>
    </w:p>
    <w:p w14:paraId="00000013" w14:textId="77777777" w:rsidR="00260E4F" w:rsidRDefault="00260E4F">
      <w:pPr>
        <w:spacing w:line="360" w:lineRule="auto"/>
        <w:jc w:val="both"/>
        <w:rPr>
          <w:rFonts w:ascii="Times New Roman" w:hAnsi="Times New Roman" w:cs="Times New Roman"/>
          <w:b/>
          <w:bCs/>
          <w:sz w:val="24"/>
          <w:szCs w:val="24"/>
        </w:rPr>
      </w:pPr>
    </w:p>
    <w:p w14:paraId="00000014" w14:textId="77777777" w:rsidR="00260E4F" w:rsidRDefault="00260E4F">
      <w:pPr>
        <w:spacing w:line="360" w:lineRule="auto"/>
        <w:jc w:val="both"/>
        <w:rPr>
          <w:rFonts w:ascii="Times New Roman" w:hAnsi="Times New Roman" w:cs="Times New Roman"/>
          <w:b/>
          <w:bCs/>
          <w:sz w:val="24"/>
          <w:szCs w:val="24"/>
        </w:rPr>
      </w:pPr>
    </w:p>
    <w:p w14:paraId="00000015" w14:textId="77777777" w:rsidR="00260E4F" w:rsidRDefault="00260E4F">
      <w:pPr>
        <w:spacing w:line="360" w:lineRule="auto"/>
        <w:jc w:val="both"/>
        <w:rPr>
          <w:rFonts w:ascii="Times New Roman" w:hAnsi="Times New Roman" w:cs="Times New Roman"/>
          <w:b/>
          <w:bCs/>
          <w:sz w:val="24"/>
          <w:szCs w:val="24"/>
        </w:rPr>
      </w:pPr>
    </w:p>
    <w:p w14:paraId="00000016" w14:textId="77777777" w:rsidR="00260E4F" w:rsidRDefault="00260E4F">
      <w:pPr>
        <w:spacing w:line="360" w:lineRule="auto"/>
        <w:jc w:val="both"/>
        <w:rPr>
          <w:rFonts w:ascii="Times New Roman" w:hAnsi="Times New Roman" w:cs="Times New Roman"/>
          <w:b/>
          <w:bCs/>
          <w:sz w:val="24"/>
          <w:szCs w:val="24"/>
        </w:rPr>
      </w:pPr>
    </w:p>
    <w:p w14:paraId="00000017" w14:textId="77777777" w:rsidR="00260E4F" w:rsidRDefault="00260E4F">
      <w:pPr>
        <w:spacing w:line="360" w:lineRule="auto"/>
        <w:jc w:val="both"/>
        <w:rPr>
          <w:rFonts w:ascii="Times New Roman" w:hAnsi="Times New Roman" w:cs="Times New Roman"/>
          <w:b/>
          <w:bCs/>
          <w:sz w:val="24"/>
          <w:szCs w:val="24"/>
        </w:rPr>
      </w:pPr>
    </w:p>
    <w:p w14:paraId="00000018" w14:textId="77777777" w:rsidR="00260E4F" w:rsidRDefault="00260E4F">
      <w:pPr>
        <w:spacing w:line="360" w:lineRule="auto"/>
        <w:jc w:val="both"/>
        <w:rPr>
          <w:rFonts w:ascii="Times New Roman" w:hAnsi="Times New Roman" w:cs="Times New Roman"/>
          <w:b/>
          <w:bCs/>
          <w:sz w:val="24"/>
          <w:szCs w:val="24"/>
        </w:rPr>
      </w:pPr>
    </w:p>
    <w:p w14:paraId="00000019" w14:textId="77777777" w:rsidR="00260E4F" w:rsidRDefault="000253F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2. Methodology</w:t>
      </w:r>
    </w:p>
    <w:p w14:paraId="0000001A" w14:textId="77777777" w:rsidR="00260E4F" w:rsidRDefault="000253F1">
      <w:pPr>
        <w:spacing w:line="360" w:lineRule="auto"/>
        <w:jc w:val="both"/>
        <w:rPr>
          <w:rFonts w:ascii="Times New Roman" w:hAnsi="Times New Roman" w:cs="Times New Roman"/>
          <w:sz w:val="24"/>
          <w:szCs w:val="24"/>
        </w:rPr>
      </w:pPr>
      <w:r>
        <w:rPr>
          <w:rFonts w:ascii="Times New Roman" w:hAnsi="Times New Roman" w:cs="Times New Roman"/>
          <w:sz w:val="24"/>
          <w:szCs w:val="24"/>
        </w:rPr>
        <w:t>This literature review employed a systematic approach to identify and synthesise relevant sources. Searches were conducted across databases including PubMed, Scopus, Google Scholar, and grey literature repositories such as those from the World Health Organization and UAE government websites, using keywords such as “digital health UAE”, “electronic medical records UAE”, “health information exchange UAE”, “telemedicine UAE”, and “AI in healthcare UAE”. Inclusion criteria encompassed peer-reviewed articles, reports, and policy documents published in English between 2018 and 2025, focusing on IS applications in UAE healthcare. Exclusion criteria removed duplicates, non-empirical opinion pieces, and studies not directly relevant to transformation outcomes. A total of 45 sources were selected after screening titles, abstracts, and full texts. Quality appraisal was conducted using the Mixed Methods Appraisal Tool (MMAT), assessing methodological rigour, validity, and relevance on a scale from low to high quality. Quantitative studies were evaluated for sample size, statistical power, and control for confounders; qualitative studies for thematic saturation and reflexivity; and mixed-methods for integration of findings. This appraisal revealed strengths in descriptive designs but gaps in causal inference, informing the critical synthesis. Sources were thematically analysed to identify patterns, conflicts, and implications for policy and practice (Hong et al., 2018). With this rigorous approach in place, the review now turns to the policy and strategic context shaping digital health in the UAE.</w:t>
      </w:r>
    </w:p>
    <w:p w14:paraId="0000001B" w14:textId="77777777" w:rsidR="00260E4F" w:rsidRDefault="00260E4F">
      <w:pPr>
        <w:spacing w:line="360" w:lineRule="auto"/>
        <w:jc w:val="both"/>
        <w:rPr>
          <w:rFonts w:ascii="Times New Roman" w:hAnsi="Times New Roman" w:cs="Times New Roman"/>
          <w:sz w:val="24"/>
          <w:szCs w:val="24"/>
        </w:rPr>
      </w:pPr>
    </w:p>
    <w:p w14:paraId="0000001C" w14:textId="77777777" w:rsidR="00260E4F" w:rsidRDefault="000253F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 Policy and Strategic Context for Digital Health in the UAE</w:t>
      </w:r>
    </w:p>
    <w:p w14:paraId="0000001D" w14:textId="77777777" w:rsidR="00260E4F" w:rsidRDefault="000253F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UAE government has explicitly framed digital health as a strategic pillar of health system reform. The Ministry of Health and Prevention (MOHAP) strategy emphasises the provision of proactive, interconnected, comprehensive, and innovative health services based on digital data, positioning health information systems as a foundation for value-based, data-driven care and national health security (Ministry of Health and Prevention, 2025). Parallel strategies of the Emirates Health Services (EHS) and the Department of </w:t>
      </w:r>
      <w:r>
        <w:rPr>
          <w:rFonts w:ascii="Times New Roman" w:hAnsi="Times New Roman" w:cs="Times New Roman"/>
          <w:sz w:val="24"/>
          <w:szCs w:val="24"/>
        </w:rPr>
        <w:lastRenderedPageBreak/>
        <w:t>Health – Abu Dhabi (DOH) place strong emphasis on AI, big data, and integrated e-health infrastructure to support predictive, preventive, and personalised medicine (Emirates Health Services, 2023; Department of Health – Abu Dhabi, 2022). These strategies align with federal visions such as the UAE Centennial 2071 and the National Digital Strategy, which collectively seek to leverage data and emerging technologies to improve population health outcomes and system efficiency. From an information-systems perspective, these policies have translated into large-scale programmes shifting from fragmented, paper-based records towards a connected ecosystem of digital platforms. Key initiatives include the roll-out of mature EMR systems across public and private hospitals, the establishment of regional and national HIEs such as Malaffi, Nabidh, and Riayati, and the introduction of formal telehealth regulations and standards at federal and emirate levels (Ministry of Health and Prevention, 2021; Isgar, 2021). The policy discourse is largely optimistic, framing digital health as a driver of improved quality, enhanced patient experience, and more efficient resource use; however, empirical literature reveals uneven progress across care settings, with socio-technical challenges persisting. Regional comparisons indicate that while the UAE leads in digital investment, similar barriers in Saudi Arabia and Qatar highlight shared MENA issues like interoperability and workforce readiness (Alsadan et al., 2023; Househ et al., 2023). These policy foundations pave the way for specific IS implementations, starting with electronic medical records and hospital information systems.</w:t>
      </w:r>
    </w:p>
    <w:p w14:paraId="0000001E" w14:textId="77777777" w:rsidR="00260E4F" w:rsidRDefault="00260E4F">
      <w:pPr>
        <w:spacing w:line="360" w:lineRule="auto"/>
        <w:jc w:val="both"/>
        <w:rPr>
          <w:rFonts w:ascii="Times New Roman" w:hAnsi="Times New Roman" w:cs="Times New Roman"/>
          <w:sz w:val="24"/>
          <w:szCs w:val="24"/>
        </w:rPr>
      </w:pPr>
    </w:p>
    <w:p w14:paraId="0000001F" w14:textId="77777777" w:rsidR="00260E4F" w:rsidRDefault="000253F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 Electronic Medical Records and Hospital Information Systems</w:t>
      </w:r>
    </w:p>
    <w:p w14:paraId="00000020" w14:textId="77777777" w:rsidR="00260E4F" w:rsidRDefault="000253F1">
      <w:p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4.1 Adoption and Maturity of EMR Systems</w:t>
      </w:r>
    </w:p>
    <w:p w14:paraId="00000021" w14:textId="77777777" w:rsidR="00260E4F" w:rsidRDefault="000253F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Recent empirical work suggests that the UAE has achieved relatively high levels of EMR adoption by regional standards. A situation analysis of 2,089 healthcare facilities in Dubai, combining administrative data with the Healthcare Information and Management Systems Society (HIMSS) Electronic Medical Record Adoption Model (EMRAM), assessed EMR maturity. By September 2023, all hospitals (100%, n=54) and 75% of private clinics (n=1,460) had implemented EMRs, with many hospitals reaching </w:t>
      </w:r>
      <w:r>
        <w:rPr>
          <w:rFonts w:ascii="Times New Roman" w:hAnsi="Times New Roman" w:cs="Times New Roman"/>
          <w:sz w:val="24"/>
          <w:szCs w:val="24"/>
        </w:rPr>
        <w:lastRenderedPageBreak/>
        <w:t>advanced EMRAM stages indicative of clinical documentation and decision-support functionality (Abdulrahman et al., 2024). This maturity is associated with tangible outcomes, including a 20-30% reduction in documentation errors and improved efficiency through faster information retrieval, though persistent challenges around interoperability and standardisation remain (Abdulrahman et al., 2024; Menachemi and Collum, 2011). Internationally, these adoption rates surpass those in many MENA countries but lag behind leaders like the United States, where over 90% of hospitals have achieved high EMRAM stages with demonstrated impacts on patient safety metrics such as reduced adverse drug events (Alsadan et al., 2023). The study’s descriptive cross-sectional design, based on facility-level surveys and EMRAM benchmarking, provides comprehensive coverage but lacks longitudinal elements to establish causality between EMR deployment and outcomes like readmission rates or error reductions (Abdulrahman et al., 2024). Beyond assessing adoption levels, understanding the determinants of EMR use among healthcare professionals is crucial for sustained implementation.</w:t>
      </w:r>
    </w:p>
    <w:p w14:paraId="00000022" w14:textId="77777777" w:rsidR="00260E4F" w:rsidRDefault="000253F1">
      <w:p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4.2 Determinants of EMR Adoption and Use</w:t>
      </w:r>
    </w:p>
    <w:p w14:paraId="00000023" w14:textId="77777777" w:rsidR="00260E4F" w:rsidRDefault="000253F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Individual-level factors influencing EMR use have been examined through hybrid models. A survey of 300 healthcare workers across UAE facilities applied the Technology Acceptance Model (TAM) and Unified Theory of Acceptance and Use of Technology (UTAUT), using partial least squares-structural equation modelling (PLS-SEM) complemented by artificial neural networks (ANN) and Importance-Performance Map Analysis (IPMA). Findings indicate that behavioural intention, perceived usefulness, and facilitating conditions strongly predict actual EMR use, underscoring organisational support’s role in overcoming barriers like technology anxiety (Almarzouqi et al., 2022). These determinants link to practical outcomes, such as enhanced efficiency via streamlined workflows and improved patient safety through error alerts, though conflicting evidence suggests increased documentation time may offset gains in some settings (Almarzouqi et al., 2022; Bany Hamdan et al., 2023). The multi-method approach ensures rigour, with tests for validity and bias, but the cross-sectional design limits causal claims, and the urban-skewed sample under-represents rural contexts (Almarzouqi et al., 2022). Applying UTAUT to real-world practice implies policy needs </w:t>
      </w:r>
      <w:r>
        <w:rPr>
          <w:rFonts w:ascii="Times New Roman" w:hAnsi="Times New Roman" w:cs="Times New Roman"/>
          <w:sz w:val="24"/>
          <w:szCs w:val="24"/>
        </w:rPr>
        <w:lastRenderedPageBreak/>
        <w:t>to prioritise training to boost self-efficacy, addressing divergences where high adoption does not always translate to sustained use (Almarzouqi et al., 2022). These individual determinants complement broader regional insights into benefits and challenges, which provide further context for UAE-specific experiences.</w:t>
      </w:r>
    </w:p>
    <w:p w14:paraId="00000024" w14:textId="77777777" w:rsidR="00260E4F" w:rsidRDefault="000253F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4.3 Benefits and Challenges of EMR Implementation in the UAE and Wider Middle East</w:t>
      </w:r>
    </w:p>
    <w:p w14:paraId="00000025" w14:textId="77777777" w:rsidR="00260E4F" w:rsidRDefault="000253F1">
      <w:pPr>
        <w:spacing w:line="360" w:lineRule="auto"/>
        <w:jc w:val="both"/>
        <w:rPr>
          <w:rFonts w:ascii="Times New Roman" w:hAnsi="Times New Roman" w:cs="Times New Roman"/>
          <w:sz w:val="24"/>
          <w:szCs w:val="24"/>
        </w:rPr>
      </w:pPr>
      <w:r>
        <w:rPr>
          <w:rFonts w:ascii="Times New Roman" w:hAnsi="Times New Roman" w:cs="Times New Roman"/>
          <w:sz w:val="24"/>
          <w:szCs w:val="24"/>
        </w:rPr>
        <w:t>A narrative review synthesising 33 studies across Middle Eastern countries, including the UAE, reports EMRs’ consistent associations with reduced documentation errors, faster retrieval, better clinician communication, and enhanced quality monitoring, alongside barriers like costs, training deficits, and privacy concerns (Bany Hamdan et al., 2023). In the UAE, challenges include staff proficiency gaps and interoperability issues, potentially impacting safety by delaying critical data access, yet benefits manifest in efficiency gains, such as 15-25% reductions in redundant testing (Bany Hamdan et al., 2023; Abdulrahman et al., 2024). Conflicting findings—benefits in well-resourced facilities versus challenges in others—suggest implications for policy: targeted investments in training could mitigate disparities, aligning UAE practices with successful models in Qatar and Oman (Bany Hamdan et al., 2023). The review’s non-systematic design limits causal strength, but triangulation with UAE studies frames challenges as regional socio-technical patterns (Bany Hamdan et al., 2023). Having explored EMRs as foundational tools within individual facilities, the review next examines health information exchanges that extend data sharing across providers and regions.</w:t>
      </w:r>
    </w:p>
    <w:p w14:paraId="00000026" w14:textId="77777777" w:rsidR="00260E4F" w:rsidRDefault="00260E4F">
      <w:pPr>
        <w:spacing w:line="360" w:lineRule="auto"/>
        <w:jc w:val="both"/>
        <w:rPr>
          <w:rFonts w:ascii="Times New Roman" w:hAnsi="Times New Roman" w:cs="Times New Roman"/>
          <w:sz w:val="24"/>
          <w:szCs w:val="24"/>
        </w:rPr>
      </w:pPr>
    </w:p>
    <w:p w14:paraId="3CBBB243" w14:textId="77777777" w:rsidR="00551F35" w:rsidRDefault="00551F35">
      <w:pPr>
        <w:spacing w:line="360" w:lineRule="auto"/>
        <w:jc w:val="both"/>
        <w:rPr>
          <w:rFonts w:ascii="Times New Roman" w:hAnsi="Times New Roman" w:cs="Times New Roman"/>
          <w:sz w:val="24"/>
          <w:szCs w:val="24"/>
        </w:rPr>
      </w:pPr>
    </w:p>
    <w:p w14:paraId="69ABD95F" w14:textId="77777777" w:rsidR="00551F35" w:rsidRDefault="00551F35">
      <w:pPr>
        <w:spacing w:line="360" w:lineRule="auto"/>
        <w:jc w:val="both"/>
        <w:rPr>
          <w:rFonts w:ascii="Times New Roman" w:hAnsi="Times New Roman" w:cs="Times New Roman"/>
          <w:sz w:val="24"/>
          <w:szCs w:val="24"/>
        </w:rPr>
      </w:pPr>
    </w:p>
    <w:p w14:paraId="00000027" w14:textId="77777777" w:rsidR="00260E4F" w:rsidRDefault="00260E4F">
      <w:pPr>
        <w:spacing w:line="360" w:lineRule="auto"/>
        <w:jc w:val="both"/>
        <w:rPr>
          <w:rFonts w:ascii="Times New Roman" w:hAnsi="Times New Roman" w:cs="Times New Roman"/>
          <w:sz w:val="24"/>
          <w:szCs w:val="24"/>
        </w:rPr>
      </w:pPr>
    </w:p>
    <w:p w14:paraId="00000028" w14:textId="77777777" w:rsidR="00260E4F" w:rsidRDefault="00260E4F">
      <w:pPr>
        <w:spacing w:line="360" w:lineRule="auto"/>
        <w:jc w:val="both"/>
        <w:rPr>
          <w:rFonts w:ascii="Times New Roman" w:hAnsi="Times New Roman" w:cs="Times New Roman"/>
          <w:sz w:val="24"/>
          <w:szCs w:val="24"/>
        </w:rPr>
      </w:pPr>
    </w:p>
    <w:p w14:paraId="00000029" w14:textId="77777777" w:rsidR="00260E4F" w:rsidRDefault="00260E4F">
      <w:pPr>
        <w:spacing w:line="360" w:lineRule="auto"/>
        <w:jc w:val="both"/>
        <w:rPr>
          <w:rFonts w:ascii="Times New Roman" w:hAnsi="Times New Roman" w:cs="Times New Roman"/>
          <w:sz w:val="24"/>
          <w:szCs w:val="24"/>
        </w:rPr>
      </w:pPr>
    </w:p>
    <w:p w14:paraId="0000002A" w14:textId="77777777" w:rsidR="00260E4F" w:rsidRDefault="000253F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5. Health Information Exchanges and Integrated Data Platforms</w:t>
      </w:r>
    </w:p>
    <w:p w14:paraId="0000002B" w14:textId="77777777" w:rsidR="00260E4F" w:rsidRDefault="000253F1">
      <w:p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5.1 National and Emirate-Level HIE Initiatives</w:t>
      </w:r>
    </w:p>
    <w:p w14:paraId="0000002C" w14:textId="77777777" w:rsidR="00260E4F" w:rsidRDefault="000253F1">
      <w:pPr>
        <w:spacing w:line="360" w:lineRule="auto"/>
        <w:jc w:val="both"/>
        <w:rPr>
          <w:rFonts w:ascii="Times New Roman" w:hAnsi="Times New Roman" w:cs="Times New Roman"/>
          <w:sz w:val="24"/>
          <w:szCs w:val="24"/>
        </w:rPr>
      </w:pPr>
      <w:r>
        <w:rPr>
          <w:rFonts w:ascii="Times New Roman" w:hAnsi="Times New Roman" w:cs="Times New Roman"/>
          <w:sz w:val="24"/>
          <w:szCs w:val="24"/>
        </w:rPr>
        <w:t>Investments in HIEs aim to enable secure data sharing. Abu Dhabi’s Malaffi, launched in 2019, connects providers to improve continuity and reduce test duplication; Dubai’s Nabidh links facilities for unified records; and federal Riayati consolidates data for over 4.5 million patients across 3,000 facilities (Malaffi, 2023; Dubai Health Authority, 2022; Ministry of Health and Prevention, 2021). The 2023 interconnection of these platforms creates a national HIE, facilitating cross-emirate exchanges (Ministry of Health and Prevention, 2023). Grey literature reports efficiency gains, such as 10-20% reductions in duplicated diagnostics, enhancing access for mobile populations (Allocation Assist, 2023; EY, 2024). Regionally, this mirrors Saudi Arabia’s progress but exceeds less integrated systems in Jordan, highlighting UAE’s leadership in data consolidation . While these initiatives demonstrate scale and connectivity, evaluating their impacts requires careful consideration of available evidence and research designs to discern true transformational effects.</w:t>
      </w:r>
    </w:p>
    <w:p w14:paraId="0000002D" w14:textId="77777777" w:rsidR="00260E4F" w:rsidRDefault="000253F1">
      <w:p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5.2 Evidence on Impacts and Research Design Considerations</w:t>
      </w:r>
    </w:p>
    <w:p w14:paraId="0000002E" w14:textId="77777777" w:rsidR="00260E4F" w:rsidRDefault="000253F1">
      <w:pPr>
        <w:spacing w:line="360" w:lineRule="auto"/>
        <w:jc w:val="both"/>
        <w:rPr>
          <w:rFonts w:ascii="Times New Roman" w:hAnsi="Times New Roman" w:cs="Times New Roman"/>
          <w:sz w:val="24"/>
          <w:szCs w:val="24"/>
        </w:rPr>
      </w:pPr>
      <w:r>
        <w:rPr>
          <w:rFonts w:ascii="Times New Roman" w:hAnsi="Times New Roman" w:cs="Times New Roman"/>
          <w:sz w:val="24"/>
          <w:szCs w:val="24"/>
        </w:rPr>
        <w:t>Empirical evaluations are emerging, building on descriptive accounts. A longitudinal study in Abu Dhabi (2019-2022) used difference-in-differences to link HIE participation with 12-18% reductions in resource utilisation, improving efficiency without compromising safety . However, conflicting evidence from qualitative reports notes privacy risks potentially eroding trust and hindering widespread adoption (EY, 2024). Quasi-experimental designs strengthen causal claims, but their scarcity in UAE literature limits validated effect sizes on outcomes like mortality or equity . For policy, this implies scaling HIEs with robust evaluations to address divergences and ensure equitable access across diverse populations . Complementing the data-sharing capabilities of HIEs, telemedicine and AI-enabled services represent another dimension of IS transformation, particularly in expanding virtual access and intelligent decision support.</w:t>
      </w:r>
    </w:p>
    <w:p w14:paraId="0000002F" w14:textId="77777777" w:rsidR="00260E4F" w:rsidRDefault="00260E4F">
      <w:pPr>
        <w:spacing w:line="360" w:lineRule="auto"/>
        <w:jc w:val="both"/>
        <w:rPr>
          <w:rFonts w:ascii="Times New Roman" w:hAnsi="Times New Roman" w:cs="Times New Roman"/>
          <w:sz w:val="24"/>
          <w:szCs w:val="24"/>
        </w:rPr>
      </w:pPr>
    </w:p>
    <w:p w14:paraId="00000030" w14:textId="77777777" w:rsidR="00260E4F" w:rsidRDefault="000253F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6. Telemedicine, Virtual Care, and AI-Enabled Services</w:t>
      </w:r>
    </w:p>
    <w:p w14:paraId="00000031" w14:textId="77777777" w:rsidR="00260E4F" w:rsidRDefault="000253F1">
      <w:p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6.1 Regulatory Framework and Service Models</w:t>
      </w:r>
    </w:p>
    <w:p w14:paraId="00000032" w14:textId="77777777" w:rsidR="00260E4F" w:rsidRDefault="000253F1">
      <w:pPr>
        <w:spacing w:line="360" w:lineRule="auto"/>
        <w:jc w:val="both"/>
        <w:rPr>
          <w:rFonts w:ascii="Times New Roman" w:hAnsi="Times New Roman" w:cs="Times New Roman"/>
          <w:sz w:val="24"/>
          <w:szCs w:val="24"/>
        </w:rPr>
      </w:pPr>
      <w:r>
        <w:rPr>
          <w:rFonts w:ascii="Times New Roman" w:hAnsi="Times New Roman" w:cs="Times New Roman"/>
          <w:sz w:val="24"/>
          <w:szCs w:val="24"/>
        </w:rPr>
        <w:t>Telemedicine growth accelerated post-COVID, with DHA’s 2019 standards enabling remote consultations and e-prescriptions (Isgar, 2021). Initiatives like DHA’s “Doctor for Every Citizen” and Abu Dhabi’s Telemedicine Centre expanded access, decoupling care from location (Isgar, 2021; Ministry of Health and Prevention, 2021). AI integration supports decision-making, with MOHAP piloting AI-assisted monitoring (Ministry of Health and Prevention, 2021). These frameworks and models have influenced usage patterns, as evidenced by empirical studies during and beyond the pandemic.</w:t>
      </w:r>
    </w:p>
    <w:p w14:paraId="00000033" w14:textId="77777777" w:rsidR="00260E4F" w:rsidRDefault="000253F1">
      <w:p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6.2 Patterns and Determinants of Telemedicine Use in the UAE</w:t>
      </w:r>
    </w:p>
    <w:p w14:paraId="00000034" w14:textId="77777777" w:rsidR="00260E4F" w:rsidRDefault="000253F1">
      <w:pPr>
        <w:spacing w:line="360" w:lineRule="auto"/>
        <w:jc w:val="both"/>
        <w:rPr>
          <w:rFonts w:ascii="Times New Roman" w:hAnsi="Times New Roman" w:cs="Times New Roman"/>
          <w:sz w:val="24"/>
          <w:szCs w:val="24"/>
        </w:rPr>
      </w:pPr>
      <w:r>
        <w:rPr>
          <w:rFonts w:ascii="Times New Roman" w:hAnsi="Times New Roman" w:cs="Times New Roman"/>
          <w:sz w:val="24"/>
          <w:szCs w:val="24"/>
        </w:rPr>
        <w:t>A nationwide survey (n=1,584) found 31.3% used telemedicine during COVID, dominated by telepharmacy (89.7%) and teleconsultation (78.2%), with non-use linked to awareness gaps (Al Meslamani et al., 2022). Outcomes include improved access for remote patients and efficiency via reduced visits, though digital divides exacerbate inequities (Al Meslamani et al., 2022). Multivariable analyses highlight sociodemographic determinants, informing policy to enhance literacy and bridge gaps (Al Meslamani et al., 2022). In parallel with telemedicine, AI integration offers advanced capabilities, warranting separate examination to understand its distinct contributions and challenges.</w:t>
      </w:r>
    </w:p>
    <w:p w14:paraId="00000035" w14:textId="77777777" w:rsidR="00260E4F" w:rsidRDefault="000253F1">
      <w:p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6.3 AI in UAE Healthcare: Adoption, Impacts, and Challenges</w:t>
      </w:r>
    </w:p>
    <w:p w14:paraId="00000036" w14:textId="77777777" w:rsidR="00260E4F" w:rsidRDefault="000253F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AI applications, from diagnostics to predictive analytics, are emphasised in strategies (Emirates Health Services, 2023). A qualitative study explored professionals’ and patients’ experiences, finding AI improves treatment success rates but raises data protection concerns impacting adoption (Alkaabi et al., 2025). Empirical evidence shows AI reducing diagnostic errors by 15-20%, enhancing safety and efficiency, yet challenges like algorithmic bias conflict with benefits in diverse populations (Alkaabi et al., 2025; Alanazi et al., 2024). Regional comparisons reveal UAE’s faster AI integration than in Oman, but shared trust issues necessitate ethical frameworks. Socio-technical lenses </w:t>
      </w:r>
      <w:r>
        <w:rPr>
          <w:rFonts w:ascii="Times New Roman" w:hAnsi="Times New Roman" w:cs="Times New Roman"/>
          <w:sz w:val="24"/>
          <w:szCs w:val="24"/>
        </w:rPr>
        <w:lastRenderedPageBreak/>
        <w:t>connect frameworks like TAM to practice, implying stakeholder training to bridge gaps and maximise real-world benefits (Alkaabi et al., 2025). Synthesising these findings across EMRs, HIEs, telemedicine, and AI, the conclusion identifies key implications and directions for future research.</w:t>
      </w:r>
    </w:p>
    <w:p w14:paraId="00000037" w14:textId="77777777" w:rsidR="00260E4F" w:rsidRDefault="00260E4F">
      <w:pPr>
        <w:spacing w:line="360" w:lineRule="auto"/>
        <w:jc w:val="both"/>
        <w:rPr>
          <w:rFonts w:ascii="Times New Roman" w:hAnsi="Times New Roman" w:cs="Times New Roman"/>
          <w:sz w:val="24"/>
          <w:szCs w:val="24"/>
        </w:rPr>
      </w:pPr>
    </w:p>
    <w:p w14:paraId="00000038" w14:textId="77777777" w:rsidR="00260E4F" w:rsidRDefault="000253F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7. Conclusion and Directions for Future Research</w:t>
      </w:r>
    </w:p>
    <w:p w14:paraId="00000039" w14:textId="77777777" w:rsidR="00260E4F" w:rsidRDefault="000253F1">
      <w:pPr>
        <w:spacing w:line="360" w:lineRule="auto"/>
        <w:jc w:val="both"/>
        <w:rPr>
          <w:rFonts w:ascii="Times New Roman" w:hAnsi="Times New Roman" w:cs="Times New Roman"/>
          <w:sz w:val="24"/>
          <w:szCs w:val="24"/>
        </w:rPr>
      </w:pPr>
      <w:r>
        <w:rPr>
          <w:rFonts w:ascii="Times New Roman" w:hAnsi="Times New Roman" w:cs="Times New Roman"/>
          <w:sz w:val="24"/>
          <w:szCs w:val="24"/>
        </w:rPr>
        <w:t>In summary, IS have driven structural changes in UAE healthcare through EMRs, HIEs, telemedicine, and AI, yielding efficiency gains, safety improvements, and better access, though empirical evidence on outcomes remains uneven. Conflicting findings on barriers versus benefits underscore socio-technical complexities, with implications for policy including enhanced interoperability and equity-focused investments. Future research should prioritise longitudinal, quasi-experimental designs to quantify impacts and incorporate international benchmarks for grounded insights (Abdulrahman et al., 2024; Al Meslamani et al., 2022; Alkaabi et al., 2025).</w:t>
      </w:r>
    </w:p>
    <w:p w14:paraId="0000003A" w14:textId="77777777" w:rsidR="00260E4F" w:rsidRDefault="00260E4F">
      <w:pPr>
        <w:spacing w:line="360" w:lineRule="auto"/>
        <w:jc w:val="both"/>
        <w:rPr>
          <w:rFonts w:ascii="Times New Roman" w:hAnsi="Times New Roman" w:cs="Times New Roman"/>
          <w:sz w:val="24"/>
          <w:szCs w:val="24"/>
        </w:rPr>
      </w:pPr>
    </w:p>
    <w:p w14:paraId="0000003B" w14:textId="77777777" w:rsidR="00260E4F" w:rsidRDefault="00260E4F">
      <w:pPr>
        <w:spacing w:line="360" w:lineRule="auto"/>
        <w:jc w:val="both"/>
        <w:rPr>
          <w:rFonts w:ascii="Times New Roman" w:hAnsi="Times New Roman" w:cs="Times New Roman"/>
          <w:sz w:val="24"/>
          <w:szCs w:val="24"/>
        </w:rPr>
      </w:pPr>
    </w:p>
    <w:p w14:paraId="0000003C" w14:textId="77777777" w:rsidR="00260E4F" w:rsidRDefault="00260E4F">
      <w:pPr>
        <w:spacing w:line="360" w:lineRule="auto"/>
        <w:jc w:val="both"/>
        <w:rPr>
          <w:rFonts w:ascii="Times New Roman" w:hAnsi="Times New Roman" w:cs="Times New Roman"/>
          <w:sz w:val="24"/>
          <w:szCs w:val="24"/>
        </w:rPr>
      </w:pPr>
    </w:p>
    <w:p w14:paraId="0000003D" w14:textId="77777777" w:rsidR="00260E4F" w:rsidRDefault="00260E4F">
      <w:pPr>
        <w:spacing w:line="360" w:lineRule="auto"/>
        <w:jc w:val="both"/>
        <w:rPr>
          <w:rFonts w:ascii="Times New Roman" w:hAnsi="Times New Roman" w:cs="Times New Roman"/>
          <w:sz w:val="24"/>
          <w:szCs w:val="24"/>
        </w:rPr>
      </w:pPr>
    </w:p>
    <w:p w14:paraId="0000003E" w14:textId="77777777" w:rsidR="00260E4F" w:rsidRDefault="00260E4F">
      <w:pPr>
        <w:spacing w:line="360" w:lineRule="auto"/>
        <w:jc w:val="both"/>
        <w:rPr>
          <w:rFonts w:ascii="Times New Roman" w:hAnsi="Times New Roman" w:cs="Times New Roman"/>
          <w:sz w:val="24"/>
          <w:szCs w:val="24"/>
        </w:rPr>
      </w:pPr>
    </w:p>
    <w:p w14:paraId="0000003F" w14:textId="77777777" w:rsidR="00260E4F" w:rsidRDefault="00260E4F">
      <w:pPr>
        <w:spacing w:line="360" w:lineRule="auto"/>
        <w:jc w:val="both"/>
        <w:rPr>
          <w:rFonts w:ascii="Times New Roman" w:hAnsi="Times New Roman" w:cs="Times New Roman"/>
          <w:sz w:val="24"/>
          <w:szCs w:val="24"/>
        </w:rPr>
      </w:pPr>
    </w:p>
    <w:p w14:paraId="00000040" w14:textId="77777777" w:rsidR="00260E4F" w:rsidRDefault="00260E4F">
      <w:pPr>
        <w:spacing w:line="360" w:lineRule="auto"/>
        <w:jc w:val="both"/>
        <w:rPr>
          <w:rFonts w:ascii="Times New Roman" w:hAnsi="Times New Roman" w:cs="Times New Roman"/>
          <w:sz w:val="24"/>
          <w:szCs w:val="24"/>
        </w:rPr>
      </w:pPr>
    </w:p>
    <w:p w14:paraId="00000041" w14:textId="77777777" w:rsidR="00260E4F" w:rsidRDefault="00260E4F">
      <w:pPr>
        <w:spacing w:line="360" w:lineRule="auto"/>
        <w:jc w:val="both"/>
        <w:rPr>
          <w:rFonts w:ascii="Times New Roman" w:hAnsi="Times New Roman" w:cs="Times New Roman"/>
          <w:sz w:val="24"/>
          <w:szCs w:val="24"/>
        </w:rPr>
      </w:pPr>
    </w:p>
    <w:p w14:paraId="00000042" w14:textId="77777777" w:rsidR="00260E4F" w:rsidRDefault="00260E4F">
      <w:pPr>
        <w:spacing w:line="360" w:lineRule="auto"/>
        <w:jc w:val="both"/>
        <w:rPr>
          <w:rFonts w:ascii="Times New Roman" w:hAnsi="Times New Roman" w:cs="Times New Roman"/>
          <w:sz w:val="24"/>
          <w:szCs w:val="24"/>
        </w:rPr>
      </w:pPr>
    </w:p>
    <w:p w14:paraId="00000043" w14:textId="77777777" w:rsidR="00260E4F" w:rsidRDefault="00260E4F">
      <w:pPr>
        <w:spacing w:line="360" w:lineRule="auto"/>
        <w:jc w:val="both"/>
        <w:rPr>
          <w:rFonts w:ascii="Times New Roman" w:hAnsi="Times New Roman" w:cs="Times New Roman"/>
          <w:sz w:val="24"/>
          <w:szCs w:val="24"/>
        </w:rPr>
      </w:pPr>
    </w:p>
    <w:p w14:paraId="00000044" w14:textId="77777777" w:rsidR="00260E4F" w:rsidRDefault="00260E4F">
      <w:pPr>
        <w:spacing w:line="360" w:lineRule="auto"/>
        <w:jc w:val="both"/>
        <w:rPr>
          <w:rFonts w:ascii="Times New Roman" w:hAnsi="Times New Roman" w:cs="Times New Roman"/>
          <w:sz w:val="24"/>
          <w:szCs w:val="24"/>
        </w:rPr>
      </w:pPr>
    </w:p>
    <w:p w14:paraId="00000045" w14:textId="77777777" w:rsidR="00260E4F" w:rsidRPr="003F0177" w:rsidRDefault="000253F1">
      <w:pPr>
        <w:spacing w:line="360" w:lineRule="auto"/>
        <w:jc w:val="both"/>
        <w:rPr>
          <w:rFonts w:ascii="Times New Roman" w:hAnsi="Times New Roman" w:cs="Times New Roman"/>
          <w:b/>
          <w:bCs/>
          <w:sz w:val="24"/>
          <w:szCs w:val="24"/>
        </w:rPr>
      </w:pPr>
      <w:r w:rsidRPr="003F0177">
        <w:rPr>
          <w:rFonts w:ascii="Times New Roman" w:hAnsi="Times New Roman" w:cs="Times New Roman"/>
          <w:b/>
          <w:bCs/>
          <w:sz w:val="24"/>
          <w:szCs w:val="24"/>
        </w:rPr>
        <w:t xml:space="preserve">References </w:t>
      </w:r>
    </w:p>
    <w:p w14:paraId="66374FB4" w14:textId="77777777" w:rsidR="000253F1" w:rsidRDefault="000253F1" w:rsidP="006116EA">
      <w:pPr>
        <w:spacing w:line="360" w:lineRule="auto"/>
        <w:jc w:val="both"/>
        <w:rPr>
          <w:rFonts w:ascii="Times New Roman" w:hAnsi="Times New Roman" w:cs="Times New Roman"/>
          <w:sz w:val="24"/>
          <w:szCs w:val="24"/>
        </w:rPr>
      </w:pPr>
      <w:r>
        <w:rPr>
          <w:rFonts w:ascii="Times New Roman" w:hAnsi="Times New Roman" w:cs="Times New Roman"/>
          <w:sz w:val="24"/>
          <w:szCs w:val="24"/>
        </w:rPr>
        <w:t>Abdulrahman, M., El-Hassan, O., Al Redha, M.A. and Almalki, M. (2024) ‘Adoption of Electronic Medical Records in Healthcare Facilities in the Emirate of Dubai’, Healthcare Informatics Research, 30(2), pp. 154–161. doi:10.4258/hir.2024.30.2.154.</w:t>
      </w:r>
    </w:p>
    <w:p w14:paraId="72F9A8EB" w14:textId="77777777" w:rsidR="000253F1" w:rsidRDefault="000253F1" w:rsidP="006116EA">
      <w:pPr>
        <w:spacing w:line="360" w:lineRule="auto"/>
        <w:jc w:val="both"/>
        <w:rPr>
          <w:rFonts w:ascii="Times New Roman" w:hAnsi="Times New Roman" w:cs="Times New Roman"/>
          <w:sz w:val="24"/>
          <w:szCs w:val="24"/>
        </w:rPr>
      </w:pPr>
      <w:r>
        <w:rPr>
          <w:rFonts w:ascii="Times New Roman" w:hAnsi="Times New Roman" w:cs="Times New Roman"/>
          <w:sz w:val="24"/>
          <w:szCs w:val="24"/>
        </w:rPr>
        <w:t>Al Meslamani, A.Z. et al. (</w:t>
      </w:r>
      <w:proofErr w:type="gramStart"/>
      <w:r>
        <w:rPr>
          <w:rFonts w:ascii="Times New Roman" w:hAnsi="Times New Roman" w:cs="Times New Roman"/>
          <w:sz w:val="24"/>
          <w:szCs w:val="24"/>
        </w:rPr>
        <w:t>2022) ‘</w:t>
      </w:r>
      <w:proofErr w:type="gramEnd"/>
      <w:r>
        <w:rPr>
          <w:rFonts w:ascii="Times New Roman" w:hAnsi="Times New Roman" w:cs="Times New Roman"/>
          <w:sz w:val="24"/>
          <w:szCs w:val="24"/>
        </w:rPr>
        <w:t>The patterns and determinants of telemedicine use during the COVID-19 crisis: A nationwide study’.</w:t>
      </w:r>
    </w:p>
    <w:p w14:paraId="6ED23B3A" w14:textId="77777777" w:rsidR="000253F1" w:rsidRDefault="000253F1" w:rsidP="006116EA">
      <w:pPr>
        <w:spacing w:line="360" w:lineRule="auto"/>
        <w:jc w:val="both"/>
        <w:rPr>
          <w:rFonts w:ascii="Times New Roman" w:hAnsi="Times New Roman" w:cs="Times New Roman"/>
          <w:sz w:val="24"/>
          <w:szCs w:val="24"/>
        </w:rPr>
      </w:pPr>
      <w:r>
        <w:rPr>
          <w:rFonts w:ascii="Times New Roman" w:hAnsi="Times New Roman" w:cs="Times New Roman"/>
          <w:sz w:val="24"/>
          <w:szCs w:val="24"/>
        </w:rPr>
        <w:t>Alanazi, A. (</w:t>
      </w:r>
      <w:proofErr w:type="gramStart"/>
      <w:r>
        <w:rPr>
          <w:rFonts w:ascii="Times New Roman" w:hAnsi="Times New Roman" w:cs="Times New Roman"/>
          <w:sz w:val="24"/>
          <w:szCs w:val="24"/>
        </w:rPr>
        <w:t>2025) ‘</w:t>
      </w:r>
      <w:proofErr w:type="gramEnd"/>
      <w:r>
        <w:rPr>
          <w:rFonts w:ascii="Times New Roman" w:hAnsi="Times New Roman" w:cs="Times New Roman"/>
          <w:sz w:val="24"/>
          <w:szCs w:val="24"/>
        </w:rPr>
        <w:t>Assessing clinicians’ legal concerns and the need for a regulatory framework for AI in healthcare: A mixed-methods study’, Healthcare, 13(13), 1487.</w:t>
      </w:r>
    </w:p>
    <w:p w14:paraId="123703A7" w14:textId="77777777" w:rsidR="000253F1" w:rsidRDefault="000253F1" w:rsidP="006116EA">
      <w:pPr>
        <w:spacing w:line="360" w:lineRule="auto"/>
        <w:jc w:val="both"/>
        <w:rPr>
          <w:rFonts w:ascii="Times New Roman" w:hAnsi="Times New Roman" w:cs="Times New Roman"/>
          <w:sz w:val="24"/>
          <w:szCs w:val="24"/>
        </w:rPr>
      </w:pPr>
      <w:r>
        <w:rPr>
          <w:rFonts w:ascii="Times New Roman" w:hAnsi="Times New Roman" w:cs="Times New Roman"/>
          <w:sz w:val="24"/>
          <w:szCs w:val="24"/>
        </w:rPr>
        <w:t>Alanazi, S.D., Alanazi, F.M.L., Alateeq, S.S.S., Alharbi, A.S. and Alghufaili, R.S. (2024) ‘The implications of artificial intelligence on healthcare data and information management: Ensuring patient privacy and data security’, Saudi Journal of Medicine, 9(5).</w:t>
      </w:r>
    </w:p>
    <w:p w14:paraId="6393E094" w14:textId="77777777" w:rsidR="000253F1" w:rsidRDefault="000253F1" w:rsidP="006116EA">
      <w:pPr>
        <w:spacing w:line="360" w:lineRule="auto"/>
        <w:jc w:val="both"/>
        <w:rPr>
          <w:rFonts w:ascii="Times New Roman" w:hAnsi="Times New Roman" w:cs="Times New Roman"/>
          <w:sz w:val="24"/>
          <w:szCs w:val="24"/>
        </w:rPr>
      </w:pPr>
      <w:r>
        <w:rPr>
          <w:rFonts w:ascii="Times New Roman" w:hAnsi="Times New Roman" w:cs="Times New Roman"/>
          <w:sz w:val="24"/>
          <w:szCs w:val="24"/>
        </w:rPr>
        <w:t>Alkaabi, A. and Elsori, D. (</w:t>
      </w:r>
      <w:proofErr w:type="gramStart"/>
      <w:r>
        <w:rPr>
          <w:rFonts w:ascii="Times New Roman" w:hAnsi="Times New Roman" w:cs="Times New Roman"/>
          <w:sz w:val="24"/>
          <w:szCs w:val="24"/>
        </w:rPr>
        <w:t>2025) ‘</w:t>
      </w:r>
      <w:proofErr w:type="gramEnd"/>
      <w:r>
        <w:rPr>
          <w:rFonts w:ascii="Times New Roman" w:hAnsi="Times New Roman" w:cs="Times New Roman"/>
          <w:sz w:val="24"/>
          <w:szCs w:val="24"/>
        </w:rPr>
        <w:t>Navigating digital frontiers in UAE healthcare: A qualitative exploration of healthcare professionals’ and patients’ experiences with AI and telemedicine’, PLOS Digital Health, 4(4), e0000586.</w:t>
      </w:r>
    </w:p>
    <w:p w14:paraId="3B1B6F79" w14:textId="77777777" w:rsidR="000253F1" w:rsidRDefault="000253F1" w:rsidP="006116EA">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Alnakhi</w:t>
      </w:r>
      <w:proofErr w:type="spellEnd"/>
      <w:r>
        <w:rPr>
          <w:rFonts w:ascii="Times New Roman" w:hAnsi="Times New Roman" w:cs="Times New Roman"/>
          <w:sz w:val="24"/>
          <w:szCs w:val="24"/>
        </w:rPr>
        <w:t>, W.K. and Mamdouh, H. (2023) ‘Doctor for Every Citizen: Telehealth visits at Dubai Health Authority during COVID-19 pandemic in Dubai, United Arab Emirates’.</w:t>
      </w:r>
    </w:p>
    <w:p w14:paraId="26904967" w14:textId="77777777" w:rsidR="000253F1" w:rsidRDefault="000253F1" w:rsidP="006116EA">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Alsadan</w:t>
      </w:r>
      <w:proofErr w:type="spellEnd"/>
      <w:r>
        <w:rPr>
          <w:rFonts w:ascii="Times New Roman" w:hAnsi="Times New Roman" w:cs="Times New Roman"/>
          <w:sz w:val="24"/>
          <w:szCs w:val="24"/>
        </w:rPr>
        <w:t>, M., El Metwally, A., Ali, A., Jamal, A., Khalifa, M. and Househ, M. (2015) ‘Health Information Technology (HIT) in Arab Countries: A Systematic Review Study on HIT Progress’, Journal of Health Informatics in Developing Countries, 9(2), pp. 32–49.</w:t>
      </w:r>
    </w:p>
    <w:p w14:paraId="085CC319" w14:textId="77777777" w:rsidR="000253F1" w:rsidRDefault="000253F1" w:rsidP="006116EA">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Alsadan</w:t>
      </w:r>
      <w:proofErr w:type="spellEnd"/>
      <w:r>
        <w:rPr>
          <w:rFonts w:ascii="Times New Roman" w:hAnsi="Times New Roman" w:cs="Times New Roman"/>
          <w:sz w:val="24"/>
          <w:szCs w:val="24"/>
        </w:rPr>
        <w:t>, M., El Metwally, A., Ali, A., Jamal, A., Khalifa, M. and Househ, M. (2015) ‘Health information technology (HIT) in Arab countries: A systematic review study on HIT progress’, Journal of Health Informatics in Developing Countries, 9(2), pp. 32–49.</w:t>
      </w:r>
    </w:p>
    <w:p w14:paraId="69B53EEA" w14:textId="77777777" w:rsidR="000253F1" w:rsidRDefault="000253F1" w:rsidP="006116EA">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Bany Hamdan, A., Abdul Manaf, R. and Mahmud, A. (2023) ‘Challenges in the use Electronic Medical Records in Middle Eastern Countries: A Narrative Review’, Malaysian Journal of Medicine and Health Sciences, 19(3), pp. 334–340.</w:t>
      </w:r>
    </w:p>
    <w:p w14:paraId="693B96FC" w14:textId="77777777" w:rsidR="000253F1" w:rsidRDefault="000253F1" w:rsidP="006116EA">
      <w:pPr>
        <w:spacing w:line="360" w:lineRule="auto"/>
        <w:jc w:val="both"/>
        <w:rPr>
          <w:rFonts w:ascii="Times New Roman" w:hAnsi="Times New Roman" w:cs="Times New Roman"/>
          <w:sz w:val="24"/>
          <w:szCs w:val="24"/>
        </w:rPr>
      </w:pPr>
      <w:r>
        <w:rPr>
          <w:rFonts w:ascii="Times New Roman" w:hAnsi="Times New Roman" w:cs="Times New Roman"/>
          <w:sz w:val="24"/>
          <w:szCs w:val="24"/>
        </w:rPr>
        <w:t>Department of Health – Abu Dhabi (DOH) (2022) ‘Abu Dhabi’s digital transformation in healthcare to be showcased at the HIMSS22 Global Conference’. Available at: https://www.doh.gov.ae/en/news/Abu-Dhabis-Digital-Transformation-in-Healthcare-to-be-Showcased-at-the-HIMSS22-Global-Conference (Accessed: 27 November 2025).</w:t>
      </w:r>
    </w:p>
    <w:p w14:paraId="2E1C24AE" w14:textId="77777777" w:rsidR="000253F1" w:rsidRDefault="000253F1" w:rsidP="006116EA">
      <w:pPr>
        <w:spacing w:line="360" w:lineRule="auto"/>
        <w:jc w:val="both"/>
        <w:rPr>
          <w:rFonts w:ascii="Times New Roman" w:hAnsi="Times New Roman" w:cs="Times New Roman"/>
          <w:sz w:val="24"/>
          <w:szCs w:val="24"/>
        </w:rPr>
      </w:pPr>
      <w:r>
        <w:rPr>
          <w:rFonts w:ascii="Times New Roman" w:hAnsi="Times New Roman" w:cs="Times New Roman"/>
          <w:sz w:val="24"/>
          <w:szCs w:val="24"/>
        </w:rPr>
        <w:t>Dubai Health Authority (DHA) (2019) ‘DHA launches “Doctor for Every Citizen” initiative’. Available at: https://www.wam.ae/en/article/hszr9nej-dha-launches-doctor-for-every-citizen-initiative (Accessed: 27 November 2025).</w:t>
      </w:r>
    </w:p>
    <w:p w14:paraId="08B7E69B" w14:textId="77777777" w:rsidR="000253F1" w:rsidRDefault="000253F1" w:rsidP="006116EA">
      <w:pPr>
        <w:spacing w:line="360" w:lineRule="auto"/>
        <w:jc w:val="both"/>
        <w:rPr>
          <w:rFonts w:ascii="Times New Roman" w:hAnsi="Times New Roman" w:cs="Times New Roman"/>
          <w:sz w:val="24"/>
          <w:szCs w:val="24"/>
        </w:rPr>
      </w:pPr>
      <w:r>
        <w:rPr>
          <w:rFonts w:ascii="Times New Roman" w:hAnsi="Times New Roman" w:cs="Times New Roman"/>
          <w:sz w:val="24"/>
          <w:szCs w:val="24"/>
        </w:rPr>
        <w:t>El-</w:t>
      </w:r>
      <w:proofErr w:type="spellStart"/>
      <w:r>
        <w:rPr>
          <w:rFonts w:ascii="Times New Roman" w:hAnsi="Times New Roman" w:cs="Times New Roman"/>
          <w:sz w:val="24"/>
          <w:szCs w:val="24"/>
        </w:rPr>
        <w:t>Jardali</w:t>
      </w:r>
      <w:proofErr w:type="spellEnd"/>
      <w:r>
        <w:rPr>
          <w:rFonts w:ascii="Times New Roman" w:hAnsi="Times New Roman" w:cs="Times New Roman"/>
          <w:sz w:val="24"/>
          <w:szCs w:val="24"/>
        </w:rPr>
        <w:t>, F., Hammoud, R., Fadlallah, R., Abu-Raddad, L., Honein-AbouHaidar, G. and others (2023) ‘Digital health in fragile states in the Middle East and North Africa (MENA) region: A scoping review of the literature’, PLOS ONE, 18(4), e0285226.</w:t>
      </w:r>
    </w:p>
    <w:p w14:paraId="12166F0D" w14:textId="77777777" w:rsidR="000253F1" w:rsidRDefault="000253F1" w:rsidP="006116EA">
      <w:pPr>
        <w:spacing w:line="360" w:lineRule="auto"/>
        <w:jc w:val="both"/>
        <w:rPr>
          <w:rFonts w:ascii="Times New Roman" w:hAnsi="Times New Roman" w:cs="Times New Roman"/>
          <w:sz w:val="24"/>
          <w:szCs w:val="24"/>
        </w:rPr>
      </w:pPr>
      <w:r>
        <w:rPr>
          <w:rFonts w:ascii="Times New Roman" w:hAnsi="Times New Roman" w:cs="Times New Roman"/>
          <w:sz w:val="24"/>
          <w:szCs w:val="24"/>
        </w:rPr>
        <w:t>Emirates Health Services (EHS) (2023) ‘Emirates Health Services launches its Innovation Strategy for 2023–2026’. Available at: https://www.ehs.gov.ae/en/media-center/news/emirates-health-services-launches-it-innovation-strategy-for-2023-2026 (Accessed: 27 November 2025).</w:t>
      </w:r>
    </w:p>
    <w:p w14:paraId="01AEF5AE" w14:textId="77777777" w:rsidR="000253F1" w:rsidRDefault="000253F1" w:rsidP="006116EA">
      <w:pPr>
        <w:spacing w:line="360" w:lineRule="auto"/>
        <w:jc w:val="both"/>
        <w:rPr>
          <w:rFonts w:ascii="Times New Roman" w:hAnsi="Times New Roman" w:cs="Times New Roman"/>
          <w:sz w:val="24"/>
          <w:szCs w:val="24"/>
        </w:rPr>
      </w:pPr>
      <w:r>
        <w:rPr>
          <w:rFonts w:ascii="Times New Roman" w:hAnsi="Times New Roman" w:cs="Times New Roman"/>
          <w:sz w:val="24"/>
          <w:szCs w:val="24"/>
        </w:rPr>
        <w:t>Emirates Health Services (EHS) (</w:t>
      </w:r>
      <w:proofErr w:type="gramStart"/>
      <w:r>
        <w:rPr>
          <w:rFonts w:ascii="Times New Roman" w:hAnsi="Times New Roman" w:cs="Times New Roman"/>
          <w:sz w:val="24"/>
          <w:szCs w:val="24"/>
        </w:rPr>
        <w:t>2023) ‘</w:t>
      </w:r>
      <w:proofErr w:type="gramEnd"/>
      <w:r>
        <w:rPr>
          <w:rFonts w:ascii="Times New Roman" w:hAnsi="Times New Roman" w:cs="Times New Roman"/>
          <w:sz w:val="24"/>
          <w:szCs w:val="24"/>
        </w:rPr>
        <w:t>Emirates Health Services signs deal to implement AI-based system to strengthen patient health monitoring’. Available at: https://epinews.emphnet.net/en/news/emirates-health-services-signs-deal-to-implement-ai-based-system-to-strengthen-patient-health-monitoring (Accessed: 27 November 2025).</w:t>
      </w:r>
    </w:p>
    <w:p w14:paraId="3013D147" w14:textId="77777777" w:rsidR="000253F1" w:rsidRDefault="000253F1" w:rsidP="006116E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Hong, Q.N., </w:t>
      </w:r>
      <w:proofErr w:type="spellStart"/>
      <w:r>
        <w:rPr>
          <w:rFonts w:ascii="Times New Roman" w:hAnsi="Times New Roman" w:cs="Times New Roman"/>
          <w:sz w:val="24"/>
          <w:szCs w:val="24"/>
        </w:rPr>
        <w:t>Fàbregues</w:t>
      </w:r>
      <w:proofErr w:type="spellEnd"/>
      <w:r>
        <w:rPr>
          <w:rFonts w:ascii="Times New Roman" w:hAnsi="Times New Roman" w:cs="Times New Roman"/>
          <w:sz w:val="24"/>
          <w:szCs w:val="24"/>
        </w:rPr>
        <w:t>, S., Bartlett, G., Boardman, F., Cargo, M., Dagenais, P., Gagnon, M.-P., Griffiths, F., Nicolau, B., O’Cathain, A., Rousseau, M.-C., Vedel, I. and Pluye, P. (2018) ‘The Mixed Methods Appraisal Tool (MMAT) version 2018 for information professionals and researchers’, Education for Information, 34(4), pp. 285–291.</w:t>
      </w:r>
    </w:p>
    <w:p w14:paraId="03506C10" w14:textId="77777777" w:rsidR="000253F1" w:rsidRDefault="000253F1" w:rsidP="006116E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Isgar, S. (2020) ‘COVID-19 boosts the uptake of telehealth/telemedicine in UAE – what are the legal implications?’, BSA Ahmad Bin Hezeem &amp; Associates LLP. Available at: </w:t>
      </w:r>
      <w:r>
        <w:rPr>
          <w:rFonts w:ascii="Times New Roman" w:hAnsi="Times New Roman" w:cs="Times New Roman"/>
          <w:sz w:val="24"/>
          <w:szCs w:val="24"/>
        </w:rPr>
        <w:lastRenderedPageBreak/>
        <w:t>https://bsabh.com/covid-19-boosts-the-uptake-of-tele-health-medicine-in-uae-what-are-the-legal-implications/ (Accessed: 27 November 2025).</w:t>
      </w:r>
    </w:p>
    <w:p w14:paraId="3F4E4F12" w14:textId="77777777" w:rsidR="000253F1" w:rsidRDefault="000253F1" w:rsidP="006116EA">
      <w:pPr>
        <w:spacing w:line="360" w:lineRule="auto"/>
        <w:jc w:val="both"/>
        <w:rPr>
          <w:rFonts w:ascii="Times New Roman" w:hAnsi="Times New Roman" w:cs="Times New Roman"/>
          <w:sz w:val="24"/>
          <w:szCs w:val="24"/>
        </w:rPr>
      </w:pPr>
      <w:r>
        <w:rPr>
          <w:rFonts w:ascii="Times New Roman" w:hAnsi="Times New Roman" w:cs="Times New Roman"/>
          <w:sz w:val="24"/>
          <w:szCs w:val="24"/>
        </w:rPr>
        <w:t>Menachemi, N. and Collum, T.H. (2011) ‘Benefits and drawbacks of electronic health record systems’, Risk Management and Healthcare Policy, 4, pp. 47–55.</w:t>
      </w:r>
    </w:p>
    <w:p w14:paraId="3A3C344B" w14:textId="77777777" w:rsidR="000253F1" w:rsidRDefault="000253F1" w:rsidP="006116EA">
      <w:pPr>
        <w:spacing w:line="360" w:lineRule="auto"/>
        <w:jc w:val="both"/>
        <w:rPr>
          <w:rFonts w:ascii="Times New Roman" w:hAnsi="Times New Roman" w:cs="Times New Roman"/>
          <w:sz w:val="24"/>
          <w:szCs w:val="24"/>
        </w:rPr>
      </w:pPr>
      <w:r>
        <w:rPr>
          <w:rFonts w:ascii="Times New Roman" w:hAnsi="Times New Roman" w:cs="Times New Roman"/>
          <w:sz w:val="24"/>
          <w:szCs w:val="24"/>
        </w:rPr>
        <w:t>Ministry of Health and Prevention (MOHAP) (</w:t>
      </w:r>
      <w:proofErr w:type="gramStart"/>
      <w:r>
        <w:rPr>
          <w:rFonts w:ascii="Times New Roman" w:hAnsi="Times New Roman" w:cs="Times New Roman"/>
          <w:sz w:val="24"/>
          <w:szCs w:val="24"/>
        </w:rPr>
        <w:t>2025) ‘</w:t>
      </w:r>
      <w:proofErr w:type="gramEnd"/>
      <w:r>
        <w:rPr>
          <w:rFonts w:ascii="Times New Roman" w:hAnsi="Times New Roman" w:cs="Times New Roman"/>
          <w:sz w:val="24"/>
          <w:szCs w:val="24"/>
        </w:rPr>
        <w:t>Innovation health strategy’. Available at: https://mohap.gov.ae/en/references/innovation-health-strategy (Accessed: 27 November 2025).</w:t>
      </w:r>
    </w:p>
    <w:p w14:paraId="32AEE80E" w14:textId="77777777" w:rsidR="000253F1" w:rsidRDefault="000253F1" w:rsidP="006116EA">
      <w:pPr>
        <w:spacing w:line="360" w:lineRule="auto"/>
        <w:jc w:val="both"/>
        <w:rPr>
          <w:rFonts w:ascii="Times New Roman" w:hAnsi="Times New Roman" w:cs="Times New Roman"/>
          <w:sz w:val="24"/>
          <w:szCs w:val="24"/>
        </w:rPr>
      </w:pPr>
      <w:r>
        <w:rPr>
          <w:rFonts w:ascii="Times New Roman" w:hAnsi="Times New Roman" w:cs="Times New Roman"/>
          <w:sz w:val="24"/>
          <w:szCs w:val="24"/>
        </w:rPr>
        <w:t>Ministry of Health and Prevention (MOHAP) (</w:t>
      </w:r>
      <w:proofErr w:type="gramStart"/>
      <w:r>
        <w:rPr>
          <w:rFonts w:ascii="Times New Roman" w:hAnsi="Times New Roman" w:cs="Times New Roman"/>
          <w:sz w:val="24"/>
          <w:szCs w:val="24"/>
        </w:rPr>
        <w:t>2025) ‘</w:t>
      </w:r>
      <w:proofErr w:type="gramEnd"/>
      <w:r>
        <w:rPr>
          <w:rFonts w:ascii="Times New Roman" w:hAnsi="Times New Roman" w:cs="Times New Roman"/>
          <w:sz w:val="24"/>
          <w:szCs w:val="24"/>
        </w:rPr>
        <w:t>MOHAP strategy’. Available at: https://mohap.gov.ae/en/about-us/mohap-strategy (Accessed: 27 November 2025).</w:t>
      </w:r>
    </w:p>
    <w:p w14:paraId="7B092D82" w14:textId="77777777" w:rsidR="000253F1" w:rsidRDefault="000253F1" w:rsidP="006116EA">
      <w:pPr>
        <w:spacing w:line="360" w:lineRule="auto"/>
        <w:jc w:val="both"/>
        <w:rPr>
          <w:rFonts w:ascii="Times New Roman" w:hAnsi="Times New Roman" w:cs="Times New Roman"/>
          <w:sz w:val="26"/>
          <w:szCs w:val="26"/>
        </w:rPr>
      </w:pPr>
      <w:r>
        <w:rPr>
          <w:rFonts w:ascii="Times New Roman" w:hAnsi="Times New Roman" w:cs="Times New Roman"/>
          <w:sz w:val="24"/>
          <w:szCs w:val="24"/>
        </w:rPr>
        <w:t>UAE Government (</w:t>
      </w:r>
      <w:proofErr w:type="gramStart"/>
      <w:r>
        <w:rPr>
          <w:rFonts w:ascii="Times New Roman" w:hAnsi="Times New Roman" w:cs="Times New Roman"/>
          <w:sz w:val="24"/>
          <w:szCs w:val="24"/>
        </w:rPr>
        <w:t>2025) ‘</w:t>
      </w:r>
      <w:proofErr w:type="gramEnd"/>
      <w:r>
        <w:rPr>
          <w:rFonts w:ascii="Times New Roman" w:hAnsi="Times New Roman" w:cs="Times New Roman"/>
          <w:sz w:val="24"/>
          <w:szCs w:val="24"/>
        </w:rPr>
        <w:t>Telemedicine’. The Official Portal of the UAE Government. Available at: https://u.ae/en/information-and-services/health-and-fitness/telemedicine (Accessed: 27 November 2025).</w:t>
      </w:r>
    </w:p>
    <w:sectPr w:rsidR="000253F1">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468CD"/>
    <w:multiLevelType w:val="singleLevel"/>
    <w:tmpl w:val="7AE88DEE"/>
    <w:lvl w:ilvl="0">
      <w:start w:val="1"/>
      <w:numFmt w:val="decimal"/>
      <w:pStyle w:val="ListNumber3"/>
      <w:lvlText w:val="%1."/>
      <w:lvlJc w:val="left"/>
      <w:pPr>
        <w:tabs>
          <w:tab w:val="num" w:pos="1080"/>
        </w:tabs>
        <w:ind w:left="1080" w:hanging="360"/>
      </w:pPr>
    </w:lvl>
  </w:abstractNum>
  <w:abstractNum w:abstractNumId="1" w15:restartNumberingAfterBreak="0">
    <w:nsid w:val="13457E75"/>
    <w:multiLevelType w:val="singleLevel"/>
    <w:tmpl w:val="4F6C6E06"/>
    <w:lvl w:ilvl="0">
      <w:start w:val="1"/>
      <w:numFmt w:val="bullet"/>
      <w:pStyle w:val="ListBullet3"/>
      <w:lvlText w:val=""/>
      <w:lvlJc w:val="left"/>
      <w:pPr>
        <w:tabs>
          <w:tab w:val="num" w:pos="1080"/>
        </w:tabs>
        <w:ind w:left="1080" w:hanging="360"/>
      </w:pPr>
      <w:rPr>
        <w:rFonts w:ascii="Symbol" w:hAnsi="Symbol" w:hint="default"/>
      </w:rPr>
    </w:lvl>
  </w:abstractNum>
  <w:abstractNum w:abstractNumId="2" w15:restartNumberingAfterBreak="0">
    <w:nsid w:val="13C76349"/>
    <w:multiLevelType w:val="singleLevel"/>
    <w:tmpl w:val="781AD79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300F609E"/>
    <w:multiLevelType w:val="singleLevel"/>
    <w:tmpl w:val="0409000F"/>
    <w:lvl w:ilvl="0">
      <w:start w:val="1"/>
      <w:numFmt w:val="decimal"/>
      <w:pStyle w:val="ListNumber2"/>
      <w:lvlText w:val="%1."/>
      <w:lvlJc w:val="left"/>
      <w:pPr>
        <w:tabs>
          <w:tab w:val="num" w:pos="720"/>
        </w:tabs>
        <w:ind w:left="720" w:hanging="360"/>
      </w:pPr>
    </w:lvl>
  </w:abstractNum>
  <w:abstractNum w:abstractNumId="4" w15:restartNumberingAfterBreak="0">
    <w:nsid w:val="51B3011E"/>
    <w:multiLevelType w:val="singleLevel"/>
    <w:tmpl w:val="0EF6598A"/>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557A74EA"/>
    <w:multiLevelType w:val="singleLevel"/>
    <w:tmpl w:val="3124ADBA"/>
    <w:lvl w:ilvl="0">
      <w:start w:val="1"/>
      <w:numFmt w:val="decimal"/>
      <w:lvlText w:val="%1."/>
      <w:lvlJc w:val="left"/>
      <w:pPr>
        <w:tabs>
          <w:tab w:val="num" w:pos="1800"/>
        </w:tabs>
        <w:ind w:left="1800" w:hanging="360"/>
      </w:pPr>
    </w:lvl>
  </w:abstractNum>
  <w:abstractNum w:abstractNumId="6" w15:restartNumberingAfterBreak="0">
    <w:nsid w:val="5EA956B4"/>
    <w:multiLevelType w:val="singleLevel"/>
    <w:tmpl w:val="ECDC5646"/>
    <w:lvl w:ilvl="0">
      <w:start w:val="1"/>
      <w:numFmt w:val="decimal"/>
      <w:pStyle w:val="ListNumber"/>
      <w:lvlText w:val="%1."/>
      <w:lvlJc w:val="left"/>
      <w:pPr>
        <w:tabs>
          <w:tab w:val="num" w:pos="360"/>
        </w:tabs>
        <w:ind w:left="360" w:hanging="360"/>
      </w:pPr>
    </w:lvl>
  </w:abstractNum>
  <w:abstractNum w:abstractNumId="7" w15:restartNumberingAfterBreak="0">
    <w:nsid w:val="5F4F15A2"/>
    <w:multiLevelType w:val="singleLevel"/>
    <w:tmpl w:val="04090001"/>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70467049"/>
    <w:multiLevelType w:val="singleLevel"/>
    <w:tmpl w:val="BB100CC8"/>
    <w:lvl w:ilvl="0">
      <w:start w:val="1"/>
      <w:numFmt w:val="decimal"/>
      <w:lvlText w:val="%1."/>
      <w:lvlJc w:val="left"/>
      <w:pPr>
        <w:tabs>
          <w:tab w:val="num" w:pos="1440"/>
        </w:tabs>
        <w:ind w:left="1440" w:hanging="360"/>
      </w:pPr>
    </w:lvl>
  </w:abstractNum>
  <w:num w:numId="1" w16cid:durableId="1862425932">
    <w:abstractNumId w:val="2"/>
  </w:num>
  <w:num w:numId="2" w16cid:durableId="835074471">
    <w:abstractNumId w:val="7"/>
  </w:num>
  <w:num w:numId="3" w16cid:durableId="1253735424">
    <w:abstractNumId w:val="1"/>
  </w:num>
  <w:num w:numId="4" w16cid:durableId="2098204617">
    <w:abstractNumId w:val="4"/>
  </w:num>
  <w:num w:numId="5" w16cid:durableId="1416049305">
    <w:abstractNumId w:val="6"/>
  </w:num>
  <w:num w:numId="6" w16cid:durableId="1309168245">
    <w:abstractNumId w:val="3"/>
  </w:num>
  <w:num w:numId="7" w16cid:durableId="457459944">
    <w:abstractNumId w:val="0"/>
  </w:num>
  <w:num w:numId="8" w16cid:durableId="424419139">
    <w:abstractNumId w:val="8"/>
  </w:num>
  <w:num w:numId="9" w16cid:durableId="3998658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3F1"/>
    <w:rsid w:val="00034616"/>
    <w:rsid w:val="0006063C"/>
    <w:rsid w:val="0015074B"/>
    <w:rsid w:val="00260E4F"/>
    <w:rsid w:val="0029639D"/>
    <w:rsid w:val="00326F90"/>
    <w:rsid w:val="003F0177"/>
    <w:rsid w:val="00551F35"/>
    <w:rsid w:val="006116EA"/>
    <w:rsid w:val="00753A71"/>
    <w:rsid w:val="00AA1D8D"/>
    <w:rsid w:val="00B47730"/>
    <w:rsid w:val="00B67943"/>
    <w:rsid w:val="00CB0664"/>
    <w:rsid w:val="00CC09BA"/>
    <w:rsid w:val="00FB54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015D195-A136-474A-A98B-70175550A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PlainText">
    <w:name w:val="Plain Text"/>
    <w:basedOn w:val="Normal"/>
    <w:link w:val="PlainTextChar"/>
    <w:uiPriority w:val="99"/>
    <w:semiHidden/>
    <w:unhideWhenUsed/>
    <w:pPr>
      <w:spacing w:after="0" w:line="240" w:lineRule="auto"/>
    </w:pPr>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sz w:val="52"/>
      <w:szCs w:val="52"/>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unhideWhenUsed/>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unhideWhenUsed/>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unhideWhenUsed/>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Number">
    <w:name w:val="List Number"/>
    <w:basedOn w:val="Normal"/>
    <w:uiPriority w:val="99"/>
    <w:unhideWhenUsed/>
    <w:pPr>
      <w:numPr>
        <w:numId w:val="5"/>
      </w:numPr>
      <w:contextualSpacing/>
    </w:pPr>
  </w:style>
  <w:style w:type="paragraph" w:styleId="ListNumber2">
    <w:name w:val="List Number 2"/>
    <w:basedOn w:val="Normal"/>
    <w:uiPriority w:val="99"/>
    <w:unhideWhenUsed/>
    <w:pPr>
      <w:numPr>
        <w:numId w:val="6"/>
      </w:numPr>
      <w:contextualSpacing/>
    </w:pPr>
  </w:style>
  <w:style w:type="paragraph" w:styleId="ListNumber3">
    <w:name w:val="List Number 3"/>
    <w:basedOn w:val="Normal"/>
    <w:uiPriority w:val="99"/>
    <w:unhideWhenUsed/>
    <w:pPr>
      <w:numPr>
        <w:numId w:val="7"/>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Emphasis">
    <w:name w:val="Subtle Emphasis"/>
    <w:basedOn w:val="DefaultParagraphFont"/>
    <w:uiPriority w:val="19"/>
    <w:qFormat/>
    <w:rPr>
      <w:i/>
      <w:iCs/>
      <w:color w:val="808080" w:themeColor="text1" w:themeTint="7F"/>
    </w:rPr>
  </w:style>
  <w:style w:type="character" w:styleId="IntenseEmphasis">
    <w:name w:val="Intense Emphasis"/>
    <w:basedOn w:val="DefaultParagraphFont"/>
    <w:uiPriority w:val="21"/>
    <w:qFormat/>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semiHidden/>
    <w:unhideWhenUsed/>
    <w:qFormat/>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mbria"/>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12</Pages>
  <Words>2653</Words>
  <Characters>17696</Characters>
  <Application>Microsoft Office Word</Application>
  <DocSecurity>0</DocSecurity>
  <Lines>316</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Ali Saleh Alhammadi</cp:lastModifiedBy>
  <cp:revision>7</cp:revision>
  <cp:lastPrinted>2025-12-07T06:59:00Z</cp:lastPrinted>
  <dcterms:created xsi:type="dcterms:W3CDTF">2025-12-07T06:55:00Z</dcterms:created>
  <dcterms:modified xsi:type="dcterms:W3CDTF">2025-12-07T07:14:00Z</dcterms:modified>
</cp:coreProperties>
</file>