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53B45" w14:textId="77777777" w:rsidR="00F746A1" w:rsidRDefault="00F746A1" w:rsidP="00F746A1">
      <w:pPr>
        <w:jc w:val="center"/>
        <w:rPr>
          <w:sz w:val="48"/>
          <w:szCs w:val="48"/>
        </w:rPr>
      </w:pPr>
    </w:p>
    <w:p w14:paraId="45732210" w14:textId="77777777" w:rsidR="00F746A1" w:rsidRDefault="00F746A1" w:rsidP="00F746A1">
      <w:pPr>
        <w:jc w:val="center"/>
        <w:rPr>
          <w:sz w:val="48"/>
          <w:szCs w:val="48"/>
        </w:rPr>
      </w:pPr>
    </w:p>
    <w:p w14:paraId="18640F06" w14:textId="77777777" w:rsidR="00F746A1" w:rsidRDefault="00F746A1" w:rsidP="00F746A1">
      <w:pPr>
        <w:jc w:val="center"/>
        <w:rPr>
          <w:sz w:val="48"/>
          <w:szCs w:val="48"/>
        </w:rPr>
      </w:pPr>
    </w:p>
    <w:p w14:paraId="589D1006" w14:textId="576D6B21" w:rsidR="00CE54F0" w:rsidRPr="004544C3" w:rsidRDefault="00F746A1" w:rsidP="00F746A1">
      <w:pPr>
        <w:jc w:val="center"/>
        <w:rPr>
          <w:b/>
          <w:bCs/>
          <w:sz w:val="48"/>
          <w:szCs w:val="48"/>
        </w:rPr>
      </w:pPr>
      <w:r w:rsidRPr="004544C3">
        <w:rPr>
          <w:b/>
          <w:bCs/>
          <w:sz w:val="48"/>
          <w:szCs w:val="48"/>
        </w:rPr>
        <w:t>Master’s Thesis Proposal</w:t>
      </w:r>
    </w:p>
    <w:p w14:paraId="1BB3C308" w14:textId="5A4DCEEA" w:rsidR="00F746A1" w:rsidRDefault="00F746A1" w:rsidP="00F746A1">
      <w:pPr>
        <w:jc w:val="center"/>
        <w:rPr>
          <w:sz w:val="48"/>
          <w:szCs w:val="48"/>
        </w:rPr>
      </w:pPr>
    </w:p>
    <w:p w14:paraId="7607CC02" w14:textId="769A3FE3" w:rsidR="00F746A1" w:rsidRDefault="0085465C" w:rsidP="00F746A1">
      <w:pPr>
        <w:jc w:val="center"/>
        <w:rPr>
          <w:sz w:val="48"/>
          <w:szCs w:val="48"/>
        </w:rPr>
      </w:pPr>
      <w:r>
        <w:rPr>
          <w:sz w:val="48"/>
          <w:szCs w:val="48"/>
        </w:rPr>
        <w:t>Comparison of sequence alignment on different hardware settings</w:t>
      </w:r>
    </w:p>
    <w:p w14:paraId="31E33948" w14:textId="7519430A" w:rsidR="004544C3" w:rsidRDefault="004544C3" w:rsidP="00F746A1">
      <w:pPr>
        <w:jc w:val="center"/>
        <w:rPr>
          <w:sz w:val="48"/>
          <w:szCs w:val="48"/>
        </w:rPr>
      </w:pPr>
    </w:p>
    <w:p w14:paraId="652DC633" w14:textId="7785975F" w:rsidR="004544C3" w:rsidRDefault="004544C3" w:rsidP="00F746A1">
      <w:pPr>
        <w:jc w:val="center"/>
        <w:rPr>
          <w:sz w:val="40"/>
          <w:szCs w:val="40"/>
        </w:rPr>
      </w:pPr>
      <w:r>
        <w:rPr>
          <w:sz w:val="40"/>
          <w:szCs w:val="40"/>
        </w:rPr>
        <w:t>Author:</w:t>
      </w:r>
    </w:p>
    <w:p w14:paraId="5B0D1876" w14:textId="60879760" w:rsidR="004544C3" w:rsidRDefault="004544C3" w:rsidP="00F746A1">
      <w:pPr>
        <w:jc w:val="center"/>
        <w:rPr>
          <w:sz w:val="40"/>
          <w:szCs w:val="40"/>
        </w:rPr>
      </w:pPr>
      <w:r>
        <w:rPr>
          <w:sz w:val="40"/>
          <w:szCs w:val="40"/>
        </w:rPr>
        <w:t>Ali Alloush (22108595)</w:t>
      </w:r>
    </w:p>
    <w:p w14:paraId="4CC71EFB" w14:textId="0DFC6C9C" w:rsidR="004544C3" w:rsidRDefault="004544C3" w:rsidP="00F746A1">
      <w:pPr>
        <w:jc w:val="center"/>
        <w:rPr>
          <w:sz w:val="40"/>
          <w:szCs w:val="40"/>
        </w:rPr>
      </w:pPr>
    </w:p>
    <w:p w14:paraId="27DF65F4" w14:textId="58F27F33" w:rsidR="004544C3" w:rsidRDefault="004544C3" w:rsidP="00F746A1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04BA7594" wp14:editId="7A25B481">
            <wp:extent cx="5943600" cy="1143000"/>
            <wp:effectExtent l="0" t="0" r="0" b="0"/>
            <wp:docPr id="1" name="Picture 1" descr="Deggendorf institute of technology assessment test - How to Abr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ggendorf institute of technology assessment test - How to Abroa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462" b="31923"/>
                    <a:stretch/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06A33D" w14:textId="2B1FE6BE" w:rsidR="004544C3" w:rsidRDefault="004544C3" w:rsidP="00F746A1">
      <w:pPr>
        <w:jc w:val="center"/>
        <w:rPr>
          <w:sz w:val="40"/>
          <w:szCs w:val="40"/>
        </w:rPr>
      </w:pPr>
    </w:p>
    <w:p w14:paraId="01E3C990" w14:textId="1AB8582E" w:rsidR="004544C3" w:rsidRDefault="004544C3" w:rsidP="00F746A1">
      <w:pPr>
        <w:jc w:val="center"/>
        <w:rPr>
          <w:sz w:val="40"/>
          <w:szCs w:val="40"/>
        </w:rPr>
      </w:pPr>
    </w:p>
    <w:p w14:paraId="1304A2AA" w14:textId="33E12222" w:rsidR="004544C3" w:rsidRDefault="004544C3" w:rsidP="00F746A1">
      <w:pPr>
        <w:jc w:val="center"/>
        <w:rPr>
          <w:sz w:val="40"/>
          <w:szCs w:val="40"/>
        </w:rPr>
      </w:pPr>
    </w:p>
    <w:p w14:paraId="6B3A7EDB" w14:textId="32C24DCF" w:rsidR="001163D1" w:rsidRDefault="0091389E" w:rsidP="001163D1">
      <w:pPr>
        <w:pStyle w:val="Heading1"/>
      </w:pPr>
      <w:r>
        <w:lastRenderedPageBreak/>
        <w:t xml:space="preserve">1 - </w:t>
      </w:r>
      <w:r w:rsidR="001163D1">
        <w:t>Problem Introduction</w:t>
      </w:r>
    </w:p>
    <w:p w14:paraId="50CCD546" w14:textId="12DE2204" w:rsidR="001163D1" w:rsidRDefault="001163D1" w:rsidP="001163D1"/>
    <w:p w14:paraId="6ECBC07A" w14:textId="0E116476" w:rsidR="001163D1" w:rsidRDefault="00FC7CE7" w:rsidP="001163D1">
      <w:r>
        <w:t>Genetic</w:t>
      </w:r>
      <w:r w:rsidR="0091389E">
        <w:t xml:space="preserve"> sequencing is the technique used to determine the genetic composition and sequence in a DNA </w:t>
      </w:r>
      <w:r>
        <w:t xml:space="preserve">or RNA </w:t>
      </w:r>
      <w:r w:rsidR="0091389E">
        <w:t>molecule. These sequences encode the biological information that cells use to develop and operate [1]. The sequencing of DNA</w:t>
      </w:r>
      <w:r w:rsidR="00FB320F">
        <w:t>/RNA</w:t>
      </w:r>
      <w:r w:rsidR="0091389E">
        <w:t xml:space="preserve"> is paramount in biotechnology in many different fields, such as</w:t>
      </w:r>
      <w:r w:rsidR="00704B1D">
        <w:t xml:space="preserve"> but not limited to</w:t>
      </w:r>
      <w:r w:rsidR="0091389E">
        <w:t>;</w:t>
      </w:r>
    </w:p>
    <w:p w14:paraId="4F81F0F7" w14:textId="4BFBC5AF" w:rsidR="000B53FD" w:rsidRDefault="000B53FD" w:rsidP="0091389E">
      <w:pPr>
        <w:pStyle w:val="ListParagraph"/>
        <w:numPr>
          <w:ilvl w:val="0"/>
          <w:numId w:val="1"/>
        </w:numPr>
      </w:pPr>
      <w:r>
        <w:t>Medical Biotechnology</w:t>
      </w:r>
    </w:p>
    <w:p w14:paraId="054593FA" w14:textId="2F41E387" w:rsidR="000B53FD" w:rsidRDefault="000B53FD" w:rsidP="0091389E">
      <w:pPr>
        <w:pStyle w:val="ListParagraph"/>
        <w:numPr>
          <w:ilvl w:val="0"/>
          <w:numId w:val="1"/>
        </w:numPr>
      </w:pPr>
      <w:r>
        <w:t>Pharmaceutical Biotechnology</w:t>
      </w:r>
    </w:p>
    <w:p w14:paraId="0C50382B" w14:textId="2CF23D6F" w:rsidR="000B53FD" w:rsidRDefault="000B53FD" w:rsidP="0091389E">
      <w:pPr>
        <w:pStyle w:val="ListParagraph"/>
        <w:numPr>
          <w:ilvl w:val="0"/>
          <w:numId w:val="1"/>
        </w:numPr>
      </w:pPr>
      <w:r>
        <w:t>The COVID-19 pandemic [2]</w:t>
      </w:r>
    </w:p>
    <w:p w14:paraId="63E66527" w14:textId="0E9F5BCA" w:rsidR="008332F2" w:rsidRDefault="000B53FD" w:rsidP="000B53FD">
      <w:r>
        <w:t xml:space="preserve">While greatly influential in all these fields, in Medical Biotechnology, sequencing plays a key role in studying the human genome to identify genetic disorders and therein finding ways to prevent or cure them. </w:t>
      </w:r>
      <w:r w:rsidR="00AD0C6A">
        <w:t>Similarly,</w:t>
      </w:r>
      <w:r>
        <w:t xml:space="preserve"> with the COVID-19 pandemic, </w:t>
      </w:r>
      <w:r w:rsidR="00BC156B">
        <w:t xml:space="preserve">the ability to sequence </w:t>
      </w:r>
      <w:r w:rsidR="00A900A7">
        <w:t xml:space="preserve">the virus in a quick manner allowed the biotech industry and pharmaceutical companies to develop the necessary vaccines and </w:t>
      </w:r>
      <w:r w:rsidR="008332F2">
        <w:t>medicines needed [2].</w:t>
      </w:r>
    </w:p>
    <w:p w14:paraId="4F7D3BA1" w14:textId="28F451DD" w:rsidR="002305D3" w:rsidRDefault="008332F2" w:rsidP="000B53FD">
      <w:r>
        <w:t xml:space="preserve">One of the steps in </w:t>
      </w:r>
      <w:r w:rsidR="00FB320F">
        <w:t>genetic</w:t>
      </w:r>
      <w:r w:rsidR="00442159">
        <w:t xml:space="preserve"> </w:t>
      </w:r>
      <w:r w:rsidR="00653010">
        <w:t>sequencing is sequen</w:t>
      </w:r>
      <w:r w:rsidR="00790C5C">
        <w:t>ce</w:t>
      </w:r>
      <w:r w:rsidR="00653010">
        <w:t xml:space="preserve"> alignment. </w:t>
      </w:r>
      <w:r w:rsidR="00BE6EA3">
        <w:t xml:space="preserve">This is performed by comparing </w:t>
      </w:r>
      <w:r w:rsidR="00106446">
        <w:t>similarities in genomic sequence</w:t>
      </w:r>
      <w:r w:rsidR="00E81DC3">
        <w:t xml:space="preserve">s. Usually, one of these sequences is already known (such as that of a human </w:t>
      </w:r>
      <w:r w:rsidR="00E40348">
        <w:t>gene</w:t>
      </w:r>
      <w:r w:rsidR="002305D3">
        <w:t xml:space="preserve"> or a disease, </w:t>
      </w:r>
      <w:r w:rsidR="00E40348">
        <w:t>for example) and the other is</w:t>
      </w:r>
      <w:r w:rsidR="002305D3">
        <w:t xml:space="preserve"> ‘compared’ to it.</w:t>
      </w:r>
      <w:r w:rsidR="003F51F5">
        <w:t xml:space="preserve"> A sc</w:t>
      </w:r>
      <w:r w:rsidR="005E2AE4">
        <w:t xml:space="preserve">ore is assigned to the matching based on the likelihood that these two genes </w:t>
      </w:r>
      <w:r w:rsidR="00984E27">
        <w:t>have the same origin</w:t>
      </w:r>
      <w:r w:rsidR="0097110C">
        <w:t xml:space="preserve"> with respect to possible genetic mutations that may have occurred over time.</w:t>
      </w:r>
    </w:p>
    <w:p w14:paraId="51A478B6" w14:textId="012A514A" w:rsidR="00B2527C" w:rsidRDefault="00A5513D" w:rsidP="000B53FD">
      <w:r>
        <w:t xml:space="preserve">Sequence alignment can generally be grouped into two major </w:t>
      </w:r>
      <w:r w:rsidR="00CD6744">
        <w:t>categories</w:t>
      </w:r>
      <w:r w:rsidR="006D7700">
        <w:t>;</w:t>
      </w:r>
    </w:p>
    <w:p w14:paraId="7B5D2EF1" w14:textId="2EC4191B" w:rsidR="00654CE6" w:rsidRDefault="00A5513D" w:rsidP="00654CE6">
      <w:pPr>
        <w:pStyle w:val="ListParagraph"/>
        <w:numPr>
          <w:ilvl w:val="0"/>
          <w:numId w:val="2"/>
        </w:numPr>
      </w:pPr>
      <w:r>
        <w:t>Global alignments</w:t>
      </w:r>
      <w:r w:rsidR="00F71C2F">
        <w:t xml:space="preserve">, where </w:t>
      </w:r>
      <w:r w:rsidR="00CD3378">
        <w:t>the entirety of a sequence is aligned</w:t>
      </w:r>
    </w:p>
    <w:p w14:paraId="4A8528A3" w14:textId="795CF6E1" w:rsidR="00654CE6" w:rsidRDefault="00F71C2F" w:rsidP="00654CE6">
      <w:pPr>
        <w:pStyle w:val="ListParagraph"/>
        <w:numPr>
          <w:ilvl w:val="0"/>
          <w:numId w:val="2"/>
        </w:numPr>
      </w:pPr>
      <w:r>
        <w:t>Local alignments</w:t>
      </w:r>
      <w:r w:rsidR="00CD3378">
        <w:t xml:space="preserve">, </w:t>
      </w:r>
      <w:r w:rsidR="00BA5060">
        <w:t xml:space="preserve">where </w:t>
      </w:r>
      <w:r w:rsidR="003E48BA">
        <w:t>regions of similarity are aligned [3]</w:t>
      </w:r>
    </w:p>
    <w:p w14:paraId="423C7FE6" w14:textId="22DF99ED" w:rsidR="00FE57C6" w:rsidRDefault="008B6FF1" w:rsidP="00FE57C6">
      <w:r>
        <w:t>Hybrid methods</w:t>
      </w:r>
      <w:r w:rsidR="00FE57C6">
        <w:t xml:space="preserve"> of these two methods also exis</w:t>
      </w:r>
      <w:r>
        <w:t>t, such as;</w:t>
      </w:r>
    </w:p>
    <w:p w14:paraId="46525C01" w14:textId="7D87A4E3" w:rsidR="00AE074F" w:rsidRDefault="00AE074F" w:rsidP="00AE074F">
      <w:pPr>
        <w:pStyle w:val="ListParagraph"/>
        <w:numPr>
          <w:ilvl w:val="0"/>
          <w:numId w:val="5"/>
        </w:numPr>
      </w:pPr>
      <w:r>
        <w:t xml:space="preserve">Burrows Wheeler </w:t>
      </w:r>
      <w:r w:rsidR="001B0A97">
        <w:t>transformation</w:t>
      </w:r>
    </w:p>
    <w:p w14:paraId="60AB20E2" w14:textId="481D234A" w:rsidR="00291401" w:rsidRDefault="00291401" w:rsidP="00291401">
      <w:pPr>
        <w:pStyle w:val="ListParagraph"/>
        <w:numPr>
          <w:ilvl w:val="0"/>
          <w:numId w:val="3"/>
        </w:numPr>
      </w:pPr>
      <w:r>
        <w:t>Pairwise alignment</w:t>
      </w:r>
    </w:p>
    <w:p w14:paraId="5284F023" w14:textId="56AC959D" w:rsidR="008B4B66" w:rsidRDefault="00F924E8" w:rsidP="008B4B66">
      <w:pPr>
        <w:pStyle w:val="ListParagraph"/>
        <w:numPr>
          <w:ilvl w:val="0"/>
          <w:numId w:val="3"/>
        </w:numPr>
      </w:pPr>
      <w:r>
        <w:t>Multiple sequence alignment</w:t>
      </w:r>
    </w:p>
    <w:p w14:paraId="2FB32D2D" w14:textId="14DFE58E" w:rsidR="00506B53" w:rsidRDefault="00C56DB3" w:rsidP="00506B53">
      <w:r>
        <w:t xml:space="preserve">Over the last years, there has been substantial improvement in next generation sequencing methods and machines. The limiting </w:t>
      </w:r>
      <w:r w:rsidR="00B14DAA">
        <w:t>factor in current systems, however, is the analysis of this generated sequence data</w:t>
      </w:r>
      <w:r w:rsidR="00A35D88">
        <w:t xml:space="preserve">, namely in the process of sequence </w:t>
      </w:r>
      <w:proofErr w:type="spellStart"/>
      <w:r w:rsidR="00A35D88">
        <w:t>aligment</w:t>
      </w:r>
      <w:proofErr w:type="spellEnd"/>
      <w:r w:rsidR="00A35D88">
        <w:t>.</w:t>
      </w:r>
      <w:r w:rsidR="00B14DAA">
        <w:t xml:space="preserve"> [5]</w:t>
      </w:r>
    </w:p>
    <w:p w14:paraId="65D70716" w14:textId="2BC7A88E" w:rsidR="001163D1" w:rsidRDefault="00976B70" w:rsidP="001163D1">
      <w:pPr>
        <w:pStyle w:val="Heading1"/>
      </w:pPr>
      <w:r>
        <w:lastRenderedPageBreak/>
        <w:t xml:space="preserve">2 - </w:t>
      </w:r>
      <w:r w:rsidR="001163D1">
        <w:t>Research question</w:t>
      </w:r>
    </w:p>
    <w:p w14:paraId="499A1AA7" w14:textId="37FD5D86" w:rsidR="001163D1" w:rsidRDefault="001163D1" w:rsidP="001163D1"/>
    <w:p w14:paraId="5614ED89" w14:textId="46027BE0" w:rsidR="00426EFD" w:rsidRDefault="0088604F" w:rsidP="001163D1">
      <w:r>
        <w:t>The aim</w:t>
      </w:r>
      <w:r w:rsidR="003E1E0A">
        <w:t xml:space="preserve"> of this thesis is to </w:t>
      </w:r>
      <w:r w:rsidR="00066313">
        <w:t xml:space="preserve">compare the performance of </w:t>
      </w:r>
      <w:r w:rsidR="00616D59">
        <w:t>various sequenc</w:t>
      </w:r>
      <w:r w:rsidR="008E11A9">
        <w:t>e</w:t>
      </w:r>
      <w:r w:rsidR="00616D59">
        <w:t xml:space="preserve"> alignment methods on various computer hardware.</w:t>
      </w:r>
    </w:p>
    <w:p w14:paraId="539BAB41" w14:textId="3D5B090F" w:rsidR="00B26A93" w:rsidRDefault="00B26A93" w:rsidP="001163D1">
      <w:r>
        <w:t>The question raised is;</w:t>
      </w:r>
    </w:p>
    <w:p w14:paraId="42E836E8" w14:textId="5F21DC6A" w:rsidR="00B26A93" w:rsidRDefault="00781433" w:rsidP="001163D1">
      <w:r>
        <w:t xml:space="preserve">How does </w:t>
      </w:r>
      <w:r w:rsidR="00CE7F69">
        <w:t>the performance of genetic sequence alignment tools</w:t>
      </w:r>
      <w:r>
        <w:t xml:space="preserve"> differ</w:t>
      </w:r>
      <w:r w:rsidR="005B2E2D">
        <w:t xml:space="preserve"> when performed on different hardware settings</w:t>
      </w:r>
      <w:r w:rsidR="00BC5375">
        <w:t>?</w:t>
      </w:r>
    </w:p>
    <w:p w14:paraId="587DBB5A" w14:textId="144A39EA" w:rsidR="00A929D9" w:rsidRDefault="00C16FD9" w:rsidP="00C16FD9">
      <w:r>
        <w:t>Additional questions of observations c</w:t>
      </w:r>
      <w:r w:rsidR="00552F8A">
        <w:t>ould</w:t>
      </w:r>
      <w:r>
        <w:t xml:space="preserve"> also be raised, such as:</w:t>
      </w:r>
    </w:p>
    <w:p w14:paraId="0ACB8CFF" w14:textId="08DB4744" w:rsidR="00C16FD9" w:rsidRDefault="00C16FD9" w:rsidP="00C16FD9">
      <w:pPr>
        <w:pStyle w:val="ListParagraph"/>
        <w:numPr>
          <w:ilvl w:val="0"/>
          <w:numId w:val="8"/>
        </w:numPr>
      </w:pPr>
      <w:r>
        <w:t xml:space="preserve">Are any </w:t>
      </w:r>
      <w:r w:rsidR="00375BE6">
        <w:t>pieces of hardware inherently ‘better’ in terms of performance?</w:t>
      </w:r>
    </w:p>
    <w:p w14:paraId="292E453F" w14:textId="414E6CCA" w:rsidR="00375BE6" w:rsidRDefault="00375BE6" w:rsidP="00375BE6">
      <w:pPr>
        <w:pStyle w:val="ListParagraph"/>
        <w:numPr>
          <w:ilvl w:val="1"/>
          <w:numId w:val="8"/>
        </w:numPr>
      </w:pPr>
      <w:r>
        <w:t>If not, are there differen</w:t>
      </w:r>
      <w:r w:rsidR="00EA0E17">
        <w:t xml:space="preserve">t sequencing methods that perform better with different hardware, </w:t>
      </w:r>
      <w:r w:rsidR="000C0AEB">
        <w:t>i.e.</w:t>
      </w:r>
      <w:r w:rsidR="00EA0E17">
        <w:t xml:space="preserve">, </w:t>
      </w:r>
      <w:r w:rsidR="00BF3076">
        <w:t>would a specific computer architecture</w:t>
      </w:r>
      <w:r w:rsidR="00552F8A">
        <w:t xml:space="preserve"> have a higher affinity for </w:t>
      </w:r>
      <w:r w:rsidR="00063BE7">
        <w:t>a specific sequencing method</w:t>
      </w:r>
    </w:p>
    <w:p w14:paraId="704812C3" w14:textId="0717715B" w:rsidR="00063BE7" w:rsidRDefault="00063BE7" w:rsidP="00063BE7">
      <w:pPr>
        <w:pStyle w:val="ListParagraph"/>
        <w:numPr>
          <w:ilvl w:val="0"/>
          <w:numId w:val="8"/>
        </w:numPr>
      </w:pPr>
      <w:r>
        <w:t xml:space="preserve">Are there other </w:t>
      </w:r>
      <w:r w:rsidR="00130195">
        <w:t xml:space="preserve">overlooked parameters </w:t>
      </w:r>
      <w:r w:rsidR="000F1C3E">
        <w:t>that may also influence the outcome, such as:</w:t>
      </w:r>
    </w:p>
    <w:p w14:paraId="0A095EEE" w14:textId="7F69C613" w:rsidR="000F1C3E" w:rsidRDefault="000F1C3E" w:rsidP="000F1C3E">
      <w:pPr>
        <w:pStyle w:val="ListParagraph"/>
        <w:numPr>
          <w:ilvl w:val="1"/>
          <w:numId w:val="8"/>
        </w:numPr>
      </w:pPr>
      <w:r>
        <w:t>Long or short reads</w:t>
      </w:r>
    </w:p>
    <w:p w14:paraId="556B6679" w14:textId="5EC793AC" w:rsidR="000F1C3E" w:rsidRDefault="000F1C3E" w:rsidP="00BC611D">
      <w:pPr>
        <w:pStyle w:val="ListParagraph"/>
        <w:numPr>
          <w:ilvl w:val="1"/>
          <w:numId w:val="8"/>
        </w:numPr>
      </w:pPr>
      <w:r>
        <w:t>Local or global alignment</w:t>
      </w:r>
    </w:p>
    <w:p w14:paraId="56537B3C" w14:textId="08529F99" w:rsidR="00B1264B" w:rsidRDefault="00B1264B" w:rsidP="000F1C3E">
      <w:pPr>
        <w:pStyle w:val="ListParagraph"/>
        <w:numPr>
          <w:ilvl w:val="1"/>
          <w:numId w:val="8"/>
        </w:numPr>
      </w:pPr>
      <w:r>
        <w:t>Performance per Watt</w:t>
      </w:r>
    </w:p>
    <w:p w14:paraId="3DB67FE6" w14:textId="77777777" w:rsidR="00E13918" w:rsidRDefault="00E13918" w:rsidP="00E13918"/>
    <w:p w14:paraId="0ED2E72A" w14:textId="77777777" w:rsidR="00616D59" w:rsidRDefault="00616D59" w:rsidP="001163D1"/>
    <w:p w14:paraId="548D75F2" w14:textId="51F2A412" w:rsidR="001163D1" w:rsidRDefault="001163D1" w:rsidP="001163D1"/>
    <w:p w14:paraId="648D3A9A" w14:textId="190E0DA6" w:rsidR="001163D1" w:rsidRDefault="001163D1" w:rsidP="001163D1"/>
    <w:p w14:paraId="4B2E5BC4" w14:textId="4C834C76" w:rsidR="001163D1" w:rsidRDefault="001163D1" w:rsidP="001163D1"/>
    <w:p w14:paraId="46D98EED" w14:textId="234CF1EA" w:rsidR="001163D1" w:rsidRDefault="001163D1" w:rsidP="001163D1"/>
    <w:p w14:paraId="28D62D91" w14:textId="16793EBB" w:rsidR="001163D1" w:rsidRDefault="00A203E2" w:rsidP="001163D1">
      <w:pPr>
        <w:pStyle w:val="Heading1"/>
      </w:pPr>
      <w:r>
        <w:lastRenderedPageBreak/>
        <w:t xml:space="preserve">3 - </w:t>
      </w:r>
      <w:r w:rsidR="001163D1">
        <w:t>Methodology</w:t>
      </w:r>
    </w:p>
    <w:p w14:paraId="5989B69C" w14:textId="132F7656" w:rsidR="001163D1" w:rsidRDefault="001163D1" w:rsidP="001163D1"/>
    <w:p w14:paraId="1EDB77CB" w14:textId="2880C592" w:rsidR="001163D1" w:rsidRDefault="00007CB4" w:rsidP="001163D1">
      <w:r>
        <w:t>For this project</w:t>
      </w:r>
      <w:r w:rsidR="00045762">
        <w:t>,</w:t>
      </w:r>
      <w:r w:rsidR="0086505D">
        <w:t xml:space="preserve"> we plan on using multiple samples of both long and short reads. The </w:t>
      </w:r>
      <w:r w:rsidR="00B019B5">
        <w:t>motivation</w:t>
      </w:r>
      <w:r w:rsidR="0086505D">
        <w:t xml:space="preserve"> for using </w:t>
      </w:r>
      <w:r w:rsidR="00B019B5">
        <w:t xml:space="preserve">reads of different </w:t>
      </w:r>
      <w:r w:rsidR="001E0EA6">
        <w:t>lengths</w:t>
      </w:r>
      <w:r w:rsidR="00B019B5">
        <w:t xml:space="preserve"> is to </w:t>
      </w:r>
      <w:r w:rsidR="005D5ED2">
        <w:t>observe any effects of long and short</w:t>
      </w:r>
      <w:r w:rsidR="001E0EA6">
        <w:t xml:space="preserve"> read</w:t>
      </w:r>
      <w:r w:rsidR="005D5ED2">
        <w:t xml:space="preserve"> processing times. </w:t>
      </w:r>
      <w:r w:rsidR="00B019B5">
        <w:t xml:space="preserve"> </w:t>
      </w:r>
      <w:r w:rsidR="00047E6B">
        <w:t xml:space="preserve">The motivation for using multiple samples is to </w:t>
      </w:r>
      <w:r w:rsidR="00946ACC">
        <w:t>have more consistent results among a wider dataset.</w:t>
      </w:r>
    </w:p>
    <w:p w14:paraId="410F5DB6" w14:textId="4659E68D" w:rsidR="00946ACC" w:rsidRDefault="00274D11" w:rsidP="001163D1">
      <w:r>
        <w:t>For these various reads, we plan on running multiple DNA</w:t>
      </w:r>
      <w:r w:rsidR="00FB320F">
        <w:t xml:space="preserve"> / RNA</w:t>
      </w:r>
      <w:r>
        <w:t xml:space="preserve"> alignment algorithms spanning over local and global alignment using </w:t>
      </w:r>
      <w:r w:rsidR="00F20DD2">
        <w:t xml:space="preserve">some but not limited to the </w:t>
      </w:r>
      <w:r w:rsidR="006A6E02">
        <w:t xml:space="preserve">methods mentioned in the problem introduction section of this proposal. </w:t>
      </w:r>
    </w:p>
    <w:p w14:paraId="6221124B" w14:textId="6E5E77EE" w:rsidR="00BC5375" w:rsidRDefault="00FC6513" w:rsidP="00BC5375">
      <w:r>
        <w:t xml:space="preserve">After outlining the exact tests </w:t>
      </w:r>
      <w:r w:rsidR="00FC4A5F">
        <w:t>to be run over the various samples</w:t>
      </w:r>
      <w:r w:rsidR="00DE7949">
        <w:t>,</w:t>
      </w:r>
      <w:r w:rsidR="00425263">
        <w:t xml:space="preserve"> we can begin with running the tasks on various hardware.</w:t>
      </w:r>
      <w:r w:rsidR="00BC5375">
        <w:t xml:space="preserve"> The hardware on which these sequence alignment methods are to be tested on </w:t>
      </w:r>
      <w:r w:rsidR="007725F2">
        <w:t>may contain but are not limited to</w:t>
      </w:r>
      <w:r w:rsidR="00BC5375">
        <w:t>:</w:t>
      </w:r>
    </w:p>
    <w:p w14:paraId="29C7B0F9" w14:textId="77777777" w:rsidR="00BC5375" w:rsidRDefault="00BC5375" w:rsidP="00BC5375">
      <w:pPr>
        <w:pStyle w:val="ListParagraph"/>
        <w:numPr>
          <w:ilvl w:val="0"/>
          <w:numId w:val="6"/>
        </w:numPr>
      </w:pPr>
      <w:r>
        <w:t>Single core processor</w:t>
      </w:r>
    </w:p>
    <w:p w14:paraId="6CDCFF3F" w14:textId="77777777" w:rsidR="00BC5375" w:rsidRDefault="00BC5375" w:rsidP="00BC5375">
      <w:pPr>
        <w:pStyle w:val="ListParagraph"/>
        <w:numPr>
          <w:ilvl w:val="0"/>
          <w:numId w:val="6"/>
        </w:numPr>
      </w:pPr>
      <w:r>
        <w:t>Multi core processor</w:t>
      </w:r>
    </w:p>
    <w:p w14:paraId="7538F5F7" w14:textId="77777777" w:rsidR="00BC5375" w:rsidRDefault="00BC5375" w:rsidP="00BC5375">
      <w:pPr>
        <w:pStyle w:val="ListParagraph"/>
        <w:numPr>
          <w:ilvl w:val="0"/>
          <w:numId w:val="6"/>
        </w:numPr>
      </w:pPr>
      <w:r>
        <w:t>Two multi core processors connected to a mainboard</w:t>
      </w:r>
    </w:p>
    <w:p w14:paraId="2540FC18" w14:textId="77777777" w:rsidR="00BC5375" w:rsidRDefault="00BC5375" w:rsidP="00BC5375">
      <w:pPr>
        <w:pStyle w:val="ListParagraph"/>
        <w:numPr>
          <w:ilvl w:val="0"/>
          <w:numId w:val="6"/>
        </w:numPr>
      </w:pPr>
      <w:r>
        <w:t>With GPU acceleration</w:t>
      </w:r>
    </w:p>
    <w:p w14:paraId="4CA146AC" w14:textId="77777777" w:rsidR="00BC5375" w:rsidRDefault="00BC5375" w:rsidP="001163D1"/>
    <w:p w14:paraId="6BC3325D" w14:textId="7E0C9BEC" w:rsidR="00425263" w:rsidRDefault="00425263" w:rsidP="001163D1">
      <w:r>
        <w:t>Init</w:t>
      </w:r>
      <w:r w:rsidR="00D57623">
        <w:t xml:space="preserve">ially, </w:t>
      </w:r>
      <w:r w:rsidR="00381508">
        <w:t xml:space="preserve">the tests will be run on a personal ‘average’ pc. </w:t>
      </w:r>
      <w:r w:rsidR="004C32A3">
        <w:t xml:space="preserve">Tests would be run on a single core processor, a multi-core processor, and </w:t>
      </w:r>
      <w:r w:rsidR="001A0388">
        <w:t xml:space="preserve">potentially </w:t>
      </w:r>
      <w:r w:rsidR="004C32A3">
        <w:t xml:space="preserve">with GPU acceleration. The exact specifications of this computer will also be provided. The </w:t>
      </w:r>
      <w:r w:rsidR="00F87E9D">
        <w:t>main purpose</w:t>
      </w:r>
      <w:r w:rsidR="006C533D">
        <w:t>s</w:t>
      </w:r>
      <w:r w:rsidR="00F87E9D">
        <w:t xml:space="preserve"> of this testing </w:t>
      </w:r>
      <w:r w:rsidR="00684602">
        <w:t>are</w:t>
      </w:r>
      <w:r w:rsidR="00F87E9D">
        <w:t xml:space="preserve"> to </w:t>
      </w:r>
      <w:r w:rsidR="006C533D">
        <w:t xml:space="preserve">optimize </w:t>
      </w:r>
      <w:r w:rsidR="00684602">
        <w:t xml:space="preserve">the testing criteria and specifications. Also, while not spanning over </w:t>
      </w:r>
      <w:r w:rsidR="00B040B4">
        <w:t xml:space="preserve">all the computer architectures, we believe for it to be diverse enough </w:t>
      </w:r>
      <w:r w:rsidR="00303BD8">
        <w:t xml:space="preserve">to display </w:t>
      </w:r>
      <w:r w:rsidR="005A2097">
        <w:t>any patterns that may be of interest, a</w:t>
      </w:r>
      <w:r w:rsidR="009114BD">
        <w:t>s well as bringing attention to unconsidered parameters that may</w:t>
      </w:r>
      <w:r w:rsidR="00121D08">
        <w:t xml:space="preserve"> also be influential in terms of performance and productivity.</w:t>
      </w:r>
    </w:p>
    <w:p w14:paraId="5E0FE5CC" w14:textId="5EF1E608" w:rsidR="00D00110" w:rsidRDefault="00D00110" w:rsidP="001163D1">
      <w:r>
        <w:t>The motivation for running these tests on an ‘average</w:t>
      </w:r>
      <w:r w:rsidR="00B3359C">
        <w:t xml:space="preserve"> consumer’ pc is due to the more recent availability of open source alignment methods and people exhibiting an interest </w:t>
      </w:r>
      <w:r w:rsidR="00040ED3">
        <w:t xml:space="preserve">in conducting sequence alignment </w:t>
      </w:r>
      <w:r w:rsidR="00D85466">
        <w:t xml:space="preserve">on their own personal computers. </w:t>
      </w:r>
    </w:p>
    <w:p w14:paraId="6CCEC699" w14:textId="4712FE64" w:rsidR="00B1264B" w:rsidRDefault="00121D08" w:rsidP="001163D1">
      <w:r>
        <w:t>Following this, the same primary tests on single core, multi core, and GPU accelerat</w:t>
      </w:r>
      <w:r w:rsidR="0015717E">
        <w:t>ion</w:t>
      </w:r>
      <w:r>
        <w:t xml:space="preserve"> </w:t>
      </w:r>
      <w:r w:rsidR="00AA1CAF">
        <w:t>will be run again on a server at “</w:t>
      </w:r>
      <w:proofErr w:type="spellStart"/>
      <w:r w:rsidR="00AA1CAF">
        <w:t>Technische</w:t>
      </w:r>
      <w:proofErr w:type="spellEnd"/>
      <w:r w:rsidR="00AA1CAF">
        <w:t xml:space="preserve"> Hochschule </w:t>
      </w:r>
      <w:proofErr w:type="spellStart"/>
      <w:r w:rsidR="00AA1CAF">
        <w:t>Deggendorf</w:t>
      </w:r>
      <w:proofErr w:type="spellEnd"/>
      <w:r w:rsidR="00AA1CAF">
        <w:t>”</w:t>
      </w:r>
      <w:r w:rsidR="0015717E">
        <w:t>, with the addition of two multi</w:t>
      </w:r>
      <w:r w:rsidR="00AC5EC1">
        <w:t xml:space="preserve"> core processors on a mainboard.</w:t>
      </w:r>
    </w:p>
    <w:p w14:paraId="6219498F" w14:textId="4ED98ED8" w:rsidR="0083347A" w:rsidRDefault="0083347A" w:rsidP="001163D1">
      <w:r>
        <w:t xml:space="preserve">Following the testing, the data </w:t>
      </w:r>
      <w:r w:rsidR="003824DD">
        <w:t xml:space="preserve">acquired will be analyzed. </w:t>
      </w:r>
      <w:r w:rsidR="00B1264B">
        <w:t xml:space="preserve">Each testing platform </w:t>
      </w:r>
      <w:r w:rsidR="00DA3F40">
        <w:t>will have independent results in terms of runtime</w:t>
      </w:r>
      <w:r w:rsidR="00D04FD5">
        <w:t xml:space="preserve"> based on different </w:t>
      </w:r>
      <w:r w:rsidR="00553ACE">
        <w:t>alignment methods.</w:t>
      </w:r>
      <w:r w:rsidR="00884786">
        <w:t xml:space="preserve"> </w:t>
      </w:r>
    </w:p>
    <w:p w14:paraId="66628387" w14:textId="77777777" w:rsidR="00DA3F40" w:rsidRDefault="00DA3F40" w:rsidP="001163D1"/>
    <w:p w14:paraId="6B74BD5E" w14:textId="23A30A4F" w:rsidR="001163D1" w:rsidRDefault="0047257C" w:rsidP="001163D1">
      <w:r>
        <w:t>In terms of the data</w:t>
      </w:r>
      <w:r w:rsidR="001D6E33">
        <w:t>sets mentioned, we will be using open data sets.</w:t>
      </w:r>
    </w:p>
    <w:p w14:paraId="6AA180B1" w14:textId="666234BF" w:rsidR="001D6E33" w:rsidRDefault="001D6E33" w:rsidP="001163D1">
      <w:r>
        <w:t xml:space="preserve">Also, in terms of the </w:t>
      </w:r>
      <w:r w:rsidR="004C59E2">
        <w:t>alignment tools</w:t>
      </w:r>
      <w:r w:rsidR="00865E4E">
        <w:t xml:space="preserve"> that will be used, </w:t>
      </w:r>
      <w:r w:rsidR="0093639D">
        <w:t xml:space="preserve">we aim to use </w:t>
      </w:r>
      <w:r w:rsidR="00E908B3">
        <w:t>open-source</w:t>
      </w:r>
      <w:r w:rsidR="009A4B2F">
        <w:t xml:space="preserve"> tools, such as </w:t>
      </w:r>
      <w:r w:rsidR="00677E68">
        <w:t xml:space="preserve">but not limited to </w:t>
      </w:r>
      <w:proofErr w:type="spellStart"/>
      <w:r w:rsidR="00A5389C">
        <w:t>Clustal</w:t>
      </w:r>
      <w:proofErr w:type="spellEnd"/>
      <w:r w:rsidR="00A5389C">
        <w:t xml:space="preserve"> omega [6], or </w:t>
      </w:r>
      <w:r w:rsidR="00CB4414">
        <w:t>HISAT2 [7]</w:t>
      </w:r>
      <w:r w:rsidR="00865E4E">
        <w:t xml:space="preserve"> </w:t>
      </w:r>
    </w:p>
    <w:p w14:paraId="092D5F9E" w14:textId="6C4FF6A4" w:rsidR="001163D1" w:rsidRDefault="002A0B43" w:rsidP="001163D1">
      <w:pPr>
        <w:pStyle w:val="Heading1"/>
      </w:pPr>
      <w:r>
        <w:lastRenderedPageBreak/>
        <w:t xml:space="preserve">4 - </w:t>
      </w:r>
      <w:r w:rsidR="001163D1">
        <w:t>Goal</w:t>
      </w:r>
    </w:p>
    <w:p w14:paraId="061B3248" w14:textId="5C649E44" w:rsidR="001163D1" w:rsidRDefault="001163D1" w:rsidP="001163D1"/>
    <w:p w14:paraId="1B1873B1" w14:textId="4B1DDC6D" w:rsidR="001163D1" w:rsidRDefault="00913A91" w:rsidP="001163D1">
      <w:r>
        <w:t xml:space="preserve">The goal is to output a coherent display of data and graphs demonstrating the influence of different computer hardware and architectures on varying </w:t>
      </w:r>
      <w:r w:rsidR="00DC1EBB">
        <w:t>DNA</w:t>
      </w:r>
      <w:r w:rsidR="00FB320F">
        <w:t xml:space="preserve"> / RNA</w:t>
      </w:r>
      <w:r w:rsidR="00DC1EBB">
        <w:t xml:space="preserve"> sequence alignment methods</w:t>
      </w:r>
      <w:r w:rsidR="00884786">
        <w:t>.</w:t>
      </w:r>
      <w:r w:rsidR="00DC1EBB">
        <w:t xml:space="preserve"> </w:t>
      </w:r>
      <w:r w:rsidR="000C14B8">
        <w:t>We aim to being able</w:t>
      </w:r>
      <w:r w:rsidR="00DC1EBB">
        <w:t xml:space="preserve"> to streamline this step in </w:t>
      </w:r>
      <w:r w:rsidR="00FB320F">
        <w:t>genetic</w:t>
      </w:r>
      <w:r w:rsidR="00DC1EBB">
        <w:t xml:space="preserve"> sequencing in order to </w:t>
      </w:r>
      <w:r w:rsidR="00F35A4D">
        <w:t xml:space="preserve">optimize </w:t>
      </w:r>
      <w:r w:rsidR="00A7206B">
        <w:t>the processing time</w:t>
      </w:r>
      <w:r w:rsidR="005643F3">
        <w:t>,</w:t>
      </w:r>
      <w:r w:rsidR="00CF5888">
        <w:t xml:space="preserve"> result quality,</w:t>
      </w:r>
      <w:r w:rsidR="00A7206B">
        <w:t xml:space="preserve"> and inherently, the processing costs.</w:t>
      </w:r>
      <w:r w:rsidR="005643F3">
        <w:t xml:space="preserve"> </w:t>
      </w:r>
    </w:p>
    <w:p w14:paraId="6D5DE86A" w14:textId="46AA2ED5" w:rsidR="001163D1" w:rsidRDefault="001163D1" w:rsidP="001163D1"/>
    <w:p w14:paraId="09D372D4" w14:textId="0FE8F381" w:rsidR="001163D1" w:rsidRDefault="001163D1" w:rsidP="001163D1"/>
    <w:p w14:paraId="76D25016" w14:textId="7D574CFB" w:rsidR="001163D1" w:rsidRDefault="001163D1" w:rsidP="001163D1"/>
    <w:p w14:paraId="19313617" w14:textId="0FF4E268" w:rsidR="001163D1" w:rsidRDefault="001163D1" w:rsidP="001163D1"/>
    <w:p w14:paraId="409E5F49" w14:textId="16BA5381" w:rsidR="001163D1" w:rsidRDefault="001163D1" w:rsidP="001163D1"/>
    <w:p w14:paraId="0522497E" w14:textId="0F6A2125" w:rsidR="001163D1" w:rsidRDefault="001163D1" w:rsidP="001163D1"/>
    <w:p w14:paraId="75864F05" w14:textId="3C927711" w:rsidR="001163D1" w:rsidRDefault="001163D1" w:rsidP="001163D1"/>
    <w:p w14:paraId="59EE9194" w14:textId="3053C2C4" w:rsidR="001163D1" w:rsidRDefault="001163D1" w:rsidP="001163D1"/>
    <w:p w14:paraId="1863B78A" w14:textId="4484F6E9" w:rsidR="001163D1" w:rsidRDefault="001163D1" w:rsidP="001163D1"/>
    <w:p w14:paraId="3C0110F3" w14:textId="0FF41EFC" w:rsidR="001163D1" w:rsidRDefault="001163D1" w:rsidP="001163D1"/>
    <w:p w14:paraId="235561D2" w14:textId="1D967894" w:rsidR="001163D1" w:rsidRDefault="001163D1" w:rsidP="001163D1"/>
    <w:p w14:paraId="309C7D97" w14:textId="7E8AC9B1" w:rsidR="001163D1" w:rsidRDefault="001163D1" w:rsidP="001163D1"/>
    <w:p w14:paraId="2D688237" w14:textId="1D5835A6" w:rsidR="001163D1" w:rsidRDefault="001163D1" w:rsidP="001163D1"/>
    <w:p w14:paraId="5C0EE796" w14:textId="42D74DDE" w:rsidR="001163D1" w:rsidRDefault="001163D1" w:rsidP="001163D1"/>
    <w:p w14:paraId="58D31876" w14:textId="355E4667" w:rsidR="001163D1" w:rsidRDefault="001163D1" w:rsidP="001163D1"/>
    <w:p w14:paraId="7CBFA798" w14:textId="5F8D6BAD" w:rsidR="001163D1" w:rsidRDefault="001163D1" w:rsidP="001163D1"/>
    <w:p w14:paraId="4F68B69F" w14:textId="7F32C561" w:rsidR="001163D1" w:rsidRDefault="001163D1" w:rsidP="001163D1"/>
    <w:p w14:paraId="59CB0F5A" w14:textId="5E18C5F0" w:rsidR="001163D1" w:rsidRDefault="001163D1" w:rsidP="001163D1"/>
    <w:p w14:paraId="776E64A5" w14:textId="611813B0" w:rsidR="001163D1" w:rsidRDefault="001163D1" w:rsidP="001163D1"/>
    <w:p w14:paraId="73B8299D" w14:textId="7B2174B3" w:rsidR="001163D1" w:rsidRDefault="001163D1" w:rsidP="001163D1"/>
    <w:p w14:paraId="4D870338" w14:textId="4F934F7D" w:rsidR="001163D1" w:rsidRDefault="001163D1" w:rsidP="001163D1"/>
    <w:p w14:paraId="615D4793" w14:textId="528FB216" w:rsidR="001163D1" w:rsidRDefault="001163D1" w:rsidP="001163D1"/>
    <w:p w14:paraId="6DAFCE1B" w14:textId="0C82D307" w:rsidR="001163D1" w:rsidRDefault="001163D1" w:rsidP="001163D1"/>
    <w:p w14:paraId="45FF33E7" w14:textId="6A77019A" w:rsidR="001163D1" w:rsidRDefault="001163D1" w:rsidP="001163D1"/>
    <w:p w14:paraId="7285653B" w14:textId="1AE71098" w:rsidR="001163D1" w:rsidRDefault="002A0B43" w:rsidP="001163D1">
      <w:pPr>
        <w:pStyle w:val="Heading1"/>
      </w:pPr>
      <w:r>
        <w:lastRenderedPageBreak/>
        <w:t xml:space="preserve">5 - </w:t>
      </w:r>
      <w:r w:rsidR="001163D1">
        <w:t>Time Plan</w:t>
      </w:r>
    </w:p>
    <w:p w14:paraId="43EB12AD" w14:textId="2C3842AD" w:rsidR="0091389E" w:rsidRDefault="0091389E" w:rsidP="009138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5F277F" w14:paraId="016EC9ED" w14:textId="77777777" w:rsidTr="005F277F">
        <w:tc>
          <w:tcPr>
            <w:tcW w:w="1615" w:type="dxa"/>
          </w:tcPr>
          <w:p w14:paraId="19569C41" w14:textId="4F2F5949" w:rsidR="005F277F" w:rsidRDefault="005F277F" w:rsidP="0091389E">
            <w:r>
              <w:t>Month</w:t>
            </w:r>
          </w:p>
        </w:tc>
        <w:tc>
          <w:tcPr>
            <w:tcW w:w="7735" w:type="dxa"/>
          </w:tcPr>
          <w:p w14:paraId="2AB51EE4" w14:textId="4E2EEE39" w:rsidR="005F277F" w:rsidRDefault="005F277F" w:rsidP="0091389E">
            <w:r>
              <w:t>Targeted work plan</w:t>
            </w:r>
          </w:p>
        </w:tc>
      </w:tr>
      <w:tr w:rsidR="005F277F" w14:paraId="52598BD5" w14:textId="77777777" w:rsidTr="005F277F">
        <w:tc>
          <w:tcPr>
            <w:tcW w:w="1615" w:type="dxa"/>
          </w:tcPr>
          <w:p w14:paraId="12454C50" w14:textId="6681383C" w:rsidR="005F277F" w:rsidRDefault="005F277F" w:rsidP="0091389E">
            <w:r>
              <w:t>1</w:t>
            </w:r>
          </w:p>
        </w:tc>
        <w:tc>
          <w:tcPr>
            <w:tcW w:w="7735" w:type="dxa"/>
          </w:tcPr>
          <w:p w14:paraId="4B4B29C7" w14:textId="77777777" w:rsidR="005F277F" w:rsidRDefault="005F277F" w:rsidP="0091389E">
            <w:r>
              <w:t>Literature research</w:t>
            </w:r>
            <w:r w:rsidR="000C14B8">
              <w:t xml:space="preserve"> (approx. 2 weeks)</w:t>
            </w:r>
          </w:p>
          <w:p w14:paraId="078D49EC" w14:textId="75A40740" w:rsidR="000C14B8" w:rsidRDefault="006034F0" w:rsidP="0091389E">
            <w:r>
              <w:t>Defining scope of alignment methods to be tested (approx. 2 weeks)</w:t>
            </w:r>
          </w:p>
        </w:tc>
      </w:tr>
      <w:tr w:rsidR="005F277F" w14:paraId="3CFE86A3" w14:textId="77777777" w:rsidTr="005F277F">
        <w:tc>
          <w:tcPr>
            <w:tcW w:w="1615" w:type="dxa"/>
          </w:tcPr>
          <w:p w14:paraId="50564933" w14:textId="06573329" w:rsidR="005F277F" w:rsidRDefault="005F277F" w:rsidP="0091389E">
            <w:r>
              <w:t>2</w:t>
            </w:r>
          </w:p>
        </w:tc>
        <w:tc>
          <w:tcPr>
            <w:tcW w:w="7735" w:type="dxa"/>
          </w:tcPr>
          <w:p w14:paraId="19431161" w14:textId="5FD25F40" w:rsidR="005F277F" w:rsidRDefault="00CF3F55" w:rsidP="0091389E">
            <w:r>
              <w:t xml:space="preserve">Script writing </w:t>
            </w:r>
            <w:r w:rsidR="00E33814">
              <w:t>for testing</w:t>
            </w:r>
          </w:p>
        </w:tc>
      </w:tr>
      <w:tr w:rsidR="005F277F" w14:paraId="78A23270" w14:textId="77777777" w:rsidTr="005F277F">
        <w:tc>
          <w:tcPr>
            <w:tcW w:w="1615" w:type="dxa"/>
          </w:tcPr>
          <w:p w14:paraId="0B7FF13C" w14:textId="5A526BCF" w:rsidR="005F277F" w:rsidRDefault="005F277F" w:rsidP="0091389E">
            <w:r>
              <w:t>3</w:t>
            </w:r>
          </w:p>
        </w:tc>
        <w:tc>
          <w:tcPr>
            <w:tcW w:w="7735" w:type="dxa"/>
          </w:tcPr>
          <w:p w14:paraId="4656525A" w14:textId="03F44D29" w:rsidR="005F277F" w:rsidRDefault="007B2782" w:rsidP="0091389E">
            <w:r>
              <w:t>Running tests</w:t>
            </w:r>
          </w:p>
        </w:tc>
      </w:tr>
      <w:tr w:rsidR="005F277F" w14:paraId="2BEFA69C" w14:textId="77777777" w:rsidTr="005F277F">
        <w:tc>
          <w:tcPr>
            <w:tcW w:w="1615" w:type="dxa"/>
          </w:tcPr>
          <w:p w14:paraId="0175FA89" w14:textId="26FEBBB8" w:rsidR="005F277F" w:rsidRDefault="005F277F" w:rsidP="0091389E">
            <w:r>
              <w:t>4</w:t>
            </w:r>
          </w:p>
        </w:tc>
        <w:tc>
          <w:tcPr>
            <w:tcW w:w="7735" w:type="dxa"/>
          </w:tcPr>
          <w:p w14:paraId="0BCCC5AC" w14:textId="77777777" w:rsidR="002A0B43" w:rsidRDefault="002A0B43" w:rsidP="0091389E">
            <w:r>
              <w:t>Running tests</w:t>
            </w:r>
          </w:p>
          <w:p w14:paraId="26191963" w14:textId="7324208F" w:rsidR="005F277F" w:rsidRDefault="002A0B43" w:rsidP="0091389E">
            <w:r>
              <w:t>Data acquisition and analysis</w:t>
            </w:r>
            <w:r w:rsidR="007B2782">
              <w:t xml:space="preserve"> </w:t>
            </w:r>
          </w:p>
        </w:tc>
      </w:tr>
      <w:tr w:rsidR="005F277F" w14:paraId="6183A10C" w14:textId="77777777" w:rsidTr="005F277F">
        <w:tc>
          <w:tcPr>
            <w:tcW w:w="1615" w:type="dxa"/>
          </w:tcPr>
          <w:p w14:paraId="54CFD052" w14:textId="15743B51" w:rsidR="005F277F" w:rsidRDefault="005F277F" w:rsidP="0091389E">
            <w:r>
              <w:t>5</w:t>
            </w:r>
          </w:p>
        </w:tc>
        <w:tc>
          <w:tcPr>
            <w:tcW w:w="7735" w:type="dxa"/>
          </w:tcPr>
          <w:p w14:paraId="473CFCA4" w14:textId="77777777" w:rsidR="005F277F" w:rsidRDefault="00BB10BA" w:rsidP="0091389E">
            <w:r>
              <w:t>Data analysis</w:t>
            </w:r>
          </w:p>
          <w:p w14:paraId="4377AF0F" w14:textId="5D11DC8A" w:rsidR="00072B21" w:rsidRDefault="00072B21" w:rsidP="0091389E">
            <w:r>
              <w:t>Writing thesis</w:t>
            </w:r>
          </w:p>
        </w:tc>
      </w:tr>
      <w:tr w:rsidR="005F277F" w14:paraId="4F7D4020" w14:textId="77777777" w:rsidTr="005F277F">
        <w:tc>
          <w:tcPr>
            <w:tcW w:w="1615" w:type="dxa"/>
          </w:tcPr>
          <w:p w14:paraId="23D78421" w14:textId="2714521E" w:rsidR="005F277F" w:rsidRDefault="005F277F" w:rsidP="0091389E">
            <w:r>
              <w:t>6</w:t>
            </w:r>
          </w:p>
        </w:tc>
        <w:tc>
          <w:tcPr>
            <w:tcW w:w="7735" w:type="dxa"/>
          </w:tcPr>
          <w:p w14:paraId="1DF4B2D4" w14:textId="46E23D7E" w:rsidR="005F277F" w:rsidRDefault="00BB10BA" w:rsidP="0091389E">
            <w:r>
              <w:t>Writing thesis</w:t>
            </w:r>
          </w:p>
        </w:tc>
      </w:tr>
    </w:tbl>
    <w:p w14:paraId="0562B9CC" w14:textId="377E7D82" w:rsidR="0091389E" w:rsidRDefault="0091389E" w:rsidP="0091389E"/>
    <w:p w14:paraId="0AA1B920" w14:textId="7947AC61" w:rsidR="0091389E" w:rsidRDefault="0091389E" w:rsidP="0091389E"/>
    <w:p w14:paraId="4DAD0870" w14:textId="02298CA1" w:rsidR="0091389E" w:rsidRDefault="0091389E" w:rsidP="0091389E"/>
    <w:p w14:paraId="0F04AB19" w14:textId="412490D0" w:rsidR="0091389E" w:rsidRDefault="0091389E" w:rsidP="0091389E"/>
    <w:p w14:paraId="32D444EB" w14:textId="1464BE8B" w:rsidR="0091389E" w:rsidRDefault="0091389E" w:rsidP="0091389E"/>
    <w:p w14:paraId="77EEA5CC" w14:textId="195B7202" w:rsidR="0091389E" w:rsidRDefault="0091389E" w:rsidP="0091389E"/>
    <w:p w14:paraId="6431639B" w14:textId="55C729F1" w:rsidR="0091389E" w:rsidRDefault="0091389E" w:rsidP="0091389E"/>
    <w:p w14:paraId="54A0ED53" w14:textId="3CBD5CC6" w:rsidR="0091389E" w:rsidRDefault="0091389E" w:rsidP="0091389E"/>
    <w:p w14:paraId="479CE6AE" w14:textId="694A7760" w:rsidR="0091389E" w:rsidRDefault="0091389E" w:rsidP="0091389E"/>
    <w:p w14:paraId="68D299BB" w14:textId="72607E70" w:rsidR="0091389E" w:rsidRDefault="0091389E" w:rsidP="0091389E"/>
    <w:p w14:paraId="7ADF70EA" w14:textId="68FBC64E" w:rsidR="0091389E" w:rsidRDefault="0091389E" w:rsidP="0091389E"/>
    <w:p w14:paraId="1DF37D92" w14:textId="21251EB6" w:rsidR="0091389E" w:rsidRDefault="0091389E" w:rsidP="0091389E"/>
    <w:p w14:paraId="2817E956" w14:textId="385F4B14" w:rsidR="0091389E" w:rsidRDefault="0091389E" w:rsidP="0091389E"/>
    <w:p w14:paraId="3AD01901" w14:textId="5C5C13ED" w:rsidR="0091389E" w:rsidRDefault="0091389E" w:rsidP="0091389E"/>
    <w:p w14:paraId="53755FC3" w14:textId="58E78E8F" w:rsidR="0091389E" w:rsidRDefault="0091389E" w:rsidP="0091389E"/>
    <w:p w14:paraId="4654F22B" w14:textId="43DB3CE1" w:rsidR="0091389E" w:rsidRDefault="0091389E" w:rsidP="0091389E"/>
    <w:p w14:paraId="4CBB54BC" w14:textId="49AE97B3" w:rsidR="0091389E" w:rsidRDefault="0091389E" w:rsidP="0091389E"/>
    <w:p w14:paraId="49FE7AFA" w14:textId="42C0B791" w:rsidR="0091389E" w:rsidRDefault="0091389E" w:rsidP="0091389E"/>
    <w:p w14:paraId="764EFAFB" w14:textId="4EFF700F" w:rsidR="0091389E" w:rsidRDefault="0091389E" w:rsidP="0091389E"/>
    <w:p w14:paraId="387AD979" w14:textId="5BF5D19E" w:rsidR="0091389E" w:rsidRDefault="0091389E" w:rsidP="0091389E"/>
    <w:p w14:paraId="6C352079" w14:textId="4D2BB39F" w:rsidR="0091389E" w:rsidRDefault="0091389E" w:rsidP="0091389E"/>
    <w:p w14:paraId="2096C9BC" w14:textId="7801D223" w:rsidR="0091389E" w:rsidRDefault="0091389E" w:rsidP="0091389E">
      <w:pPr>
        <w:pStyle w:val="Heading1"/>
      </w:pPr>
      <w:r>
        <w:lastRenderedPageBreak/>
        <w:t>References</w:t>
      </w:r>
    </w:p>
    <w:p w14:paraId="78E779A1" w14:textId="63320B80" w:rsidR="0091389E" w:rsidRDefault="0091389E" w:rsidP="0091389E"/>
    <w:p w14:paraId="11F00AA4" w14:textId="6CE831A9" w:rsidR="0091389E" w:rsidRDefault="0091389E" w:rsidP="0091389E">
      <w:r>
        <w:t xml:space="preserve">[1] </w:t>
      </w:r>
      <w:hyperlink r:id="rId8" w:history="1">
        <w:r w:rsidR="000B53FD" w:rsidRPr="00C23684">
          <w:rPr>
            <w:rStyle w:val="Hyperlink"/>
          </w:rPr>
          <w:t>https://www.genome.gov/genetics-glossary/DNA-Sequencing</w:t>
        </w:r>
      </w:hyperlink>
    </w:p>
    <w:p w14:paraId="52E5ED09" w14:textId="2377D197" w:rsidR="000B53FD" w:rsidRDefault="000B53FD" w:rsidP="0091389E">
      <w:r>
        <w:t xml:space="preserve">[2] </w:t>
      </w:r>
      <w:hyperlink r:id="rId9" w:anchor=":~:text=In%20Medical%20Biotechnology&amp;text=It%20involves%20the%20use%20of,genes%20associated%20with%20the%20disease" w:history="1">
        <w:r w:rsidR="003E48BA" w:rsidRPr="00C23684">
          <w:rPr>
            <w:rStyle w:val="Hyperlink"/>
          </w:rPr>
          <w:t>https://www.blalbiotech.com/blog/importance-of-dna-sequencing-in-biotechnology/#:~:text=In%20Medical%20Biotechnology&amp;text=It%20involves%20the%20use%20of,genes%20associated%20with%20the%20disease</w:t>
        </w:r>
      </w:hyperlink>
      <w:r w:rsidRPr="000B53FD">
        <w:t>.</w:t>
      </w:r>
    </w:p>
    <w:p w14:paraId="5DCF48D0" w14:textId="147BF2B3" w:rsidR="003E48BA" w:rsidRDefault="003E48BA" w:rsidP="0091389E">
      <w:r>
        <w:t xml:space="preserve">[3] </w:t>
      </w:r>
      <w:proofErr w:type="spellStart"/>
      <w:r w:rsidRPr="003E48BA">
        <w:t>Polyanovsky</w:t>
      </w:r>
      <w:proofErr w:type="spellEnd"/>
      <w:r w:rsidRPr="003E48BA">
        <w:t xml:space="preserve"> VO, </w:t>
      </w:r>
      <w:proofErr w:type="spellStart"/>
      <w:r w:rsidRPr="003E48BA">
        <w:t>Roytberg</w:t>
      </w:r>
      <w:proofErr w:type="spellEnd"/>
      <w:r w:rsidRPr="003E48BA">
        <w:t xml:space="preserve"> MA, Tumanyan VG. Comparative analysis of the quality of a global algorithm and a local algorithm for alignment of two sequences. Algorithms Mol Biol. 2011 Oct 27;6(1):25. </w:t>
      </w:r>
      <w:proofErr w:type="spellStart"/>
      <w:r w:rsidRPr="003E48BA">
        <w:t>doi</w:t>
      </w:r>
      <w:proofErr w:type="spellEnd"/>
      <w:r w:rsidRPr="003E48BA">
        <w:t>: 10.1186/1748-7188-6-25. PMID: 22032267; PMCID: PMC3223492.</w:t>
      </w:r>
    </w:p>
    <w:p w14:paraId="6355A67D" w14:textId="61C63F15" w:rsidR="00A722DC" w:rsidRPr="00AB4FC4" w:rsidRDefault="00A722DC" w:rsidP="0091389E">
      <w:pPr>
        <w:rPr>
          <w:rFonts w:cstheme="minorHAnsi"/>
          <w:color w:val="202122"/>
          <w:shd w:val="clear" w:color="auto" w:fill="EAF3FF"/>
        </w:rPr>
      </w:pPr>
      <w:r w:rsidRPr="00AB4FC4">
        <w:rPr>
          <w:rFonts w:cstheme="minorHAnsi"/>
        </w:rPr>
        <w:t xml:space="preserve">[4] </w:t>
      </w:r>
      <w:r w:rsidRPr="00AB4FC4">
        <w:rPr>
          <w:rFonts w:cstheme="minorHAnsi"/>
          <w:color w:val="202122"/>
          <w:shd w:val="clear" w:color="auto" w:fill="EAF3FF"/>
        </w:rPr>
        <w:t>Mount DM. (2004). </w:t>
      </w:r>
      <w:r w:rsidRPr="00AB4FC4">
        <w:rPr>
          <w:rFonts w:cstheme="minorHAnsi"/>
          <w:i/>
          <w:iCs/>
          <w:color w:val="202122"/>
          <w:shd w:val="clear" w:color="auto" w:fill="EAF3FF"/>
        </w:rPr>
        <w:t>Bioinformatics: Sequence and Genome Analysis</w:t>
      </w:r>
      <w:r w:rsidRPr="00AB4FC4">
        <w:rPr>
          <w:rFonts w:cstheme="minorHAnsi"/>
          <w:color w:val="202122"/>
          <w:shd w:val="clear" w:color="auto" w:fill="EAF3FF"/>
        </w:rPr>
        <w:t> (2nd ed.). Cold Spring Harbor Laboratory Press: Cold Spring Harbor, NY. </w:t>
      </w:r>
      <w:hyperlink r:id="rId10" w:tooltip="ISBN (identifier)" w:history="1">
        <w:r w:rsidRPr="00AB4FC4">
          <w:rPr>
            <w:rStyle w:val="Hyperlink"/>
            <w:rFonts w:cstheme="minorHAnsi"/>
            <w:color w:val="0645AD"/>
            <w:shd w:val="clear" w:color="auto" w:fill="EAF3FF"/>
          </w:rPr>
          <w:t>ISBN</w:t>
        </w:r>
      </w:hyperlink>
      <w:r w:rsidRPr="00AB4FC4">
        <w:rPr>
          <w:rFonts w:cstheme="minorHAnsi"/>
          <w:color w:val="202122"/>
          <w:shd w:val="clear" w:color="auto" w:fill="EAF3FF"/>
        </w:rPr>
        <w:t> </w:t>
      </w:r>
      <w:hyperlink r:id="rId11" w:tooltip="Special:BookSources/978-0-87969-608-5" w:history="1">
        <w:r w:rsidRPr="00AB4FC4">
          <w:rPr>
            <w:rStyle w:val="Hyperlink"/>
            <w:rFonts w:cstheme="minorHAnsi"/>
            <w:color w:val="0645AD"/>
            <w:shd w:val="clear" w:color="auto" w:fill="EAF3FF"/>
          </w:rPr>
          <w:t>978-0-87969-608-5</w:t>
        </w:r>
      </w:hyperlink>
      <w:r w:rsidRPr="00AB4FC4">
        <w:rPr>
          <w:rFonts w:cstheme="minorHAnsi"/>
          <w:color w:val="202122"/>
          <w:shd w:val="clear" w:color="auto" w:fill="EAF3FF"/>
        </w:rPr>
        <w:t>.</w:t>
      </w:r>
    </w:p>
    <w:p w14:paraId="447AB922" w14:textId="29A43D62" w:rsidR="00AB4FC4" w:rsidRDefault="00AB4FC4" w:rsidP="0091389E">
      <w:pPr>
        <w:rPr>
          <w:rFonts w:cstheme="minorHAnsi"/>
          <w:color w:val="202122"/>
          <w:shd w:val="clear" w:color="auto" w:fill="EAF3FF"/>
        </w:rPr>
      </w:pPr>
      <w:r w:rsidRPr="00AB4FC4">
        <w:rPr>
          <w:rFonts w:cstheme="minorHAnsi"/>
          <w:color w:val="202122"/>
          <w:shd w:val="clear" w:color="auto" w:fill="EAF3FF"/>
        </w:rPr>
        <w:t xml:space="preserve">[5] </w:t>
      </w:r>
      <w:proofErr w:type="spellStart"/>
      <w:r w:rsidRPr="00AB4FC4">
        <w:rPr>
          <w:rFonts w:cstheme="minorHAnsi"/>
          <w:color w:val="202122"/>
          <w:shd w:val="clear" w:color="auto" w:fill="EAF3FF"/>
        </w:rPr>
        <w:t>Arram</w:t>
      </w:r>
      <w:proofErr w:type="spellEnd"/>
      <w:r w:rsidRPr="00AB4FC4">
        <w:rPr>
          <w:rFonts w:cstheme="minorHAnsi"/>
          <w:color w:val="202122"/>
          <w:shd w:val="clear" w:color="auto" w:fill="EAF3FF"/>
        </w:rPr>
        <w:t xml:space="preserve">, J., Tsoi, K.H., </w:t>
      </w:r>
      <w:proofErr w:type="spellStart"/>
      <w:r w:rsidRPr="00AB4FC4">
        <w:rPr>
          <w:rFonts w:cstheme="minorHAnsi"/>
          <w:color w:val="202122"/>
          <w:shd w:val="clear" w:color="auto" w:fill="EAF3FF"/>
        </w:rPr>
        <w:t>Luk</w:t>
      </w:r>
      <w:proofErr w:type="spellEnd"/>
      <w:r w:rsidRPr="00AB4FC4">
        <w:rPr>
          <w:rFonts w:cstheme="minorHAnsi"/>
          <w:color w:val="202122"/>
          <w:shd w:val="clear" w:color="auto" w:fill="EAF3FF"/>
        </w:rPr>
        <w:t xml:space="preserve">, W., Jiang, P. (2013). Hardware Acceleration of Genetic Sequence Alignment. In: Brisk, P., de </w:t>
      </w:r>
      <w:proofErr w:type="spellStart"/>
      <w:r w:rsidRPr="00AB4FC4">
        <w:rPr>
          <w:rFonts w:cstheme="minorHAnsi"/>
          <w:color w:val="202122"/>
          <w:shd w:val="clear" w:color="auto" w:fill="EAF3FF"/>
        </w:rPr>
        <w:t>Figueiredo</w:t>
      </w:r>
      <w:proofErr w:type="spellEnd"/>
      <w:r w:rsidRPr="00AB4FC4">
        <w:rPr>
          <w:rFonts w:cstheme="minorHAnsi"/>
          <w:color w:val="202122"/>
          <w:shd w:val="clear" w:color="auto" w:fill="EAF3FF"/>
        </w:rPr>
        <w:t xml:space="preserve"> Coutinho, J.G., </w:t>
      </w:r>
      <w:proofErr w:type="spellStart"/>
      <w:r w:rsidRPr="00AB4FC4">
        <w:rPr>
          <w:rFonts w:cstheme="minorHAnsi"/>
          <w:color w:val="202122"/>
          <w:shd w:val="clear" w:color="auto" w:fill="EAF3FF"/>
        </w:rPr>
        <w:t>Diniz</w:t>
      </w:r>
      <w:proofErr w:type="spellEnd"/>
      <w:r w:rsidRPr="00AB4FC4">
        <w:rPr>
          <w:rFonts w:cstheme="minorHAnsi"/>
          <w:color w:val="202122"/>
          <w:shd w:val="clear" w:color="auto" w:fill="EAF3FF"/>
        </w:rPr>
        <w:t xml:space="preserve">, P.C. (eds) Reconfigurable Computing: Architectures, Tools and Applications. ARC 2013. Lecture Notes in Computer Science, vol 7806. Springer, Berlin, Heidelberg. </w:t>
      </w:r>
      <w:hyperlink r:id="rId12" w:history="1">
        <w:r w:rsidR="001D6E33" w:rsidRPr="00EB17B7">
          <w:rPr>
            <w:rStyle w:val="Hyperlink"/>
            <w:rFonts w:cstheme="minorHAnsi"/>
            <w:shd w:val="clear" w:color="auto" w:fill="EAF3FF"/>
          </w:rPr>
          <w:t>https://doi.org/10.1007/978-3-642-36812-7_2</w:t>
        </w:r>
      </w:hyperlink>
    </w:p>
    <w:p w14:paraId="5273C224" w14:textId="6205DF21" w:rsidR="001D6E33" w:rsidRDefault="001D6E33" w:rsidP="0091389E">
      <w:pPr>
        <w:rPr>
          <w:rFonts w:cstheme="minorHAnsi"/>
          <w:color w:val="202122"/>
          <w:shd w:val="clear" w:color="auto" w:fill="EAF3FF"/>
        </w:rPr>
      </w:pPr>
      <w:r>
        <w:rPr>
          <w:rFonts w:cstheme="minorHAnsi"/>
          <w:color w:val="202122"/>
          <w:shd w:val="clear" w:color="auto" w:fill="EAF3FF"/>
        </w:rPr>
        <w:t xml:space="preserve">[6] </w:t>
      </w:r>
      <w:hyperlink r:id="rId13" w:history="1">
        <w:r w:rsidR="004E5F1F" w:rsidRPr="00EB17B7">
          <w:rPr>
            <w:rStyle w:val="Hyperlink"/>
            <w:rFonts w:cstheme="minorHAnsi"/>
            <w:shd w:val="clear" w:color="auto" w:fill="EAF3FF"/>
          </w:rPr>
          <w:t>http://www.clustal.org/omega/</w:t>
        </w:r>
      </w:hyperlink>
    </w:p>
    <w:p w14:paraId="0A303BD4" w14:textId="0030F9C3" w:rsidR="004E5F1F" w:rsidRPr="00AB4FC4" w:rsidRDefault="004E5F1F" w:rsidP="0091389E">
      <w:pPr>
        <w:rPr>
          <w:rFonts w:cstheme="minorHAnsi"/>
        </w:rPr>
      </w:pPr>
      <w:r>
        <w:rPr>
          <w:rFonts w:cstheme="minorHAnsi"/>
          <w:color w:val="202122"/>
          <w:shd w:val="clear" w:color="auto" w:fill="EAF3FF"/>
        </w:rPr>
        <w:t xml:space="preserve">[7] </w:t>
      </w:r>
      <w:r w:rsidRPr="004E5F1F">
        <w:rPr>
          <w:rFonts w:cstheme="minorHAnsi"/>
          <w:color w:val="202122"/>
          <w:shd w:val="clear" w:color="auto" w:fill="EAF3FF"/>
        </w:rPr>
        <w:t>http://daehwankimlab.github.io/hisat2/</w:t>
      </w:r>
    </w:p>
    <w:sectPr w:rsidR="004E5F1F" w:rsidRPr="00AB4FC4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D25A6" w14:textId="77777777" w:rsidR="00FA2F83" w:rsidRDefault="00FA2F83" w:rsidP="004544C3">
      <w:pPr>
        <w:spacing w:after="0" w:line="240" w:lineRule="auto"/>
      </w:pPr>
      <w:r>
        <w:separator/>
      </w:r>
    </w:p>
  </w:endnote>
  <w:endnote w:type="continuationSeparator" w:id="0">
    <w:p w14:paraId="2E42B06B" w14:textId="77777777" w:rsidR="00FA2F83" w:rsidRDefault="00FA2F83" w:rsidP="00454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B6DC1" w14:textId="77777777" w:rsidR="00FA2F83" w:rsidRDefault="00FA2F83" w:rsidP="004544C3">
      <w:pPr>
        <w:spacing w:after="0" w:line="240" w:lineRule="auto"/>
      </w:pPr>
      <w:r>
        <w:separator/>
      </w:r>
    </w:p>
  </w:footnote>
  <w:footnote w:type="continuationSeparator" w:id="0">
    <w:p w14:paraId="6CB0B2E6" w14:textId="77777777" w:rsidR="00FA2F83" w:rsidRDefault="00FA2F83" w:rsidP="00454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AC5C8" w14:textId="41C65106" w:rsidR="004544C3" w:rsidRDefault="004544C3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1F1EDB" wp14:editId="65975ED7">
          <wp:simplePos x="0" y="0"/>
          <wp:positionH relativeFrom="column">
            <wp:posOffset>4476750</wp:posOffset>
          </wp:positionH>
          <wp:positionV relativeFrom="paragraph">
            <wp:posOffset>-200025</wp:posOffset>
          </wp:positionV>
          <wp:extent cx="2188212" cy="420810"/>
          <wp:effectExtent l="0" t="0" r="2540" b="0"/>
          <wp:wrapNone/>
          <wp:docPr id="2" name="Picture 2" descr="Deggendorf institute of technology assessment test - How to Abr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ggendorf institute of technology assessment test - How to Abroad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462" b="31923"/>
                  <a:stretch/>
                </pic:blipFill>
                <pic:spPr bwMode="auto">
                  <a:xfrm>
                    <a:off x="0" y="0"/>
                    <a:ext cx="2188212" cy="4208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816E0"/>
    <w:multiLevelType w:val="hybridMultilevel"/>
    <w:tmpl w:val="7A4E7C32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019085A"/>
    <w:multiLevelType w:val="hybridMultilevel"/>
    <w:tmpl w:val="42147B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D638E"/>
    <w:multiLevelType w:val="hybridMultilevel"/>
    <w:tmpl w:val="2E18A9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F710E"/>
    <w:multiLevelType w:val="hybridMultilevel"/>
    <w:tmpl w:val="F36884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EC3E81"/>
    <w:multiLevelType w:val="hybridMultilevel"/>
    <w:tmpl w:val="2FF42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60A8B"/>
    <w:multiLevelType w:val="hybridMultilevel"/>
    <w:tmpl w:val="357414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09F0746"/>
    <w:multiLevelType w:val="hybridMultilevel"/>
    <w:tmpl w:val="8158AD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B62E1"/>
    <w:multiLevelType w:val="hybridMultilevel"/>
    <w:tmpl w:val="7D8250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88309E"/>
    <w:multiLevelType w:val="hybridMultilevel"/>
    <w:tmpl w:val="BBFAF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8"/>
  </w:num>
  <w:num w:numId="5">
    <w:abstractNumId w:val="6"/>
  </w:num>
  <w:num w:numId="6">
    <w:abstractNumId w:val="0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6A1"/>
    <w:rsid w:val="00007CB4"/>
    <w:rsid w:val="00010EEB"/>
    <w:rsid w:val="00021F97"/>
    <w:rsid w:val="00040ED3"/>
    <w:rsid w:val="00045762"/>
    <w:rsid w:val="00047E6B"/>
    <w:rsid w:val="00063BE7"/>
    <w:rsid w:val="00066313"/>
    <w:rsid w:val="00072B21"/>
    <w:rsid w:val="000B53FD"/>
    <w:rsid w:val="000C0AEB"/>
    <w:rsid w:val="000C14B8"/>
    <w:rsid w:val="000F1C3E"/>
    <w:rsid w:val="000F44AA"/>
    <w:rsid w:val="00106446"/>
    <w:rsid w:val="00111094"/>
    <w:rsid w:val="001163D1"/>
    <w:rsid w:val="00121D08"/>
    <w:rsid w:val="00130195"/>
    <w:rsid w:val="0015717E"/>
    <w:rsid w:val="001646C2"/>
    <w:rsid w:val="0017403E"/>
    <w:rsid w:val="001A0388"/>
    <w:rsid w:val="001B0A97"/>
    <w:rsid w:val="001D6E33"/>
    <w:rsid w:val="001E0126"/>
    <w:rsid w:val="001E0EA6"/>
    <w:rsid w:val="002305D3"/>
    <w:rsid w:val="0023625C"/>
    <w:rsid w:val="0026047B"/>
    <w:rsid w:val="00274D11"/>
    <w:rsid w:val="00291401"/>
    <w:rsid w:val="002A0B43"/>
    <w:rsid w:val="002E0F54"/>
    <w:rsid w:val="002E1B96"/>
    <w:rsid w:val="00303BD8"/>
    <w:rsid w:val="00324584"/>
    <w:rsid w:val="00331135"/>
    <w:rsid w:val="003401B5"/>
    <w:rsid w:val="00342A1D"/>
    <w:rsid w:val="003669B8"/>
    <w:rsid w:val="00375BE6"/>
    <w:rsid w:val="00381508"/>
    <w:rsid w:val="003824DD"/>
    <w:rsid w:val="00386A67"/>
    <w:rsid w:val="003B05A2"/>
    <w:rsid w:val="003D4DF3"/>
    <w:rsid w:val="003E1E0A"/>
    <w:rsid w:val="003E48BA"/>
    <w:rsid w:val="003F51F5"/>
    <w:rsid w:val="00400E78"/>
    <w:rsid w:val="004019D2"/>
    <w:rsid w:val="00413DEE"/>
    <w:rsid w:val="00425263"/>
    <w:rsid w:val="00426EFD"/>
    <w:rsid w:val="00442159"/>
    <w:rsid w:val="004544C3"/>
    <w:rsid w:val="0047257C"/>
    <w:rsid w:val="004A5588"/>
    <w:rsid w:val="004B78AA"/>
    <w:rsid w:val="004C32A3"/>
    <w:rsid w:val="004C59E2"/>
    <w:rsid w:val="004D42D7"/>
    <w:rsid w:val="004E2EC2"/>
    <w:rsid w:val="004E5F1F"/>
    <w:rsid w:val="00506B53"/>
    <w:rsid w:val="0051243E"/>
    <w:rsid w:val="005158D8"/>
    <w:rsid w:val="00545B78"/>
    <w:rsid w:val="00552F8A"/>
    <w:rsid w:val="00553ACE"/>
    <w:rsid w:val="00557DAA"/>
    <w:rsid w:val="005643F3"/>
    <w:rsid w:val="00595E07"/>
    <w:rsid w:val="005A2097"/>
    <w:rsid w:val="005A4B6B"/>
    <w:rsid w:val="005B2E2D"/>
    <w:rsid w:val="005D5ED2"/>
    <w:rsid w:val="005E2AE4"/>
    <w:rsid w:val="005F277F"/>
    <w:rsid w:val="00603198"/>
    <w:rsid w:val="006034F0"/>
    <w:rsid w:val="00616D59"/>
    <w:rsid w:val="00653010"/>
    <w:rsid w:val="00654CE6"/>
    <w:rsid w:val="00677E68"/>
    <w:rsid w:val="00684602"/>
    <w:rsid w:val="006A6E02"/>
    <w:rsid w:val="006C533D"/>
    <w:rsid w:val="006D7700"/>
    <w:rsid w:val="006F3F2D"/>
    <w:rsid w:val="00704B1D"/>
    <w:rsid w:val="00714EBD"/>
    <w:rsid w:val="00737847"/>
    <w:rsid w:val="007725F2"/>
    <w:rsid w:val="00781433"/>
    <w:rsid w:val="00790C5C"/>
    <w:rsid w:val="007B2782"/>
    <w:rsid w:val="007C3DBD"/>
    <w:rsid w:val="007F37F4"/>
    <w:rsid w:val="00804400"/>
    <w:rsid w:val="008332F2"/>
    <w:rsid w:val="0083347A"/>
    <w:rsid w:val="0085465C"/>
    <w:rsid w:val="0086505D"/>
    <w:rsid w:val="00865E4E"/>
    <w:rsid w:val="00884786"/>
    <w:rsid w:val="0088604F"/>
    <w:rsid w:val="0089691B"/>
    <w:rsid w:val="008B4B66"/>
    <w:rsid w:val="008B6FF1"/>
    <w:rsid w:val="008D176E"/>
    <w:rsid w:val="008E11A9"/>
    <w:rsid w:val="008F6157"/>
    <w:rsid w:val="009114BD"/>
    <w:rsid w:val="0091389E"/>
    <w:rsid w:val="00913A91"/>
    <w:rsid w:val="00914D9A"/>
    <w:rsid w:val="0093639D"/>
    <w:rsid w:val="00946ACC"/>
    <w:rsid w:val="009501A2"/>
    <w:rsid w:val="00954CE7"/>
    <w:rsid w:val="0097110C"/>
    <w:rsid w:val="0097667B"/>
    <w:rsid w:val="00976B70"/>
    <w:rsid w:val="00984E27"/>
    <w:rsid w:val="009A4B2F"/>
    <w:rsid w:val="009B0EC8"/>
    <w:rsid w:val="00A203E2"/>
    <w:rsid w:val="00A35D88"/>
    <w:rsid w:val="00A5389C"/>
    <w:rsid w:val="00A5513D"/>
    <w:rsid w:val="00A7206B"/>
    <w:rsid w:val="00A722DC"/>
    <w:rsid w:val="00A735B5"/>
    <w:rsid w:val="00A900A7"/>
    <w:rsid w:val="00A90C78"/>
    <w:rsid w:val="00A929D9"/>
    <w:rsid w:val="00AA1CAF"/>
    <w:rsid w:val="00AB4FC4"/>
    <w:rsid w:val="00AC5EC1"/>
    <w:rsid w:val="00AD0C6A"/>
    <w:rsid w:val="00AD41D1"/>
    <w:rsid w:val="00AE074F"/>
    <w:rsid w:val="00B019B5"/>
    <w:rsid w:val="00B040B4"/>
    <w:rsid w:val="00B1264B"/>
    <w:rsid w:val="00B14DAA"/>
    <w:rsid w:val="00B2527C"/>
    <w:rsid w:val="00B26A93"/>
    <w:rsid w:val="00B328D0"/>
    <w:rsid w:val="00B3359C"/>
    <w:rsid w:val="00B92A17"/>
    <w:rsid w:val="00B969B6"/>
    <w:rsid w:val="00BA5060"/>
    <w:rsid w:val="00BB10BA"/>
    <w:rsid w:val="00BC156B"/>
    <w:rsid w:val="00BC5375"/>
    <w:rsid w:val="00BC611D"/>
    <w:rsid w:val="00BD056F"/>
    <w:rsid w:val="00BE6EA3"/>
    <w:rsid w:val="00BF3076"/>
    <w:rsid w:val="00BF5FF0"/>
    <w:rsid w:val="00C16FD9"/>
    <w:rsid w:val="00C56DB3"/>
    <w:rsid w:val="00CB4414"/>
    <w:rsid w:val="00CD3378"/>
    <w:rsid w:val="00CD6744"/>
    <w:rsid w:val="00CE54F0"/>
    <w:rsid w:val="00CE7F69"/>
    <w:rsid w:val="00CF3F55"/>
    <w:rsid w:val="00CF5888"/>
    <w:rsid w:val="00D00110"/>
    <w:rsid w:val="00D04FD5"/>
    <w:rsid w:val="00D5328D"/>
    <w:rsid w:val="00D57623"/>
    <w:rsid w:val="00D8403B"/>
    <w:rsid w:val="00D85466"/>
    <w:rsid w:val="00D900F0"/>
    <w:rsid w:val="00DA3F40"/>
    <w:rsid w:val="00DC1EBB"/>
    <w:rsid w:val="00DC7AAC"/>
    <w:rsid w:val="00DE7949"/>
    <w:rsid w:val="00DE7C25"/>
    <w:rsid w:val="00DF1D70"/>
    <w:rsid w:val="00E13918"/>
    <w:rsid w:val="00E16751"/>
    <w:rsid w:val="00E30346"/>
    <w:rsid w:val="00E33814"/>
    <w:rsid w:val="00E37D26"/>
    <w:rsid w:val="00E40348"/>
    <w:rsid w:val="00E74343"/>
    <w:rsid w:val="00E81D06"/>
    <w:rsid w:val="00E81DC3"/>
    <w:rsid w:val="00E908B3"/>
    <w:rsid w:val="00E94285"/>
    <w:rsid w:val="00EA0E17"/>
    <w:rsid w:val="00EC6F6E"/>
    <w:rsid w:val="00F20DD2"/>
    <w:rsid w:val="00F20F18"/>
    <w:rsid w:val="00F35A4D"/>
    <w:rsid w:val="00F71C2F"/>
    <w:rsid w:val="00F746A1"/>
    <w:rsid w:val="00F87E9D"/>
    <w:rsid w:val="00F924E8"/>
    <w:rsid w:val="00F96207"/>
    <w:rsid w:val="00FA2F83"/>
    <w:rsid w:val="00FB320F"/>
    <w:rsid w:val="00FC4A5F"/>
    <w:rsid w:val="00FC6513"/>
    <w:rsid w:val="00FC7CE7"/>
    <w:rsid w:val="00FE57C6"/>
    <w:rsid w:val="00FF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C6633"/>
  <w15:chartTrackingRefBased/>
  <w15:docId w15:val="{9ECE0FA4-6843-4E4A-B729-791C63A6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094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3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4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4C3"/>
  </w:style>
  <w:style w:type="paragraph" w:styleId="Footer">
    <w:name w:val="footer"/>
    <w:basedOn w:val="Normal"/>
    <w:link w:val="FooterChar"/>
    <w:uiPriority w:val="99"/>
    <w:unhideWhenUsed/>
    <w:rsid w:val="00454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4C3"/>
  </w:style>
  <w:style w:type="character" w:customStyle="1" w:styleId="Heading1Char">
    <w:name w:val="Heading 1 Char"/>
    <w:basedOn w:val="DefaultParagraphFont"/>
    <w:link w:val="Heading1"/>
    <w:uiPriority w:val="9"/>
    <w:rsid w:val="001110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38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53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3F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203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F2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538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nome.gov/genetics-glossary/DNA-Sequencing" TargetMode="External"/><Relationship Id="rId13" Type="http://schemas.openxmlformats.org/officeDocument/2006/relationships/hyperlink" Target="http://www.clustal.org/omeg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i.org/10.1007/978-3-642-36812-7_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Special:BookSources/978-0-87969-608-5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ISBN_(identifier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lalbiotech.com/blog/importance-of-dna-sequencing-in-biotechnology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Alloush</dc:creator>
  <cp:keywords/>
  <dc:description/>
  <cp:lastModifiedBy>Ali Alloush</cp:lastModifiedBy>
  <cp:revision>13</cp:revision>
  <dcterms:created xsi:type="dcterms:W3CDTF">2023-02-19T23:05:00Z</dcterms:created>
  <dcterms:modified xsi:type="dcterms:W3CDTF">2023-02-20T08:55:00Z</dcterms:modified>
</cp:coreProperties>
</file>