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Alquist, Kilian &amp; Vigfusson (2013) — Paper Notes</w:t>
      </w:r>
    </w:p>
    <w:p>
      <w:pPr>
        <w:spacing w:after="120"/>
      </w:pPr>
      <w:r>
        <w:t xml:space="preserve">Notes on “Forecasting the Price of Oil”. What it finds, how it evaluates forecasts, what that means for my evaluation design, and the exact lines to quote.</w:t>
      </w:r>
    </w:p>
    <w:p>
      <w:pPr>
        <w:spacing w:after="120"/>
      </w:pPr>
      <w:r>
        <w:t xml:space="preserve">19 October 2026 · Ali</w:t>
      </w:r>
    </w:p>
    <w:p>
      <w:pPr>
        <w:pStyle w:val="Heading3"/>
      </w:pPr>
      <w:r>
        <w:t xml:space="preserve">Reference</w:t>
      </w:r>
    </w:p>
    <w:p>
      <w:pPr>
        <w:spacing w:after="120"/>
      </w:pPr>
      <w:r>
        <w:rPr>
          <w:b/>
          <w:bCs/>
        </w:rPr>
        <w:t xml:space="preserve">Harvard (published version):</w:t>
      </w:r>
      <w:r>
        <w:t xml:space="preserve"> Alquist, R., Kilian, L. and Vigfusson, R.J. (2013) ‘Forecasting the price of oil’, in Elliott, G. and Timmermann, A. (eds) Handbook of Economic Forecasting, Vol. 2A. Amsterdam: North-Holland, pp. 427–507.</w:t>
      </w:r>
    </w:p>
    <w:p>
      <w:pPr>
        <w:spacing w:after="120"/>
      </w:pPr>
      <w:r>
        <w:rPr>
          <w:b/>
          <w:bCs/>
        </w:rPr>
        <w:t xml:space="preserve">Harvard (version I read):</w:t>
      </w:r>
      <w:r>
        <w:t xml:space="preserve"> Alquist, R., Kilian, L. and Vigfusson, R.J. (2011) Forecasting the price of oil. International Finance Discussion Papers No. 1022. Washington, DC: Board of Governors of the Federal Reserve System.</w:t>
      </w:r>
    </w:p>
    <w:p>
      <w:pPr>
        <w:spacing w:after="120"/>
      </w:pPr>
      <w:r>
        <w:rPr>
          <w:b/>
          <w:bCs/>
        </w:rPr>
        <w:t xml:space="preserve">IEEE:</w:t>
      </w:r>
      <w:r>
        <w:t xml:space="preserve"> R. Alquist, L. Kilian, and R. J. Vigfusson, “Forecasting the price of oil,” in Handbook of Economic Forecasting, vol. 2A, G. Elliott and A. Timmermann, Eds. Amsterdam: North-Holland, 2013, pp. 427–507.</w:t>
      </w:r>
    </w:p>
    <w:p>
      <w:pPr>
        <w:pStyle w:val="Heading3"/>
      </w:pPr>
      <w:r>
        <w:t xml:space="preserve">How to use these notes</w:t>
      </w:r>
    </w:p>
    <w:p>
      <w:pPr>
        <w:pStyle w:val="ListParagraph"/>
        <w:numPr>
          <w:ilvl w:val="0"/>
          <w:numId w:val="2"/>
        </w:numPr>
        <w:spacing w:after="60"/>
      </w:pPr>
      <w:r>
        <w:t xml:space="preserve">The paper has numbered sections (1–14), so I use those. Page numbers are the printed numbers in the July 2011 working paper (pp. 1–71 for the text, tables after that).</w:t>
      </w:r>
    </w:p>
    <w:p>
      <w:pPr>
        <w:pStyle w:val="ListParagraph"/>
        <w:numPr>
          <w:ilvl w:val="0"/>
          <w:numId w:val="2"/>
        </w:numPr>
        <w:spacing w:after="60"/>
      </w:pPr>
      <w:r>
        <w:t xml:space="preserve">Each section has </w:t>
      </w:r>
      <w:r>
        <w:rPr>
          <w:b/>
          <w:bCs/>
        </w:rPr>
        <w:t xml:space="preserve">What it says</w:t>
      </w:r>
      <w:r>
        <w:t xml:space="preserve">, </w:t>
      </w:r>
      <w:r>
        <w:rPr>
          <w:b/>
          <w:bCs/>
        </w:rPr>
        <w:t xml:space="preserve">What it means for my project</w:t>
      </w:r>
      <w:r>
        <w:t xml:space="preserve">, and </w:t>
      </w:r>
      <w:r>
        <w:rPr>
          <w:b/>
          <w:bCs/>
        </w:rPr>
        <w:t xml:space="preserve">Lines to quote</w:t>
      </w:r>
      <w:r>
        <w:t xml:space="preserve">. Quotes are word-for-word. ★ = must-cite.</w:t>
      </w:r>
    </w:p>
    <w:p>
      <w:pPr>
        <w:pStyle w:val="ListParagraph"/>
        <w:numPr>
          <w:ilvl w:val="0"/>
          <w:numId w:val="2"/>
        </w:numPr>
        <w:spacing w:after="60"/>
      </w:pPr>
      <w:r>
        <w:t xml:space="preserve">Orange boxes are problems or limits of the paper, or things I need to be careful about.</w:t>
      </w:r>
    </w:p>
    <w:p>
      <w:pPr>
        <w:pBdr>
          <w:left w:val="single" w:color="C55A11" w:sz="18" w:space="8"/>
        </w:pBdr>
        <w:shd w:fill="FDF3E7" w:color="auto" w:val="clear"/>
        <w:spacing w:after="120" w:before="100"/>
        <w:ind w:left="360"/>
      </w:pPr>
      <w:r>
        <w:rPr>
          <w:b/>
          <w:bCs/>
        </w:rPr>
        <w:t xml:space="preserve">Version warning:</w:t>
      </w:r>
      <w:r>
        <w:t xml:space="preserve"> the PDF I have is the </w:t>
      </w:r>
      <w:r>
        <w:rPr>
          <w:b/>
          <w:bCs/>
        </w:rPr>
        <w:t xml:space="preserve">July 2011 Federal Reserve working paper (IFDP 1022)</w:t>
      </w:r>
      <w:r>
        <w:t xml:space="preserve">, not the 2013 Handbook chapter. The Handbook version was edited later, so page numbers (and possibly some wording and numbers) differ. Either cite the 2011 working paper with these page numbers, or check each quote against the Handbook version before using its page numbers. Also double-check the Handbook page range (427–507) in the library record before submitting.</w:t>
      </w:r>
    </w:p>
    <w:p>
      <w:pPr>
        <w:pBdr>
          <w:left w:val="single" w:color="C55A11" w:sz="18" w:space="8"/>
        </w:pBdr>
        <w:shd w:fill="FDF3E7" w:color="auto" w:val="clear"/>
        <w:spacing w:after="120" w:before="100"/>
        <w:ind w:left="360"/>
      </w:pPr>
      <w:r>
        <w:rPr>
          <w:b/>
          <w:bCs/>
        </w:rPr>
        <w:t xml:space="preserve">Why this paper matters:</w:t>
      </w:r>
      <w:r>
        <w:t xml:space="preserve"> this is the standard reference for </w:t>
      </w:r>
      <w:r>
        <w:rPr>
          <w:b/>
          <w:bCs/>
        </w:rPr>
        <w:t xml:space="preserve">how to evaluate oil price forecasts</w:t>
      </w:r>
      <w:r>
        <w:t xml:space="preserve">. Its main message is that the simple no-change forecast (tomorrow's price = today's price) is very hard to beat. That makes it the source for my </w:t>
      </w:r>
      <w:r>
        <w:rPr>
          <w:b/>
          <w:bCs/>
        </w:rPr>
        <w:t xml:space="preserve">“always hold” baseline</w:t>
      </w:r>
      <w:r>
        <w:t xml:space="preserve">, and it also gives me a lot of guidance on testing (DM test, directional accuracy, nested models, real-time data, sample sensitivity). It's more useful for my </w:t>
      </w:r>
      <w:r>
        <w:rPr>
          <w:b/>
          <w:bCs/>
        </w:rPr>
        <w:t xml:space="preserve">evaluation chapter</w:t>
      </w:r>
      <w:r>
        <w:t xml:space="preserve"> than for my lit review on drivers.</w:t>
      </w:r>
    </w:p>
    <w:p>
      <w:pPr>
        <w:pStyle w:val="Heading1"/>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7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Alquist, Kilian &amp; Vigfusson (2013)</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Venue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Handbook of Economic Forecasting, Vol. 2A (Elsevier). A standard reference chapter. Working paper version: Federal Reserve IFDP 1022 (2011).</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Authors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Bank of Canada, University of Michigan, Federal Reserve Board. Kilian is the leading oil-market economist (same author as the Baumeister &amp; Kilian paper).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Question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 the oil price be forecast, and does anything beat the no-change forecast out-of-sample?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Monthly WTI and US refiners' acquisition cost (RAC), nominal and real. Estimation from 1973/74; evaluation mostly 1991–2009. Daily NYMEX futures 1983–2009.</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Methods compared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No-change, futures prices and spreads, drift and momentum models, Hotelling, surveys (Consensus, EIA, Michigan), exchange rates, commodity prices, AR/ARMA, VARs, Bayesian VARs, structural VAR scenarios, nonlinear GDP models.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Evaluation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Recursive (expanding window) out-of-sample forecasts. MSPE ratio vs no-change, success ratio (share of correct up/down calls), DM test, Pesaran–Timmermann sign test, bootstrap p-values.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Main finding</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no-change forecast is very hard to beat. Futures, surveys and experts don't beat it. Some models win at </w:t>
            </w:r>
            <w:r>
              <w:rPr>
                <w:b w:val="false"/>
                <w:bCs w:val="false"/>
                <w:sz w:val="19"/>
                <w:szCs w:val="19"/>
              </w:rPr>
              <w:t xml:space="preserve">1–3 months</w:t>
            </w:r>
            <w:r>
              <w:rPr>
                <w:b w:val="false"/>
                <w:bCs w:val="false"/>
                <w:sz w:val="19"/>
                <w:szCs w:val="19"/>
              </w:rPr>
              <w:t xml:space="preserve">: VARs with inventories and global activity, and recent changes in non-oil commodity prices. Beyond about 6–12 months, no-change wins.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Relevance to me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Very high for evaluation design.</w:t>
            </w:r>
            <w:r>
              <w:rPr>
                <w:b w:val="false"/>
                <w:bCs w:val="false"/>
                <w:sz w:val="19"/>
                <w:szCs w:val="19"/>
              </w:rPr>
              <w:t xml:space="preserve"> It justifies the no-change/always-hold baseline, sets the bar my models must clear, and warns about the exact traps my project could fall into (one crisis driving all the gains, nested-model tests, look-ahead bias).</w:t>
            </w:r>
          </w:p>
        </w:tc>
      </w:tr>
    </w:tbl>
    <w:p>
      <w:pPr>
        <w:spacing w:after="120"/>
      </w:pPr>
    </w:p>
    <w:p>
      <w:pPr>
        <w:pStyle w:val="Heading1"/>
      </w:pPr>
      <w:r>
        <w:t xml:space="preserve">Section 1: Introduction</w:t>
      </w:r>
    </w:p>
    <w:p>
      <w:pPr>
        <w:spacing w:after="80" w:before="160"/>
      </w:pPr>
      <w:r>
        <w:rPr>
          <w:b/>
          <w:bCs/>
          <w:color w:val="1F4E79"/>
        </w:rPr>
        <w:t xml:space="preserve">What it says</w:t>
      </w:r>
    </w:p>
    <w:p>
      <w:pPr>
        <w:pStyle w:val="ListParagraph"/>
        <w:numPr>
          <w:ilvl w:val="0"/>
          <w:numId w:val="2"/>
        </w:numPr>
        <w:spacing w:after="60"/>
      </w:pPr>
      <w:r>
        <w:t xml:space="preserve">Oil price forecasts matter to central banks, airlines, car makers, utilities and households.</w:t>
      </w:r>
    </w:p>
    <w:p>
      <w:pPr>
        <w:pStyle w:val="ListParagraph"/>
        <w:numPr>
          <w:ilvl w:val="0"/>
          <w:numId w:val="2"/>
        </w:numPr>
        <w:spacing w:after="60"/>
      </w:pPr>
      <w:r>
        <w:t xml:space="preserve">Overview of results: oil is </w:t>
      </w:r>
      <w:r>
        <w:rPr>
          <w:b/>
          <w:bCs/>
        </w:rPr>
        <w:t xml:space="preserve">predictable in population</w:t>
      </w:r>
      <w:r>
        <w:t xml:space="preserve"> (in-sample) after 1973, but that doesn't mean it can be </w:t>
      </w:r>
      <w:r>
        <w:rPr>
          <w:b/>
          <w:bCs/>
        </w:rPr>
        <w:t xml:space="preserve">forecast out-of-sample</w:t>
      </w:r>
      <w:r>
        <w:t xml:space="preserve">.</w:t>
      </w:r>
    </w:p>
    <w:p>
      <w:pPr>
        <w:pStyle w:val="ListParagraph"/>
        <w:numPr>
          <w:ilvl w:val="0"/>
          <w:numId w:val="2"/>
        </w:numPr>
        <w:spacing w:after="60"/>
      </w:pPr>
      <w:r>
        <w:t xml:space="preserve">Futures only help a little at 12 months; at long horizons they're clearly worse than no-change. Recent changes in industrial raw material prices cut the no-change MSPE by up to 22% at 3 months. Survey forecasts are disappointing. VAR models beat no-change at short horizons for the real price.</w:t>
      </w:r>
    </w:p>
    <w:p>
      <w:pPr>
        <w:pStyle w:val="ListParagraph"/>
        <w:numPr>
          <w:ilvl w:val="0"/>
          <w:numId w:val="2"/>
        </w:numPr>
        <w:spacing w:after="60"/>
      </w:pPr>
      <w:r>
        <w:t xml:space="preserve">Reduced-form models don't explain </w:t>
      </w:r>
      <w:r>
        <w:rPr>
          <w:b/>
          <w:bCs/>
        </w:rPr>
        <w:t xml:space="preserve">why</w:t>
      </w:r>
      <w:r>
        <w:t xml:space="preserve"> the forecast is what it is. Section 9 shows a structural VAR can do scenario analysis.</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In-sample vs out-of-sample</w:t>
      </w:r>
      <w:r>
        <w:t xml:space="preserve"> is the key distinction. My whole evaluation must be out-of-sample (walk-forward). A feature that looks significant in-sample proves nothing.</w:t>
      </w:r>
    </w:p>
    <w:p>
      <w:pPr>
        <w:pStyle w:val="ListParagraph"/>
        <w:numPr>
          <w:ilvl w:val="0"/>
          <w:numId w:val="2"/>
        </w:numPr>
        <w:spacing w:after="60"/>
      </w:pPr>
      <w:r>
        <w:t xml:space="preserve">Their short-horizon result (gains at 1–3 months, nothing beyond) supports a </w:t>
      </w:r>
      <w:r>
        <w:rPr>
          <w:b/>
          <w:bCs/>
        </w:rPr>
        <w:t xml:space="preserve">short horizon</w:t>
      </w:r>
      <w:r>
        <w:t xml:space="preserve"> like my 5 trading days. If oil can be forecast at all, it's in the short run.</w:t>
      </w:r>
    </w:p>
    <w:p>
      <w:pPr>
        <w:pStyle w:val="ListParagraph"/>
        <w:numPr>
          <w:ilvl w:val="0"/>
          <w:numId w:val="2"/>
        </w:numPr>
        <w:spacing w:after="60"/>
      </w:pPr>
      <w:r>
        <w:t xml:space="preserve">The interpretability point backs my use of SHAP and named per-producer scores: my model can say what's driving a signal.</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“Predictability in population, however, need not translate into out-of-sample forecastability.”</w:t>
      </w:r>
      <w:r>
        <w:rPr>
          <w:b/>
          <w:bCs/>
          <w:color w:val="1F4E79"/>
        </w:rPr>
        <w:t xml:space="preserve">  (Section 1, p. 2)</w:t>
      </w:r>
    </w:p>
    <w:p>
      <w:pPr>
        <w:spacing w:after="140"/>
        <w:ind w:left="360"/>
      </w:pPr>
      <w:r>
        <w:rPr>
          <w:b/>
          <w:bCs/>
        </w:rPr>
        <w:t xml:space="preserve">Use it for:</w:t>
      </w:r>
      <w:r>
        <w:t xml:space="preserve"> why I evaluate strictly out-of-sample with walk-forward testing, not in-sample fit.</w:t>
      </w:r>
    </w:p>
    <w:p>
      <w:pPr>
        <w:pBdr>
          <w:left w:val="single" w:color="1F4E79" w:sz="18" w:space="8"/>
        </w:pBdr>
        <w:shd w:fill="F2F6FA" w:color="auto" w:val="clear"/>
        <w:spacing w:after="40" w:before="120"/>
        <w:ind w:left="360"/>
      </w:pPr>
      <w:r>
        <w:rPr>
          <w:i/>
          <w:iCs/>
        </w:rPr>
        <w:t xml:space="preserve">“There is no evidence of significant forecast accuracy gains at shorter horizons, and at the long horizons of interest to policymakers, oil futures prices are clearly inferior to the no-change forecast.”</w:t>
      </w:r>
      <w:r>
        <w:rPr>
          <w:b/>
          <w:bCs/>
          <w:color w:val="1F4E79"/>
        </w:rPr>
        <w:t xml:space="preserve">  (Section 1, p. 2)</w:t>
      </w:r>
    </w:p>
    <w:p>
      <w:pPr>
        <w:spacing w:after="140"/>
        <w:ind w:left="360"/>
      </w:pPr>
      <w:r>
        <w:rPr>
          <w:b/>
          <w:bCs/>
        </w:rPr>
        <w:t xml:space="preserve">Use it for:</w:t>
      </w:r>
      <w:r>
        <w:t xml:space="preserve"> why futures prices aren't used as my benchmark or main predictor.</w:t>
      </w:r>
    </w:p>
    <w:p>
      <w:pPr>
        <w:pBdr>
          <w:left w:val="single" w:color="1F4E79" w:sz="18" w:space="8"/>
        </w:pBdr>
        <w:shd w:fill="F2F6FA" w:color="auto" w:val="clear"/>
        <w:spacing w:after="40" w:before="120"/>
        <w:ind w:left="360"/>
      </w:pPr>
      <w:r>
        <w:rPr>
          <w:i/>
          <w:iCs/>
        </w:rPr>
        <w:t xml:space="preserve">“Only the one-quarter-ahead EIA forecast significantly improved on the no-change forecast and none of the survey forecasts we studied significantly improved on the MSPE of the no-change forecast at the one-year horizon.”</w:t>
      </w:r>
      <w:r>
        <w:rPr>
          <w:b/>
          <w:bCs/>
          <w:color w:val="1F4E79"/>
        </w:rPr>
        <w:t xml:space="preserve">  (Section 1, p. 2)</w:t>
      </w:r>
    </w:p>
    <w:p>
      <w:pPr>
        <w:spacing w:after="140"/>
        <w:ind w:left="360"/>
      </w:pPr>
      <w:r>
        <w:rPr>
          <w:b/>
          <w:bCs/>
        </w:rPr>
        <w:t xml:space="preserve">Use it for:</w:t>
      </w:r>
      <w:r>
        <w:t xml:space="preserve"> motivation: even experts can't beat the no-change forecast.</w:t>
      </w:r>
    </w:p>
    <w:p>
      <w:pPr>
        <w:pBdr>
          <w:left w:val="single" w:color="1F4E79" w:sz="18" w:space="8"/>
        </w:pBdr>
        <w:shd w:fill="F2F6FA" w:color="auto" w:val="clear"/>
        <w:spacing w:after="40" w:before="120"/>
        <w:ind w:left="360"/>
      </w:pPr>
      <w:r>
        <w:rPr>
          <w:i/>
          <w:iCs/>
        </w:rPr>
        <w:t xml:space="preserve">“These gains tend to diminish at longer horizons, however, and, beyond one or two years, the no-change forecast of the real price of oil is the predictor with the lowest MSPE in general.”</w:t>
      </w:r>
      <w:r>
        <w:rPr>
          <w:b/>
          <w:bCs/>
          <w:color w:val="1F4E79"/>
        </w:rPr>
        <w:t xml:space="preserve">  (Section 1, p. 3)</w:t>
      </w:r>
    </w:p>
    <w:p>
      <w:pPr>
        <w:spacing w:after="140"/>
        <w:ind w:left="360"/>
      </w:pPr>
      <w:r>
        <w:rPr>
          <w:b/>
          <w:bCs/>
        </w:rPr>
        <w:t xml:space="preserve">Use it for:</w:t>
      </w:r>
      <w:r>
        <w:t xml:space="preserve"> supporting a short forecast horizon.</w:t>
      </w:r>
    </w:p>
    <w:p>
      <w:pPr>
        <w:pBdr>
          <w:left w:val="single" w:color="1F4E79" w:sz="18" w:space="8"/>
        </w:pBdr>
        <w:shd w:fill="F2F6FA" w:color="auto" w:val="clear"/>
        <w:spacing w:after="40" w:before="120"/>
        <w:ind w:left="360"/>
      </w:pPr>
      <w:r>
        <w:rPr>
          <w:i/>
          <w:iCs/>
        </w:rPr>
        <w:t xml:space="preserve">“An important limitation of reduced-form forecasting models from a policy point of view is that they provide no insight into what is driving the forecast and do not allow the policymaker to explore alternative hypothetical forecast scenarios.”</w:t>
      </w:r>
      <w:r>
        <w:rPr>
          <w:b/>
          <w:bCs/>
          <w:color w:val="1F4E79"/>
        </w:rPr>
        <w:t xml:space="preserve">  (Section 1, p. 3)</w:t>
      </w:r>
    </w:p>
    <w:p>
      <w:pPr>
        <w:spacing w:after="140"/>
        <w:ind w:left="360"/>
      </w:pPr>
      <w:r>
        <w:rPr>
          <w:b/>
          <w:bCs/>
        </w:rPr>
        <w:t xml:space="preserve">Use it for:</w:t>
      </w:r>
      <w:r>
        <w:t xml:space="preserve"> motivating interpretability (SHAP, named producer and chokepoint scores).</w:t>
      </w:r>
    </w:p>
    <w:p>
      <w:pPr>
        <w:pStyle w:val="Heading1"/>
      </w:pPr>
      <w:r>
        <w:t xml:space="preserve">Sections 2–3: Oil Price Measures and Specifications</w:t>
      </w:r>
    </w:p>
    <w:p>
      <w:pPr>
        <w:spacing w:after="80" w:before="160"/>
      </w:pPr>
      <w:r>
        <w:rPr>
          <w:b/>
          <w:bCs/>
          <w:color w:val="1F4E79"/>
        </w:rPr>
        <w:t xml:space="preserve">What it says</w:t>
      </w:r>
    </w:p>
    <w:p>
      <w:pPr>
        <w:pStyle w:val="ListParagraph"/>
        <w:numPr>
          <w:ilvl w:val="0"/>
          <w:numId w:val="2"/>
        </w:numPr>
        <w:spacing w:after="60"/>
      </w:pPr>
      <w:r>
        <w:rPr>
          <w:b/>
          <w:bCs/>
        </w:rPr>
        <w:t xml:space="preserve">Section 2:</w:t>
      </w:r>
      <w:r>
        <w:t xml:space="preserve"> compares WTI and US refiners' acquisition cost (RAC: domestic, imported, composite). Before 1973 the US price was regulated by the Texas Railroad Commission and moved like a step function. There's a </w:t>
      </w:r>
      <w:r>
        <w:rPr>
          <w:b/>
          <w:bCs/>
        </w:rPr>
        <w:t xml:space="preserve">structural break in late 1973</w:t>
      </w:r>
      <w:r>
        <w:t xml:space="preserve">; after that, they treat the data as one homogeneous period.</w:t>
      </w:r>
    </w:p>
    <w:p>
      <w:pPr>
        <w:pStyle w:val="ListParagraph"/>
        <w:numPr>
          <w:ilvl w:val="0"/>
          <w:numId w:val="2"/>
        </w:numPr>
        <w:spacing w:after="60"/>
      </w:pPr>
      <w:r>
        <w:t xml:space="preserve">Which price to use depends on the purpose. WTI was partly regulated until the mid-1980s; RAC for imports is a better proxy for the global price.</w:t>
      </w:r>
    </w:p>
    <w:p>
      <w:pPr>
        <w:pStyle w:val="ListParagraph"/>
        <w:numPr>
          <w:ilvl w:val="0"/>
          <w:numId w:val="2"/>
        </w:numPr>
        <w:spacing w:after="60"/>
      </w:pPr>
      <w:r>
        <w:rPr>
          <w:b/>
          <w:bCs/>
        </w:rPr>
        <w:t xml:space="preserve">Section 3:</w:t>
      </w:r>
      <w:r>
        <w:t xml:space="preserve"> nominal vs real price. Arguments that the nominal price is exogenous (because of OPEC or money illusion) don't hold up. OPEC hasn't acted as a successful cartel, and even a cartel price would respond to the economy.</w:t>
      </w:r>
    </w:p>
    <w:p>
      <w:pPr>
        <w:pStyle w:val="ListParagraph"/>
        <w:numPr>
          <w:ilvl w:val="0"/>
          <w:numId w:val="2"/>
        </w:numPr>
        <w:spacing w:after="60"/>
      </w:pPr>
      <w:r>
        <w:t xml:space="preserve">Explains Hamilton's </w:t>
      </w:r>
      <w:r>
        <w:rPr>
          <w:b/>
          <w:bCs/>
        </w:rPr>
        <w:t xml:space="preserve">net oil price increase</w:t>
      </w:r>
      <w:r>
        <w:t xml:space="preserve"> (only counts rises above the past 1–3 year high). Set aside until Section 11.</w:t>
      </w:r>
    </w:p>
    <w:p>
      <w:pPr>
        <w:spacing w:after="80" w:before="160"/>
      </w:pPr>
      <w:r>
        <w:rPr>
          <w:b/>
          <w:bCs/>
          <w:color w:val="1F4E79"/>
        </w:rPr>
        <w:t xml:space="preserve">What it means for my project</w:t>
      </w:r>
    </w:p>
    <w:p>
      <w:pPr>
        <w:pStyle w:val="ListParagraph"/>
        <w:numPr>
          <w:ilvl w:val="0"/>
          <w:numId w:val="2"/>
        </w:numPr>
        <w:spacing w:after="60"/>
      </w:pPr>
      <w:r>
        <w:t xml:space="preserve">My target is </w:t>
      </w:r>
      <w:r>
        <w:rPr>
          <w:b/>
          <w:bCs/>
        </w:rPr>
        <w:t xml:space="preserve">nominal Brent at a weekly horizon</w:t>
      </w:r>
      <w:r>
        <w:t xml:space="preserve">. That's fine: at short horizons inflation is negligible (see Section 12, p. 59), so nominal vs real barely matters for me.</w:t>
      </w:r>
    </w:p>
    <w:p>
      <w:pPr>
        <w:pStyle w:val="ListParagraph"/>
        <w:numPr>
          <w:ilvl w:val="0"/>
          <w:numId w:val="2"/>
        </w:numPr>
        <w:spacing w:after="60"/>
      </w:pPr>
      <w:r>
        <w:t xml:space="preserve">The OPEC point backs treating producers separately rather than as one cartel bloc (same as B&amp;K 2016).</w:t>
      </w:r>
    </w:p>
    <w:p>
      <w:pPr>
        <w:pStyle w:val="ListParagraph"/>
        <w:numPr>
          <w:ilvl w:val="0"/>
          <w:numId w:val="2"/>
        </w:numPr>
        <w:spacing w:after="60"/>
      </w:pPr>
      <w:r>
        <w:t xml:space="preserve">Post-1973 break: if I use any long history for fundamentals, start after 1973/74.</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“A major structural change in the distribution of the price of oil in late 1973 is readily apparent.”</w:t>
      </w:r>
      <w:r>
        <w:rPr>
          <w:b/>
          <w:bCs/>
          <w:color w:val="1F4E79"/>
        </w:rPr>
        <w:t xml:space="preserve">  (Section 2, p. 5)</w:t>
      </w:r>
    </w:p>
    <w:p>
      <w:pPr>
        <w:spacing w:after="140"/>
        <w:ind w:left="360"/>
      </w:pPr>
      <w:r>
        <w:rPr>
          <w:b/>
          <w:bCs/>
        </w:rPr>
        <w:t xml:space="preserve">Use it for:</w:t>
      </w:r>
      <w:r>
        <w:t xml:space="preserve"> justifying a post-1973 start for any historical data.</w:t>
      </w:r>
    </w:p>
    <w:p>
      <w:pPr>
        <w:pBdr>
          <w:left w:val="single" w:color="1F4E79" w:sz="18" w:space="8"/>
        </w:pBdr>
        <w:shd w:fill="F2F6FA" w:color="auto" w:val="clear"/>
        <w:spacing w:after="40" w:before="120"/>
        <w:ind w:left="360"/>
      </w:pPr>
      <w:r>
        <w:rPr>
          <w:i/>
          <w:iCs/>
        </w:rPr>
        <w:t xml:space="preserve">“Given this evidence of instability, combining pre- and post-1973 real oil price data is not a valid option.”</w:t>
      </w:r>
      <w:r>
        <w:rPr>
          <w:b/>
          <w:bCs/>
          <w:color w:val="1F4E79"/>
        </w:rPr>
        <w:t xml:space="preserve">  (Section 2, footnote 3, p. 5)</w:t>
      </w:r>
    </w:p>
    <w:p>
      <w:pPr>
        <w:spacing w:after="140"/>
        <w:ind w:left="360"/>
      </w:pPr>
      <w:r>
        <w:rPr>
          <w:b/>
          <w:bCs/>
        </w:rPr>
        <w:t xml:space="preserve">Use it for:</w:t>
      </w:r>
      <w:r>
        <w:t xml:space="preserve"> same point, stronger wording.</w:t>
      </w:r>
    </w:p>
    <w:p>
      <w:pPr>
        <w:pBdr>
          <w:left w:val="single" w:color="1F4E79" w:sz="18" w:space="8"/>
        </w:pBdr>
        <w:shd w:fill="F2F6FA" w:color="auto" w:val="clear"/>
        <w:spacing w:after="40" w:before="120"/>
        <w:ind w:left="360"/>
      </w:pPr>
      <w:r>
        <w:rPr>
          <w:i/>
          <w:iCs/>
        </w:rPr>
        <w:t xml:space="preserve">“Another argument in the literature has been that the nominal price of oil can be considered exogenous after 1973 because it is set by OPEC. This interpretation is without basis.”</w:t>
      </w:r>
      <w:r>
        <w:rPr>
          <w:b/>
          <w:bCs/>
          <w:color w:val="1F4E79"/>
        </w:rPr>
        <w:t xml:space="preserve">  (Section 3, p. 7)</w:t>
      </w:r>
    </w:p>
    <w:p>
      <w:pPr>
        <w:spacing w:after="140"/>
        <w:ind w:left="360"/>
      </w:pPr>
      <w:r>
        <w:rPr>
          <w:b/>
          <w:bCs/>
        </w:rPr>
        <w:t xml:space="preserve">Use it for:</w:t>
      </w:r>
      <w:r>
        <w:t xml:space="preserve"> why I don't treat OPEC as one price-setting actor.</w:t>
      </w:r>
    </w:p>
    <w:p>
      <w:pPr>
        <w:pBdr>
          <w:left w:val="single" w:color="1F4E79" w:sz="18" w:space="8"/>
        </w:pBdr>
        <w:shd w:fill="F2F6FA" w:color="auto" w:val="clear"/>
        <w:spacing w:after="40" w:before="120"/>
        <w:ind w:left="360"/>
      </w:pPr>
      <w:r>
        <w:rPr>
          <w:i/>
          <w:iCs/>
        </w:rPr>
        <w:t xml:space="preserve">“Thus, both nominal and real oil prices must be considered endogenous with respect to the global economy, unless proven otherwise.”</w:t>
      </w:r>
      <w:r>
        <w:rPr>
          <w:b/>
          <w:bCs/>
          <w:color w:val="1F4E79"/>
        </w:rPr>
        <w:t xml:space="preserve">  (Section 3, p. 7)</w:t>
      </w:r>
    </w:p>
    <w:p>
      <w:pPr>
        <w:spacing w:after="140"/>
        <w:ind w:left="360"/>
      </w:pPr>
      <w:r>
        <w:rPr>
          <w:b/>
          <w:bCs/>
        </w:rPr>
        <w:t xml:space="preserve">Use it for:</w:t>
      </w:r>
      <w:r>
        <w:t xml:space="preserve"> why Model A needs global demand features.</w:t>
      </w:r>
    </w:p>
    <w:p>
      <w:pPr>
        <w:pStyle w:val="Heading1"/>
      </w:pPr>
      <w:r>
        <w:t xml:space="preserve">Section 4: Granger Causality Tests</w:t>
      </w:r>
    </w:p>
    <w:p>
      <w:pPr>
        <w:spacing w:after="80" w:before="160"/>
      </w:pPr>
      <w:r>
        <w:rPr>
          <w:b/>
          <w:bCs/>
          <w:color w:val="1F4E79"/>
        </w:rPr>
        <w:t xml:space="preserve">What it says</w:t>
      </w:r>
    </w:p>
    <w:p>
      <w:pPr>
        <w:pStyle w:val="ListParagraph"/>
        <w:numPr>
          <w:ilvl w:val="0"/>
          <w:numId w:val="2"/>
        </w:numPr>
        <w:spacing w:after="60"/>
      </w:pPr>
      <w:r>
        <w:t xml:space="preserve">Tests whether macro variables help predict the oil price </w:t>
      </w:r>
      <w:r>
        <w:rPr>
          <w:b/>
          <w:bCs/>
        </w:rPr>
        <w:t xml:space="preserve">in-sample</w:t>
      </w:r>
      <w:r>
        <w:t xml:space="preserve"> (Granger causality). In-sample predictability is a </w:t>
      </w:r>
      <w:r>
        <w:rPr>
          <w:b/>
          <w:bCs/>
        </w:rPr>
        <w:t xml:space="preserve">necessary condition</w:t>
      </w:r>
      <w:r>
        <w:t xml:space="preserve"> for out-of-sample forecasting, but not enough on its own.</w:t>
      </w:r>
    </w:p>
    <w:p>
      <w:pPr>
        <w:pStyle w:val="ListParagraph"/>
        <w:numPr>
          <w:ilvl w:val="0"/>
          <w:numId w:val="2"/>
        </w:numPr>
        <w:spacing w:after="60"/>
      </w:pPr>
      <w:r>
        <w:rPr>
          <w:b/>
          <w:bCs/>
        </w:rPr>
        <w:t xml:space="preserve">4.1 Nominal price:</w:t>
      </w:r>
      <w:r>
        <w:t xml:space="preserve"> after 1973, US inflation, narrow money (M1), CRB industrial and metals prices, and the exchange rates of commodity exporters (Canada, Australia, South Africa) all help predict the nominal oil price. Interest rates and the trade-weighted dollar don't.</w:t>
      </w:r>
    </w:p>
    <w:p>
      <w:pPr>
        <w:pStyle w:val="ListParagraph"/>
        <w:numPr>
          <w:ilvl w:val="0"/>
          <w:numId w:val="2"/>
        </w:numPr>
        <w:spacing w:after="60"/>
      </w:pPr>
      <w:r>
        <w:t xml:space="preserve">Commodity-currency exchange rates work because they're </w:t>
      </w:r>
      <w:r>
        <w:rPr>
          <w:b/>
          <w:bCs/>
        </w:rPr>
        <w:t xml:space="preserve">forward-looking</w:t>
      </w:r>
      <w:r>
        <w:t xml:space="preserve"> (Chen, Rossi &amp; Rogoff 2010).</w:t>
      </w:r>
    </w:p>
    <w:p>
      <w:pPr>
        <w:pStyle w:val="ListParagraph"/>
        <w:numPr>
          <w:ilvl w:val="0"/>
          <w:numId w:val="2"/>
        </w:numPr>
        <w:spacing w:after="60"/>
      </w:pPr>
      <w:r>
        <w:t xml:space="preserve">Kilian &amp; Vega (2010): oil prices don't react to US macro news within a month, unlike typical asset prices.</w:t>
      </w:r>
    </w:p>
    <w:p>
      <w:pPr>
        <w:pStyle w:val="ListParagraph"/>
        <w:numPr>
          <w:ilvl w:val="0"/>
          <w:numId w:val="2"/>
        </w:numPr>
        <w:spacing w:after="60"/>
      </w:pPr>
      <w:r>
        <w:rPr>
          <w:b/>
          <w:bCs/>
        </w:rPr>
        <w:t xml:space="preserve">4.1.3:</w:t>
      </w:r>
      <w:r>
        <w:t xml:space="preserve"> the pre-1973 data can't be modelled with standard time-series models, and mixing pre/post-1973 data is a mistake. They start evaluation no earlier than 1973.1.</w:t>
      </w:r>
    </w:p>
    <w:p>
      <w:pPr>
        <w:pStyle w:val="ListParagraph"/>
        <w:numPr>
          <w:ilvl w:val="0"/>
          <w:numId w:val="2"/>
        </w:numPr>
        <w:spacing w:after="60"/>
      </w:pPr>
      <w:r>
        <w:rPr>
          <w:b/>
          <w:bCs/>
        </w:rPr>
        <w:t xml:space="preserve">4.2 Real price:</w:t>
      </w:r>
      <w:r>
        <w:t xml:space="preserve"> US GDP doesn't predict it. That's because oil is priced </w:t>
      </w:r>
      <w:r>
        <w:rPr>
          <w:b/>
          <w:bCs/>
        </w:rPr>
        <w:t xml:space="preserve">globally</w:t>
      </w:r>
      <w:r>
        <w:t xml:space="preserve">. World industrial production, OECD+6 industrial production and especially </w:t>
      </w:r>
      <w:r>
        <w:rPr>
          <w:b/>
          <w:bCs/>
        </w:rPr>
        <w:t xml:space="preserve">Kilian's global real activity index</w:t>
      </w:r>
      <w:r>
        <w:t xml:space="preserve"> (built from dry-cargo shipping rates) predict it strongly. Longer lags (24 months) help.</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Features for Model A (backed by evidence here):</w:t>
      </w:r>
      <w:r>
        <w:t xml:space="preserve"> a global activity measure (Kilian's index or the Baltic Dry Index, which the paper says is essentially the same since 1985), industrial metals / raw material prices, and commodity-currency exchange rates (AUD, CAD). These are better than US-only data.</w:t>
      </w:r>
    </w:p>
    <w:p>
      <w:pPr>
        <w:pStyle w:val="ListParagraph"/>
        <w:numPr>
          <w:ilvl w:val="0"/>
          <w:numId w:val="2"/>
        </w:numPr>
        <w:spacing w:after="60"/>
      </w:pPr>
      <w:r>
        <w:t xml:space="preserve">Use </w:t>
      </w:r>
      <w:r>
        <w:rPr>
          <w:b/>
          <w:bCs/>
        </w:rPr>
        <w:t xml:space="preserve">global</w:t>
      </w:r>
      <w:r>
        <w:t xml:space="preserve">, not US, demand measures.</w:t>
      </w:r>
    </w:p>
    <w:p>
      <w:pPr>
        <w:pStyle w:val="ListParagraph"/>
        <w:numPr>
          <w:ilvl w:val="0"/>
          <w:numId w:val="2"/>
        </w:numPr>
        <w:spacing w:after="60"/>
      </w:pPr>
      <w:r>
        <w:t xml:space="preserve">The Kilian &amp; Vega finding is interesting background (oil doesn't instantly absorb macro news), but it's about US macro data, not geopolitical news. Don't stretch it to claim geopolitical news is slow to be priced in — that's what I'm testing.</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“The existence of predictability in population is a necessary precondition for out-of-sample forecastability (see Inoue and Kilian 2004a).”</w:t>
      </w:r>
      <w:r>
        <w:rPr>
          <w:b/>
          <w:bCs/>
          <w:color w:val="1F4E79"/>
        </w:rPr>
        <w:t xml:space="preserve">  (Section 4, p. 9)</w:t>
      </w:r>
    </w:p>
    <w:p>
      <w:pPr>
        <w:spacing w:after="140"/>
        <w:ind w:left="360"/>
      </w:pPr>
      <w:r>
        <w:rPr>
          <w:b/>
          <w:bCs/>
        </w:rPr>
        <w:t xml:space="preserve">Use it for:</w:t>
      </w:r>
      <w:r>
        <w:t xml:space="preserve"> linking in-sample checks to out-of-sample evaluation.</w:t>
      </w:r>
    </w:p>
    <w:p>
      <w:pPr>
        <w:pBdr>
          <w:left w:val="single" w:color="1F4E79" w:sz="18" w:space="8"/>
        </w:pBdr>
        <w:shd w:fill="F2F6FA" w:color="auto" w:val="clear"/>
        <w:spacing w:after="40" w:before="120"/>
        <w:ind w:left="360"/>
      </w:pPr>
      <w:r>
        <w:rPr>
          <w:i/>
          <w:iCs/>
        </w:rPr>
        <w:t xml:space="preserve">“The explanation is that these exchange rates are forward looking and embody information about future movements in commodity export markets that cannot easily be captured by other means.”</w:t>
      </w:r>
      <w:r>
        <w:rPr>
          <w:b/>
          <w:bCs/>
          <w:color w:val="1F4E79"/>
        </w:rPr>
        <w:t xml:space="preserve">  (Section 4.1.2, p. 12)</w:t>
      </w:r>
    </w:p>
    <w:p>
      <w:pPr>
        <w:spacing w:after="140"/>
        <w:ind w:left="360"/>
      </w:pPr>
      <w:r>
        <w:rPr>
          <w:b/>
          <w:bCs/>
        </w:rPr>
        <w:t xml:space="preserve">Use it for:</w:t>
      </w:r>
      <w:r>
        <w:t xml:space="preserve"> justifying AUD/CAD exchange rates as Model A features.</w:t>
      </w:r>
    </w:p>
    <w:p>
      <w:pPr>
        <w:pBdr>
          <w:left w:val="single" w:color="1F4E79" w:sz="18" w:space="8"/>
        </w:pBdr>
        <w:shd w:fill="F2F6FA" w:color="auto" w:val="clear"/>
        <w:spacing w:after="40" w:before="120"/>
        <w:ind w:left="360"/>
      </w:pPr>
      <w:r>
        <w:rPr>
          <w:i/>
          <w:iCs/>
        </w:rPr>
        <w:t xml:space="preserve">“In the analysis of the real price of oil below we therefore restrict the evaluation period to start no earlier than 1973.1.”</w:t>
      </w:r>
      <w:r>
        <w:rPr>
          <w:b/>
          <w:bCs/>
          <w:color w:val="1F4E79"/>
        </w:rPr>
        <w:t xml:space="preserve">  (Section 4.1.3, p. 14)</w:t>
      </w:r>
    </w:p>
    <w:p>
      <w:pPr>
        <w:spacing w:after="140"/>
        <w:ind w:left="360"/>
      </w:pPr>
      <w:r>
        <w:rPr>
          <w:b/>
          <w:bCs/>
        </w:rPr>
        <w:t xml:space="preserve">Use it for:</w:t>
      </w:r>
      <w:r>
        <w:t xml:space="preserve"> data start date.</w:t>
      </w:r>
    </w:p>
    <w:p>
      <w:pPr>
        <w:pBdr>
          <w:left w:val="single" w:color="1F4E79" w:sz="18" w:space="8"/>
        </w:pBdr>
        <w:shd w:fill="F2F6FA" w:color="auto" w:val="clear"/>
        <w:spacing w:after="40" w:before="120"/>
        <w:ind w:left="360"/>
      </w:pPr>
      <w:r>
        <w:rPr>
          <w:b/>
          <w:bCs/>
          <w:color w:val="C00000"/>
        </w:rPr>
        <w:t xml:space="preserve">★ </w:t>
      </w:r>
      <w:r>
        <w:rPr>
          <w:i/>
          <w:iCs/>
        </w:rPr>
        <w:t xml:space="preserve">“In particular, the demand for oil depends not merely on U.S. demand, but on global demand.”</w:t>
      </w:r>
      <w:r>
        <w:rPr>
          <w:b/>
          <w:bCs/>
          <w:color w:val="1F4E79"/>
        </w:rPr>
        <w:t xml:space="preserve">  (Section 4.2, p. 16)</w:t>
      </w:r>
    </w:p>
    <w:p>
      <w:pPr>
        <w:spacing w:after="140"/>
        <w:ind w:left="360"/>
      </w:pPr>
      <w:r>
        <w:rPr>
          <w:b/>
          <w:bCs/>
        </w:rPr>
        <w:t xml:space="preserve">Use it for:</w:t>
      </w:r>
      <w:r>
        <w:t xml:space="preserve"> why I use global, not US, demand features.</w:t>
      </w:r>
    </w:p>
    <w:p>
      <w:pPr>
        <w:pBdr>
          <w:left w:val="single" w:color="1F4E79" w:sz="18" w:space="8"/>
        </w:pBdr>
        <w:shd w:fill="F2F6FA" w:color="auto" w:val="clear"/>
        <w:spacing w:after="40" w:before="120"/>
        <w:ind w:left="360"/>
      </w:pPr>
      <w:r>
        <w:rPr>
          <w:i/>
          <w:iCs/>
        </w:rPr>
        <w:t xml:space="preserve">“This index is constructed from ocean shipping freight rates.”</w:t>
      </w:r>
      <w:r>
        <w:rPr>
          <w:b/>
          <w:bCs/>
          <w:color w:val="1F4E79"/>
        </w:rPr>
        <w:t xml:space="preserve">  (Section 4.2, footnote 16, p. 18)</w:t>
      </w:r>
    </w:p>
    <w:p>
      <w:pPr>
        <w:spacing w:after="140"/>
        <w:ind w:left="360"/>
      </w:pPr>
      <w:r>
        <w:rPr>
          <w:b/>
          <w:bCs/>
        </w:rPr>
        <w:t xml:space="preserve">Use it for:</w:t>
      </w:r>
      <w:r>
        <w:t xml:space="preserve"> justifying the Kilian index / Baltic Dry Index as a global activity feature.</w:t>
      </w:r>
    </w:p>
    <w:p>
      <w:pPr>
        <w:pStyle w:val="Heading1"/>
      </w:pPr>
      <w:r>
        <w:t xml:space="preserve">Section 5: Short-Horizon Forecasts of the Nominal Price of Oil</w:t>
      </w:r>
    </w:p>
    <w:p>
      <w:pPr>
        <w:pStyle w:val="Heading2"/>
      </w:pPr>
      <w:r>
        <w:t xml:space="preserve">5.1 Monthly oil futures prices</w:t>
      </w:r>
    </w:p>
    <w:p>
      <w:pPr>
        <w:spacing w:after="80" w:before="160"/>
      </w:pPr>
      <w:r>
        <w:rPr>
          <w:b/>
          <w:bCs/>
          <w:color w:val="1F4E79"/>
        </w:rPr>
        <w:t xml:space="preserve">What it says</w:t>
      </w:r>
    </w:p>
    <w:p>
      <w:pPr>
        <w:pStyle w:val="ListParagraph"/>
        <w:numPr>
          <w:ilvl w:val="0"/>
          <w:numId w:val="2"/>
        </w:numPr>
        <w:spacing w:after="60"/>
      </w:pPr>
      <w:r>
        <w:t xml:space="preserve">Central banks and the IMF use futures prices as their oil forecast. The paper tests this against the </w:t>
      </w:r>
      <w:r>
        <w:rPr>
          <w:b/>
          <w:bCs/>
        </w:rPr>
        <w:t xml:space="preserve">no-change forecast</w:t>
      </w:r>
      <w:r>
        <w:t xml:space="preserve"> (random walk without drift: forecast = today's spot price), equation (1), for horizons of 1, 3, 6, 9 and 12 months.</w:t>
      </w:r>
    </w:p>
    <w:p>
      <w:pPr>
        <w:pStyle w:val="ListParagraph"/>
        <w:numPr>
          <w:ilvl w:val="0"/>
          <w:numId w:val="2"/>
        </w:numPr>
        <w:spacing w:after="60"/>
      </w:pPr>
      <w:r>
        <w:t xml:space="preserve">Also tests futures-spot </w:t>
      </w:r>
      <w:r>
        <w:rPr>
          <w:b/>
          <w:bCs/>
        </w:rPr>
        <w:t xml:space="preserve">spread</w:t>
      </w:r>
      <w:r>
        <w:t xml:space="preserve"> models (equations 3–6).</w:t>
      </w:r>
    </w:p>
    <w:p>
      <w:pPr>
        <w:pStyle w:val="ListParagraph"/>
        <w:numPr>
          <w:ilvl w:val="0"/>
          <w:numId w:val="2"/>
        </w:numPr>
        <w:spacing w:after="60"/>
      </w:pPr>
      <w:r>
        <w:t xml:space="preserve">Evaluation 1991.1–2009.12. Two measures: </w:t>
      </w:r>
      <w:r>
        <w:rPr>
          <w:b/>
          <w:bCs/>
        </w:rPr>
        <w:t xml:space="preserve">MSPE ratio</w:t>
      </w:r>
      <w:r>
        <w:t xml:space="preserve"> (model MSPE ÷ no-change MSPE; below 1 = better) and </w:t>
      </w:r>
      <w:r>
        <w:rPr>
          <w:b/>
          <w:bCs/>
        </w:rPr>
        <w:t xml:space="preserve">success ratio</w:t>
      </w:r>
      <w:r>
        <w:t xml:space="preserve"> (share of correct up/down calls), with the Pesaran–Timmermann (2009) test.</w:t>
      </w:r>
    </w:p>
    <w:p>
      <w:pPr>
        <w:pStyle w:val="ListParagraph"/>
        <w:numPr>
          <w:ilvl w:val="0"/>
          <w:numId w:val="2"/>
        </w:numPr>
        <w:spacing w:after="60"/>
      </w:pPr>
      <w:r>
        <w:rPr>
          <w:b/>
          <w:bCs/>
        </w:rPr>
        <w:t xml:space="preserve">Important testing caveat:</w:t>
      </w:r>
      <w:r>
        <w:t xml:space="preserve"> standard tests for </w:t>
      </w:r>
      <w:r>
        <w:rPr>
          <w:b/>
          <w:bCs/>
        </w:rPr>
        <w:t xml:space="preserve">nested</w:t>
      </w:r>
      <w:r>
        <w:t xml:space="preserve"> models test “no predictability in population”, not “equal out-of-sample accuracy”. They reject too often, so marginal results should be treated with caution. This doesn't affect non-nested comparisons.</w:t>
      </w:r>
    </w:p>
    <w:p>
      <w:pPr>
        <w:pStyle w:val="ListParagraph"/>
        <w:numPr>
          <w:ilvl w:val="0"/>
          <w:numId w:val="2"/>
        </w:numPr>
        <w:spacing w:after="60"/>
      </w:pPr>
      <w:r>
        <w:t xml:space="preserve">Results: futures have slightly lower MSPE than no-change at all horizons, but </w:t>
      </w:r>
      <w:r>
        <w:rPr>
          <w:b/>
          <w:bCs/>
        </w:rPr>
        <w:t xml:space="preserve">none significant</w:t>
      </w:r>
      <w:r>
        <w:t xml:space="preserve">. At 1 and 3 months, the futures' success ratio is </w:t>
      </w:r>
      <w:r>
        <w:rPr>
          <w:b/>
          <w:bCs/>
        </w:rPr>
        <w:t xml:space="preserve">worse than a coin toss</w:t>
      </w:r>
      <w:r>
        <w:t xml:space="preserve">. Spread models don't help either.</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The no-change forecast is my “always hold” baseline.</w:t>
      </w:r>
      <w:r>
        <w:t xml:space="preserve"> If the price is forecast not to change, the 5-day return is 0, which is inside my ±1.5% band, so the signal is always </w:t>
      </w:r>
      <w:r>
        <w:rPr>
          <w:b/>
          <w:bCs/>
        </w:rPr>
        <w:t xml:space="preserve">hold</w:t>
      </w:r>
      <w:r>
        <w:t xml:space="preserve">. This is the formal benchmark to cite.</w:t>
      </w:r>
    </w:p>
    <w:p>
      <w:pPr>
        <w:pStyle w:val="ListParagraph"/>
        <w:numPr>
          <w:ilvl w:val="0"/>
          <w:numId w:val="2"/>
        </w:numPr>
        <w:spacing w:after="60"/>
      </w:pPr>
      <w:r>
        <w:rPr>
          <w:b/>
          <w:bCs/>
        </w:rPr>
        <w:t xml:space="preserve">Their two metrics map onto mine:</w:t>
      </w:r>
      <w:r>
        <w:t xml:space="preserve"> MSPE ratio → my accuracy / macro-F1 relative to the baseline; success ratio → my directional accuracy on buy/sell weeks. Their Pesaran–Timmermann test is a ready-made </w:t>
      </w:r>
      <w:r>
        <w:rPr>
          <w:b/>
          <w:bCs/>
        </w:rPr>
        <w:t xml:space="preserve">directional accuracy test</w:t>
      </w:r>
      <w:r>
        <w:t xml:space="preserve"> I should add alongside DM.</w:t>
      </w:r>
    </w:p>
    <w:p>
      <w:pPr>
        <w:pStyle w:val="ListParagraph"/>
        <w:numPr>
          <w:ilvl w:val="0"/>
          <w:numId w:val="2"/>
        </w:numPr>
        <w:spacing w:after="60"/>
      </w:pPr>
      <w:r>
        <w:rPr>
          <w:b/>
          <w:bCs/>
        </w:rPr>
        <w:t xml:space="preserve">Loss function matters</w:t>
      </w:r>
      <w:r>
        <w:t xml:space="preserve"> (Elliott &amp; Timmermann 2008). This justifies my choice of a direction/classification target rather than squared error: the user acts on the signal, not on the exact price.</w:t>
      </w:r>
    </w:p>
    <w:p>
      <w:pPr>
        <w:pStyle w:val="ListParagraph"/>
        <w:numPr>
          <w:ilvl w:val="0"/>
          <w:numId w:val="2"/>
        </w:numPr>
        <w:spacing w:after="60"/>
      </w:pPr>
      <w:r>
        <w:rPr>
          <w:b/>
          <w:bCs/>
        </w:rPr>
        <w:t xml:space="preserve">My A → B → C ablation is a nested comparison</w:t>
      </w:r>
      <w:r>
        <w:t xml:space="preserve"> (B = A + scores, C = B + JWC). This paper says standard tests over-reject in that case. So: be cautious with marginal DM p-values (e.g. 0.04–0.10), say so in the write-up, and consider a bootstrap p-value.</w:t>
      </w:r>
    </w:p>
    <w:p>
      <w:pPr>
        <w:pStyle w:val="ListParagraph"/>
        <w:numPr>
          <w:ilvl w:val="0"/>
          <w:numId w:val="2"/>
        </w:numPr>
        <w:spacing w:after="60"/>
      </w:pPr>
      <w:r>
        <w:t xml:space="preserve">Futures prices aren't a good forecast on their own, so I shouldn't present the futures curve as a predictor. It can still be a </w:t>
      </w:r>
      <w:r>
        <w:rPr>
          <w:b/>
          <w:bCs/>
        </w:rPr>
        <w:t xml:space="preserve">tightness/regime feature</w:t>
      </w:r>
      <w:r>
        <w:t xml:space="preserve"> (see B&amp;K 2016).</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“A natural benchmark for forecasts based on the price of oil futures is provided by the random walk model without drift. This model implies that changes in the spot price are unpredictable, so the best forecast of the spot price of crude oil is simply the current spot price”</w:t>
      </w:r>
      <w:r>
        <w:rPr>
          <w:b/>
          <w:bCs/>
          <w:color w:val="1F4E79"/>
        </w:rPr>
        <w:t xml:space="preserve">  (Section 5.1, p. 20)</w:t>
      </w:r>
    </w:p>
    <w:p>
      <w:pPr>
        <w:spacing w:after="140"/>
        <w:ind w:left="360"/>
      </w:pPr>
      <w:r>
        <w:rPr>
          <w:b/>
          <w:bCs/>
        </w:rPr>
        <w:t xml:space="preserve">Use it for:</w:t>
      </w:r>
      <w:r>
        <w:t xml:space="preserve"> defining the no-change benchmark behind my always-hold baseline.</w:t>
      </w:r>
    </w:p>
    <w:p>
      <w:pPr>
        <w:pBdr>
          <w:left w:val="single" w:color="1F4E79" w:sz="18" w:space="8"/>
        </w:pBdr>
        <w:shd w:fill="F2F6FA" w:color="auto" w:val="clear"/>
        <w:spacing w:after="40" w:before="120"/>
        <w:ind w:left="360"/>
      </w:pPr>
      <w:r>
        <w:rPr>
          <w:i/>
          <w:iCs/>
        </w:rPr>
        <w:t xml:space="preserve">“This forecast is also known as the no-change forecast.”</w:t>
      </w:r>
      <w:r>
        <w:rPr>
          <w:b/>
          <w:bCs/>
          <w:color w:val="1F4E79"/>
        </w:rPr>
        <w:t xml:space="preserve">  (Section 5.1, p. 20)</w:t>
      </w:r>
    </w:p>
    <w:p>
      <w:pPr>
        <w:spacing w:after="140"/>
        <w:ind w:left="360"/>
      </w:pPr>
      <w:r>
        <w:rPr>
          <w:b/>
          <w:bCs/>
        </w:rPr>
        <w:t xml:space="preserve">Use it for:</w:t>
      </w:r>
      <w:r>
        <w:t xml:space="preserve"> the name to use for the benchmark.</w:t>
      </w:r>
    </w:p>
    <w:p>
      <w:pPr>
        <w:pBdr>
          <w:left w:val="single" w:color="1F4E79" w:sz="18" w:space="8"/>
        </w:pBdr>
        <w:shd w:fill="F2F6FA" w:color="auto" w:val="clear"/>
        <w:spacing w:after="40" w:before="120"/>
        <w:ind w:left="360"/>
      </w:pPr>
      <w:r>
        <w:rPr>
          <w:b/>
          <w:bCs/>
          <w:color w:val="C00000"/>
        </w:rPr>
        <w:t xml:space="preserve">★ </w:t>
      </w:r>
      <w:r>
        <w:rPr>
          <w:i/>
          <w:iCs/>
        </w:rPr>
        <w:t xml:space="preserve">“The assessment of which forecasting model is most accurate may depend on the loss function of the forecaster (see Elliott and Timmermann 2008).”</w:t>
      </w:r>
      <w:r>
        <w:rPr>
          <w:b/>
          <w:bCs/>
          <w:color w:val="1F4E79"/>
        </w:rPr>
        <w:t xml:space="preserve">  (Section 5.1, p. 21)</w:t>
      </w:r>
    </w:p>
    <w:p>
      <w:pPr>
        <w:spacing w:after="140"/>
        <w:ind w:left="360"/>
      </w:pPr>
      <w:r>
        <w:rPr>
          <w:b/>
          <w:bCs/>
        </w:rPr>
        <w:t xml:space="preserve">Use it for:</w:t>
      </w:r>
      <w:r>
        <w:t xml:space="preserve"> justifying a direction-based target and metrics instead of only squared error.</w:t>
      </w:r>
    </w:p>
    <w:p>
      <w:pPr>
        <w:pBdr>
          <w:left w:val="single" w:color="1F4E79" w:sz="18" w:space="8"/>
        </w:pBdr>
        <w:shd w:fill="F2F6FA" w:color="auto" w:val="clear"/>
        <w:spacing w:after="40" w:before="120"/>
        <w:ind w:left="360"/>
      </w:pPr>
      <w:r>
        <w:rPr>
          <w:b/>
          <w:bCs/>
          <w:color w:val="C00000"/>
        </w:rPr>
        <w:t xml:space="preserve">★ </w:t>
      </w:r>
      <w:r>
        <w:rPr>
          <w:i/>
          <w:iCs/>
        </w:rPr>
        <w:t xml:space="preserve">“It should be noted that commonly used tests of equal predictive accuracy for nested models (including the tests we rely on in this chapter) by construction are tests of the null of no predictability in population rather than tests of equal out-of-sample MSPEs (see, e.g., Inoue and Kilian 2004a,b; Clark and McCracken 2010). This means that these tests will reject the null of equal predictive accuracy more often than they should under the null, suggesting caution in interpreting test results that are only marginally statistically significant.”</w:t>
      </w:r>
      <w:r>
        <w:rPr>
          <w:b/>
          <w:bCs/>
          <w:color w:val="1F4E79"/>
        </w:rPr>
        <w:t xml:space="preserve">  (Section 5.1, p. 22)</w:t>
      </w:r>
    </w:p>
    <w:p>
      <w:pPr>
        <w:spacing w:after="140"/>
        <w:ind w:left="360"/>
      </w:pPr>
      <w:r>
        <w:rPr>
          <w:b/>
          <w:bCs/>
        </w:rPr>
        <w:t xml:space="preserve">Use it for:</w:t>
      </w:r>
      <w:r>
        <w:t xml:space="preserve"> a caveat on my DM tests between nested Models A, B and C.</w:t>
      </w:r>
    </w:p>
    <w:p>
      <w:pPr>
        <w:pBdr>
          <w:left w:val="single" w:color="1F4E79" w:sz="18" w:space="8"/>
        </w:pBdr>
        <w:shd w:fill="F2F6FA" w:color="auto" w:val="clear"/>
        <w:spacing w:after="40" w:before="120"/>
        <w:ind w:left="360"/>
      </w:pPr>
      <w:r>
        <w:rPr>
          <w:i/>
          <w:iCs/>
        </w:rPr>
        <w:t xml:space="preserve">“This concern does not affect nonnested forecast accuracy comparisons.”</w:t>
      </w:r>
      <w:r>
        <w:rPr>
          <w:b/>
          <w:bCs/>
          <w:color w:val="1F4E79"/>
        </w:rPr>
        <w:t xml:space="preserve">  (Section 5.1, p. 22)</w:t>
      </w:r>
    </w:p>
    <w:p>
      <w:pPr>
        <w:spacing w:after="140"/>
        <w:ind w:left="360"/>
      </w:pPr>
      <w:r>
        <w:rPr>
          <w:b/>
          <w:bCs/>
        </w:rPr>
        <w:t xml:space="preserve">Use it for:</w:t>
      </w:r>
      <w:r>
        <w:t xml:space="preserve"> the follow-up to the line above.</w:t>
      </w:r>
    </w:p>
    <w:p>
      <w:pPr>
        <w:pBdr>
          <w:left w:val="single" w:color="1F4E79" w:sz="18" w:space="8"/>
        </w:pBdr>
        <w:shd w:fill="F2F6FA" w:color="auto" w:val="clear"/>
        <w:spacing w:after="40" w:before="120"/>
        <w:ind w:left="360"/>
      </w:pPr>
      <w:r>
        <w:rPr>
          <w:i/>
          <w:iCs/>
        </w:rPr>
        <w:t xml:space="preserve">“At the 1-month and 3-month horizon, the success ratio of the futures price forecast actually is inferior to tossing a coin.”</w:t>
      </w:r>
      <w:r>
        <w:rPr>
          <w:b/>
          <w:bCs/>
          <w:color w:val="1F4E79"/>
        </w:rPr>
        <w:t xml:space="preserve">  (Section 5.1, p. 22)</w:t>
      </w:r>
    </w:p>
    <w:p>
      <w:pPr>
        <w:spacing w:after="140"/>
        <w:ind w:left="360"/>
      </w:pPr>
      <w:r>
        <w:rPr>
          <w:b/>
          <w:bCs/>
        </w:rPr>
        <w:t xml:space="preserve">Use it for:</w:t>
      </w:r>
      <w:r>
        <w:t xml:space="preserve"> showing that even market prices struggle to call direction at short horizons. A 50% coin-toss line is a fair reference point for direction.</w:t>
      </w:r>
    </w:p>
    <w:p>
      <w:pPr>
        <w:pBdr>
          <w:left w:val="single" w:color="1F4E79" w:sz="18" w:space="8"/>
        </w:pBdr>
        <w:shd w:fill="F2F6FA" w:color="auto" w:val="clear"/>
        <w:spacing w:after="40" w:before="120"/>
        <w:ind w:left="360"/>
      </w:pPr>
      <w:r>
        <w:rPr>
          <w:b/>
          <w:bCs/>
          <w:color w:val="C00000"/>
        </w:rPr>
        <w:t xml:space="preserve">★ </w:t>
      </w:r>
      <w:r>
        <w:rPr>
          <w:i/>
          <w:iCs/>
        </w:rPr>
        <w:t xml:space="preserve">“We conclude that there is no compelling evidence that, over this sample period, monthly oil futures prices were more accurate predictors of the nominal price of oil than simple no-change forecasts. Put differently, a forecaster using the most recent spot price would have done just as well in forecasting the nominal price of oil.”</w:t>
      </w:r>
      <w:r>
        <w:rPr>
          <w:b/>
          <w:bCs/>
          <w:color w:val="1F4E79"/>
        </w:rPr>
        <w:t xml:space="preserve">  (Section 5.1, p. 22)</w:t>
      </w:r>
    </w:p>
    <w:p>
      <w:pPr>
        <w:spacing w:after="140"/>
        <w:ind w:left="360"/>
      </w:pPr>
      <w:r>
        <w:rPr>
          <w:b/>
          <w:bCs/>
        </w:rPr>
        <w:t xml:space="preserve">Use it for:</w:t>
      </w:r>
      <w:r>
        <w:t xml:space="preserve"> how strong the no-change benchmark is.</w:t>
      </w:r>
    </w:p>
    <w:p>
      <w:pPr>
        <w:pStyle w:val="Heading2"/>
      </w:pPr>
      <w:r>
        <w:t xml:space="preserve">5.2 Other forecasting methods</w:t>
      </w:r>
    </w:p>
    <w:p>
      <w:pPr>
        <w:spacing w:after="80" w:before="160"/>
      </w:pPr>
      <w:r>
        <w:rPr>
          <w:b/>
          <w:bCs/>
          <w:color w:val="1F4E79"/>
        </w:rPr>
        <w:t xml:space="preserve">What it says</w:t>
      </w:r>
    </w:p>
    <w:p>
      <w:pPr>
        <w:pStyle w:val="ListParagraph"/>
        <w:numPr>
          <w:ilvl w:val="0"/>
          <w:numId w:val="2"/>
        </w:numPr>
        <w:spacing w:after="60"/>
      </w:pPr>
      <w:r>
        <w:rPr>
          <w:b/>
          <w:bCs/>
        </w:rPr>
        <w:t xml:space="preserve">5.2.1 Simple time-series models:</w:t>
      </w:r>
      <w:r>
        <w:t xml:space="preserve"> Hendry's double-differenced model (extrapolating the latest growth rate) is erratic. Random walk with drift and a </w:t>
      </w:r>
      <w:r>
        <w:rPr>
          <w:b/>
          <w:bCs/>
        </w:rPr>
        <w:t xml:space="preserve">local drift</w:t>
      </w:r>
      <w:r>
        <w:t xml:space="preserve"> model (extrapolate the last h months' change, i.e. momentum) increase MSPE and don't improve direction.</w:t>
      </w:r>
    </w:p>
    <w:p>
      <w:pPr>
        <w:pStyle w:val="ListParagraph"/>
        <w:numPr>
          <w:ilvl w:val="0"/>
          <w:numId w:val="2"/>
        </w:numPr>
        <w:spacing w:after="60"/>
      </w:pPr>
      <w:r>
        <w:rPr>
          <w:b/>
          <w:bCs/>
        </w:rPr>
        <w:t xml:space="preserve">5.2.2 Hotelling</w:t>
      </w:r>
      <w:r>
        <w:t xml:space="preserve"> (price grows at the interest rate): no MSPE gain.</w:t>
      </w:r>
    </w:p>
    <w:p>
      <w:pPr>
        <w:pStyle w:val="ListParagraph"/>
        <w:numPr>
          <w:ilvl w:val="0"/>
          <w:numId w:val="2"/>
        </w:numPr>
        <w:spacing w:after="60"/>
      </w:pPr>
      <w:r>
        <w:rPr>
          <w:b/>
          <w:bCs/>
        </w:rPr>
        <w:t xml:space="preserve">5.2.3 Surveys:</w:t>
      </w:r>
      <w:r>
        <w:t xml:space="preserve"> the Consensus Economics forecast doesn't beat no-change and is especially poor at 3 months (MSPE ratio 1.519 in Table 5). Forecasters got the 2009 recovery direction right but not the timing. BP's chief economist: “we cannot forecast oil prices…”.</w:t>
      </w:r>
    </w:p>
    <w:p>
      <w:pPr>
        <w:pStyle w:val="ListParagraph"/>
        <w:numPr>
          <w:ilvl w:val="0"/>
          <w:numId w:val="2"/>
        </w:numPr>
        <w:spacing w:after="60"/>
      </w:pPr>
      <w:r>
        <w:rPr>
          <w:b/>
          <w:bCs/>
        </w:rPr>
        <w:t xml:space="preserve">5.2.4 Other prices:</w:t>
      </w:r>
      <w:r>
        <w:t xml:space="preserve"> commodity-currency exchange rates help direction a bit; with the h-month change version, AUD gives ~13% MSPE gains up to 3 months and CAD ~7% up to 6 months. </w:t>
      </w:r>
      <w:r>
        <w:rPr>
          <w:b/>
          <w:bCs/>
        </w:rPr>
        <w:t xml:space="preserve">Persistent (h-month) changes in CRB industrial raw materials and metals prices</w:t>
      </w:r>
      <w:r>
        <w:t xml:space="preserve"> cut MSPE significantly at 1–3 months, by up to 25% at 3 months. The authors say this reflects strong global demand in the sample period. Inflation-expectation adjustments don't help at 1 year.</w:t>
      </w:r>
    </w:p>
    <w:p>
      <w:pPr>
        <w:pStyle w:val="ListParagraph"/>
        <w:numPr>
          <w:ilvl w:val="0"/>
          <w:numId w:val="2"/>
        </w:numPr>
        <w:spacing w:after="60"/>
      </w:pPr>
      <w:r>
        <w:t xml:space="preserve">Summary: beyond 3 months, no-change is the most accurate nominal forecast.</w:t>
      </w:r>
    </w:p>
    <w:p>
      <w:pPr>
        <w:pBdr>
          <w:left w:val="single" w:color="C55A11" w:sz="18" w:space="8"/>
        </w:pBdr>
        <w:shd w:fill="FDF3E7" w:color="auto" w:val="clear"/>
        <w:spacing w:after="120" w:before="100"/>
        <w:ind w:left="360"/>
      </w:pPr>
      <w:r>
        <w:t xml:space="preserve">The intro (p. 2) and conclusion (p. 68) quote </w:t>
      </w:r>
      <w:r>
        <w:rPr>
          <w:b/>
          <w:bCs/>
        </w:rPr>
        <w:t xml:space="preserve">22%</w:t>
      </w:r>
      <w:r>
        <w:t xml:space="preserve"> at 3 months; Section 5.2.4 says </w:t>
      </w:r>
      <w:r>
        <w:rPr>
          <w:b/>
          <w:bCs/>
        </w:rPr>
        <w:t xml:space="preserve">up to 25%</w:t>
      </w:r>
      <w:r>
        <w:t xml:space="preserve">. These aren't in conflict: Table 5 gives 0.782 for industrial raw materials (22%) and 0.750 for metals (25%). Quote the number for the series you mean.</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A second baseline: momentum.</w:t>
      </w:r>
      <w:r>
        <w:t xml:space="preserve"> The local drift model (eq. 9) is the oil version of “same signal as last week”. Add a </w:t>
      </w:r>
      <w:r>
        <w:rPr>
          <w:b/>
          <w:bCs/>
        </w:rPr>
        <w:t xml:space="preserve">momentum baseline</w:t>
      </w:r>
      <w:r>
        <w:t xml:space="preserve"> (last 5-day return's direction carried forward). It's cheap and this paper gives the citation.</w:t>
      </w:r>
    </w:p>
    <w:p>
      <w:pPr>
        <w:pStyle w:val="ListParagraph"/>
        <w:numPr>
          <w:ilvl w:val="0"/>
          <w:numId w:val="2"/>
        </w:numPr>
        <w:spacing w:after="60"/>
      </w:pPr>
      <w:r>
        <w:rPr>
          <w:b/>
          <w:bCs/>
        </w:rPr>
        <w:t xml:space="preserve">Model A features with evidence behind them:</w:t>
      </w:r>
      <w:r>
        <w:t xml:space="preserve"> % change in industrial metals / raw materials over recent weeks, and AUD/USD and CAD/USD changes. Use multi-week changes, not single-week noise (one-month changes were too noisy, p. 27).</w:t>
      </w:r>
    </w:p>
    <w:p>
      <w:pPr>
        <w:pStyle w:val="ListParagraph"/>
        <w:numPr>
          <w:ilvl w:val="0"/>
          <w:numId w:val="2"/>
        </w:numPr>
        <w:spacing w:after="60"/>
      </w:pPr>
      <w:r>
        <w:t xml:space="preserve">The authors' warning that commodity-price gains came from a </w:t>
      </w:r>
      <w:r>
        <w:rPr>
          <w:b/>
          <w:bCs/>
        </w:rPr>
        <w:t xml:space="preserve">demand-driven sample</w:t>
      </w:r>
      <w:r>
        <w:t xml:space="preserve"> applies to me too: a feature can look good just because of what happened in my test period.</w:t>
      </w:r>
    </w:p>
    <w:p>
      <w:pPr>
        <w:pStyle w:val="ListParagraph"/>
        <w:numPr>
          <w:ilvl w:val="0"/>
          <w:numId w:val="2"/>
        </w:numPr>
        <w:spacing w:after="60"/>
      </w:pPr>
      <w:r>
        <w:t xml:space="preserve">BP quote = good opening line for my introduction.</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“This result is consistent with common views among oil experts. For example, Peter Davies, chief economist of British Petroleum, has noted that “we cannot forecast oil prices with any degree of accuracy over any period whether short or long” (see Davies 2007).”</w:t>
      </w:r>
      <w:r>
        <w:rPr>
          <w:b/>
          <w:bCs/>
          <w:color w:val="1F4E79"/>
        </w:rPr>
        <w:t xml:space="preserve">  (Section 5.2.3, p. 26)</w:t>
      </w:r>
    </w:p>
    <w:p>
      <w:pPr>
        <w:spacing w:after="140"/>
        <w:ind w:left="360"/>
      </w:pPr>
      <w:r>
        <w:rPr>
          <w:b/>
          <w:bCs/>
        </w:rPr>
        <w:t xml:space="preserve">Use it for:</w:t>
      </w:r>
      <w:r>
        <w:t xml:space="preserve"> an opening line for my introduction on how hard oil forecasting is.</w:t>
      </w:r>
    </w:p>
    <w:p>
      <w:pPr>
        <w:pBdr>
          <w:left w:val="single" w:color="1F4E79" w:sz="18" w:space="8"/>
        </w:pBdr>
        <w:shd w:fill="F2F6FA" w:color="auto" w:val="clear"/>
        <w:spacing w:after="40" w:before="120"/>
        <w:ind w:left="360"/>
      </w:pPr>
      <w:r>
        <w:rPr>
          <w:i/>
          <w:iCs/>
        </w:rPr>
        <w:t xml:space="preserve">“That result, of course, reflects the importance of global demand pressures across all industrial commodities during the forecast evaluation period. To the extent that the price of oil sometimes is driven by other shocks, one would expect the accuracy gains from using model (15) to be less favorable.”</w:t>
      </w:r>
      <w:r>
        <w:rPr>
          <w:b/>
          <w:bCs/>
          <w:color w:val="1F4E79"/>
        </w:rPr>
        <w:t xml:space="preserve">  (Section 5.2.4, p. 27)</w:t>
      </w:r>
    </w:p>
    <w:p>
      <w:pPr>
        <w:spacing w:after="140"/>
        <w:ind w:left="360"/>
      </w:pPr>
      <w:r>
        <w:rPr>
          <w:b/>
          <w:bCs/>
        </w:rPr>
        <w:t xml:space="preserve">Use it for:</w:t>
      </w:r>
      <w:r>
        <w:t xml:space="preserve"> a warning that gains depend on the test period. Use it when discussing my own results.</w:t>
      </w:r>
    </w:p>
    <w:p>
      <w:pPr>
        <w:pBdr>
          <w:left w:val="single" w:color="1F4E79" w:sz="18" w:space="8"/>
        </w:pBdr>
        <w:shd w:fill="F2F6FA" w:color="auto" w:val="clear"/>
        <w:spacing w:after="40" w:before="120"/>
        <w:ind w:left="360"/>
      </w:pPr>
      <w:r>
        <w:rPr>
          <w:b/>
          <w:bCs/>
          <w:color w:val="C00000"/>
        </w:rPr>
        <w:t xml:space="preserve">★ </w:t>
      </w:r>
      <w:r>
        <w:rPr>
          <w:i/>
          <w:iCs/>
        </w:rPr>
        <w:t xml:space="preserve">“Beyond the 3-month horizon, based on the MSPE criterion, the no-change forecast for all practical purposes remains the most accurate model for forecasting the nominal price of oil in real time.”</w:t>
      </w:r>
      <w:r>
        <w:rPr>
          <w:b/>
          <w:bCs/>
          <w:color w:val="1F4E79"/>
        </w:rPr>
        <w:t xml:space="preserve">  (Section 5.2.4, p. 28)</w:t>
      </w:r>
    </w:p>
    <w:p>
      <w:pPr>
        <w:spacing w:after="140"/>
        <w:ind w:left="360"/>
      </w:pPr>
      <w:r>
        <w:rPr>
          <w:b/>
          <w:bCs/>
        </w:rPr>
        <w:t xml:space="preserve">Use it for:</w:t>
      </w:r>
      <w:r>
        <w:t xml:space="preserve"> the headline result on the nominal price. Supports a short horizon.</w:t>
      </w:r>
    </w:p>
    <w:p>
      <w:pPr>
        <w:pStyle w:val="Heading2"/>
      </w:pPr>
      <w:r>
        <w:t xml:space="preserve">5.3 Daily oil futures prices</w:t>
      </w:r>
    </w:p>
    <w:p>
      <w:pPr>
        <w:spacing w:after="80" w:before="160"/>
      </w:pPr>
      <w:r>
        <w:rPr>
          <w:b/>
          <w:bCs/>
          <w:color w:val="1F4E79"/>
        </w:rPr>
        <w:t xml:space="preserve">What it says</w:t>
      </w:r>
    </w:p>
    <w:p>
      <w:pPr>
        <w:pStyle w:val="ListParagraph"/>
        <w:numPr>
          <w:ilvl w:val="0"/>
          <w:numId w:val="2"/>
        </w:numPr>
        <w:spacing w:after="60"/>
      </w:pPr>
      <w:r>
        <w:t xml:space="preserve">Using all daily futures quotes (about 10 times more data) makes small gains look significant. They use Leamer's rule to raise the bar for significance as the sample grows.</w:t>
      </w:r>
    </w:p>
    <w:p>
      <w:pPr>
        <w:pStyle w:val="ListParagraph"/>
        <w:numPr>
          <w:ilvl w:val="0"/>
          <w:numId w:val="2"/>
        </w:numPr>
        <w:spacing w:after="60"/>
      </w:pPr>
      <w:r>
        <w:t xml:space="preserve">After that adjustment, only the 12-month contract beats no-change (MSPE ratio 0.93), and that result disappears if the sample ends before mid-2008.</w:t>
      </w:r>
    </w:p>
    <w:p>
      <w:pPr>
        <w:spacing w:after="80" w:before="160"/>
      </w:pPr>
      <w:r>
        <w:rPr>
          <w:b/>
          <w:bCs/>
          <w:color w:val="1F4E79"/>
        </w:rPr>
        <w:t xml:space="preserve">What it means for my project</w:t>
      </w:r>
    </w:p>
    <w:p>
      <w:pPr>
        <w:pStyle w:val="ListParagraph"/>
        <w:numPr>
          <w:ilvl w:val="0"/>
          <w:numId w:val="2"/>
        </w:numPr>
        <w:spacing w:after="60"/>
      </w:pPr>
      <w:r>
        <w:t xml:space="preserve">If I evaluate on </w:t>
      </w:r>
      <w:r>
        <w:rPr>
          <w:b/>
          <w:bCs/>
        </w:rPr>
        <w:t xml:space="preserve">daily</w:t>
      </w:r>
      <w:r>
        <w:t xml:space="preserve"> rows instead of non-overlapping weekly ones, my sample grows and p-values shrink. Two lessons: (1) a significant result isn't the same as a large one, so report effect sizes; (2) results that depend on a few months of data aren't robust.</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“As is well known, for sufficiently large sample sizes, any null hypothesis is bound to be rejected at conventional significance levels”</w:t>
      </w:r>
      <w:r>
        <w:rPr>
          <w:b/>
          <w:bCs/>
          <w:color w:val="1F4E79"/>
        </w:rPr>
        <w:t xml:space="preserve">  (Section 5.3, p. 29)</w:t>
      </w:r>
    </w:p>
    <w:p>
      <w:pPr>
        <w:spacing w:after="140"/>
        <w:ind w:left="360"/>
      </w:pPr>
      <w:r>
        <w:rPr>
          <w:b/>
          <w:bCs/>
        </w:rPr>
        <w:t xml:space="preserve">Use it for:</w:t>
      </w:r>
      <w:r>
        <w:t xml:space="preserve"> reporting effect sizes, not just p-values.</w:t>
      </w:r>
    </w:p>
    <w:p>
      <w:pPr>
        <w:pBdr>
          <w:left w:val="single" w:color="1F4E79" w:sz="18" w:space="8"/>
        </w:pBdr>
        <w:shd w:fill="F2F6FA" w:color="auto" w:val="clear"/>
        <w:spacing w:after="40" w:before="120"/>
        <w:ind w:left="360"/>
      </w:pPr>
      <w:r>
        <w:rPr>
          <w:i/>
          <w:iCs/>
        </w:rPr>
        <w:t xml:space="preserve">“Moreover, there are indications that this result is sensitive to changes in the sample period and may not be robust as more data accumulate.”</w:t>
      </w:r>
      <w:r>
        <w:rPr>
          <w:b/>
          <w:bCs/>
          <w:color w:val="1F4E79"/>
        </w:rPr>
        <w:t xml:space="preserve">  (Section 5.3, p. 30)</w:t>
      </w:r>
    </w:p>
    <w:p>
      <w:pPr>
        <w:spacing w:after="140"/>
        <w:ind w:left="360"/>
      </w:pPr>
      <w:r>
        <w:rPr>
          <w:b/>
          <w:bCs/>
        </w:rPr>
        <w:t xml:space="preserve">Use it for:</w:t>
      </w:r>
      <w:r>
        <w:t xml:space="preserve"> why I should check my results across sub-periods.</w:t>
      </w:r>
    </w:p>
    <w:p>
      <w:pPr>
        <w:pStyle w:val="Heading1"/>
      </w:pPr>
      <w:r>
        <w:t xml:space="preserve">Section 6: Long-Horizon Forecasts of the Nominal Price of Oil</w:t>
      </w:r>
    </w:p>
    <w:p>
      <w:pPr>
        <w:spacing w:after="80" w:before="160"/>
      </w:pPr>
      <w:r>
        <w:rPr>
          <w:b/>
          <w:bCs/>
          <w:color w:val="1F4E79"/>
        </w:rPr>
        <w:t xml:space="preserve">What it says</w:t>
      </w:r>
    </w:p>
    <w:p>
      <w:pPr>
        <w:pStyle w:val="ListParagraph"/>
        <w:numPr>
          <w:ilvl w:val="0"/>
          <w:numId w:val="2"/>
        </w:numPr>
        <w:spacing w:after="60"/>
      </w:pPr>
      <w:r>
        <w:t xml:space="preserve">At 2–7 years, futures are </w:t>
      </w:r>
      <w:r>
        <w:rPr>
          <w:b/>
          <w:bCs/>
        </w:rPr>
        <w:t xml:space="preserve">worse</w:t>
      </w:r>
      <w:r>
        <w:t xml:space="preserve"> than no-change (MSPE ratios above 1). Central bankers citing 6-year futures would have done better with no-change.</w:t>
      </w:r>
    </w:p>
    <w:p>
      <w:pPr>
        <w:pStyle w:val="ListParagraph"/>
        <w:numPr>
          <w:ilvl w:val="0"/>
          <w:numId w:val="2"/>
        </w:numPr>
        <w:spacing w:after="60"/>
      </w:pPr>
      <w:r>
        <w:t xml:space="preserve">It's not because long contracts are illiquid; liquidity falls smoothly.</w:t>
      </w:r>
    </w:p>
    <w:p>
      <w:pPr>
        <w:pStyle w:val="ListParagraph"/>
        <w:numPr>
          <w:ilvl w:val="0"/>
          <w:numId w:val="2"/>
        </w:numPr>
        <w:spacing w:after="60"/>
      </w:pPr>
      <w:r>
        <w:t xml:space="preserve">Rankings flipped several times over the 1990s–2000s as more data came in. Fifteen years of evaluation isn't enough. Higher-frequency data have more serially correlated errors, so you need even longer samples.</w:t>
      </w:r>
    </w:p>
    <w:p>
      <w:pPr>
        <w:pStyle w:val="ListParagraph"/>
        <w:numPr>
          <w:ilvl w:val="0"/>
          <w:numId w:val="2"/>
        </w:numPr>
        <w:spacing w:after="60"/>
      </w:pPr>
      <w:r>
        <w:t xml:space="preserve">A rule that uses the futures price only when the spread is above 5% (otherwise no-change) gives 0–6% gains at short horizons, maybe because of transaction costs.</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Sample length is my biggest weakness.</w:t>
      </w:r>
      <w:r>
        <w:t xml:space="preserve"> GDELT's article-level data mostly starts in 2015, so my test period is roughly 2018–2026. That's shorter than the 15 years they call “insufficient”. I can't avoid this, but I must </w:t>
      </w:r>
      <w:r>
        <w:rPr>
          <w:b/>
          <w:bCs/>
        </w:rPr>
        <w:t xml:space="preserve">say it clearly</w:t>
      </w:r>
      <w:r>
        <w:t xml:space="preserve"> and not over-claim. Report results by sub-period and show whether the ranking of A, B and C is stable.</w:t>
      </w:r>
    </w:p>
    <w:p>
      <w:pPr>
        <w:pStyle w:val="ListParagraph"/>
        <w:numPr>
          <w:ilvl w:val="0"/>
          <w:numId w:val="2"/>
        </w:numPr>
        <w:spacing w:after="60"/>
      </w:pPr>
      <w:r>
        <w:rPr>
          <w:b/>
          <w:bCs/>
        </w:rPr>
        <w:t xml:space="preserve">Serial correlation:</w:t>
      </w:r>
      <w:r>
        <w:t xml:space="preserve"> my 5-day target overlaps if I sample every day. Use non-overlapping weekly observations (e.g. one per week) for the DM test, or correct the variance for overlap (a HAC/Newey–West correction — standard practice, not from this paper).</w:t>
      </w:r>
    </w:p>
    <w:p>
      <w:pPr>
        <w:pStyle w:val="ListParagraph"/>
        <w:numPr>
          <w:ilvl w:val="0"/>
          <w:numId w:val="2"/>
        </w:numPr>
        <w:spacing w:after="60"/>
      </w:pPr>
      <w:r>
        <w:rPr>
          <w:b/>
          <w:bCs/>
        </w:rPr>
        <w:t xml:space="preserve">The 5% threshold rule is a nice parallel to my ±1.5% band:</w:t>
      </w:r>
      <w:r>
        <w:t xml:space="preserve"> only act when the signal is big enough to matter. Cite it when explaining why I have a “hold” zone.</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“Given that the forecast errors become more highly serially correlated, the higher the data frequency, very long samples are required for reliable estimates of relative MSPEs. Clearly, an evaluation period of fifteen years, for example, is insufficient to learn about the forecasting ability of oil futures prices, as illustrated by the repeated sharp reversals in forecast rankings over time.”</w:t>
      </w:r>
      <w:r>
        <w:rPr>
          <w:b/>
          <w:bCs/>
          <w:color w:val="1F4E79"/>
        </w:rPr>
        <w:t xml:space="preserve">  (Section 6, p. 32)</w:t>
      </w:r>
    </w:p>
    <w:p>
      <w:pPr>
        <w:spacing w:after="140"/>
        <w:ind w:left="360"/>
      </w:pPr>
      <w:r>
        <w:rPr>
          <w:b/>
          <w:bCs/>
        </w:rPr>
        <w:t xml:space="preserve">Use it for:</w:t>
      </w:r>
      <w:r>
        <w:t xml:space="preserve"> acknowledging my short test period as a limitation, and handling overlapping 5-day targets.</w:t>
      </w:r>
    </w:p>
    <w:p>
      <w:pPr>
        <w:pBdr>
          <w:left w:val="single" w:color="1F4E79" w:sz="18" w:space="8"/>
        </w:pBdr>
        <w:shd w:fill="F2F6FA" w:color="auto" w:val="clear"/>
        <w:spacing w:after="40" w:before="120"/>
        <w:ind w:left="360"/>
      </w:pPr>
      <w:r>
        <w:rPr>
          <w:i/>
          <w:iCs/>
        </w:rPr>
        <w:t xml:space="preserve">“An alternative forecasting strategy in which one uses the futures price only if the futures spread exceeds 5% in absolute terms and uses the spot price otherwise, yields MSPE reductions between 0% and 6% at short horizons.”</w:t>
      </w:r>
      <w:r>
        <w:rPr>
          <w:b/>
          <w:bCs/>
          <w:color w:val="1F4E79"/>
        </w:rPr>
        <w:t xml:space="preserve">  (Section 6, p. 32)</w:t>
      </w:r>
    </w:p>
    <w:p>
      <w:pPr>
        <w:spacing w:after="140"/>
        <w:ind w:left="360"/>
      </w:pPr>
      <w:r>
        <w:rPr>
          <w:b/>
          <w:bCs/>
        </w:rPr>
        <w:t xml:space="preserve">Use it for:</w:t>
      </w:r>
      <w:r>
        <w:t xml:space="preserve"> supporting a threshold (“hold”) zone in my signal design.</w:t>
      </w:r>
    </w:p>
    <w:p>
      <w:pPr>
        <w:pStyle w:val="Heading1"/>
      </w:pPr>
      <w:r>
        <w:t xml:space="preserve">Section 7: Do Survey Expectations Track Econometric Forecasts?</w:t>
      </w:r>
    </w:p>
    <w:p>
      <w:pPr>
        <w:spacing w:after="80" w:before="160"/>
      </w:pPr>
      <w:r>
        <w:rPr>
          <w:b/>
          <w:bCs/>
          <w:color w:val="1F4E79"/>
        </w:rPr>
        <w:t xml:space="preserve">What it says</w:t>
      </w:r>
    </w:p>
    <w:p>
      <w:pPr>
        <w:pStyle w:val="ListParagraph"/>
        <w:numPr>
          <w:ilvl w:val="0"/>
          <w:numId w:val="2"/>
        </w:numPr>
        <w:spacing w:after="60"/>
      </w:pPr>
      <w:r>
        <w:t xml:space="preserve">Michigan households' 5-year gasoline price expectations ≈ today's price plus expected inflation, i.e. a no-change forecast for the </w:t>
      </w:r>
      <w:r>
        <w:rPr>
          <w:b/>
          <w:bCs/>
        </w:rPr>
        <w:t xml:space="preserve">real</w:t>
      </w:r>
      <w:r>
        <w:t xml:space="preserve"> price. At 5 years this is quite accurate (MSPE ratio 0.765) because inflation is large over that horizon.</w:t>
      </w:r>
    </w:p>
    <w:p>
      <w:pPr>
        <w:pStyle w:val="ListParagraph"/>
        <w:numPr>
          <w:ilvl w:val="0"/>
          <w:numId w:val="2"/>
        </w:numPr>
        <w:spacing w:after="60"/>
      </w:pPr>
      <w:r>
        <w:t xml:space="preserve">Same idea for oil: today's price + 5-year expected inflation gives MSPE ratio 0.855, better than 5-year futures.</w:t>
      </w:r>
    </w:p>
    <w:p>
      <w:pPr>
        <w:pStyle w:val="ListParagraph"/>
        <w:numPr>
          <w:ilvl w:val="0"/>
          <w:numId w:val="2"/>
        </w:numPr>
        <w:spacing w:after="60"/>
      </w:pPr>
      <w:r>
        <w:t xml:space="preserve">Professional forecasters (Consensus) smooth their forecasts and lag big moves, producing persistent errors. EIA forecasts: 1-quarter ahead MSPE ratio 0.92 (significant at 10%), 4-quarter 0.97 (not significant).</w:t>
      </w:r>
    </w:p>
    <w:p>
      <w:pPr>
        <w:spacing w:after="80" w:before="160"/>
      </w:pPr>
      <w:r>
        <w:rPr>
          <w:b/>
          <w:bCs/>
          <w:color w:val="1F4E79"/>
        </w:rPr>
        <w:t xml:space="preserve">What it means for my project</w:t>
      </w:r>
    </w:p>
    <w:p>
      <w:pPr>
        <w:pStyle w:val="ListParagraph"/>
        <w:numPr>
          <w:ilvl w:val="0"/>
          <w:numId w:val="2"/>
        </w:numPr>
        <w:spacing w:after="60"/>
      </w:pPr>
      <w:r>
        <w:t xml:space="preserve">Low direct relevance (gasoline, long horizons). The useful bit: </w:t>
      </w:r>
      <w:r>
        <w:rPr>
          <w:b/>
          <w:bCs/>
        </w:rPr>
        <w:t xml:space="preserve">experts lag big moves</w:t>
      </w:r>
      <w:r>
        <w:t xml:space="preserve"> — the gap my weekly news-based scores aim at.</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“We conclude that even the EIA has had at best modest success in forecasting the nominal price of oil in the short run and none at longer horizons.”</w:t>
      </w:r>
      <w:r>
        <w:rPr>
          <w:b/>
          <w:bCs/>
          <w:color w:val="1F4E79"/>
        </w:rPr>
        <w:t xml:space="preserve">  (Section 7, p. 35)</w:t>
      </w:r>
    </w:p>
    <w:p>
      <w:pPr>
        <w:spacing w:after="140"/>
        <w:ind w:left="360"/>
      </w:pPr>
      <w:r>
        <w:rPr>
          <w:b/>
          <w:bCs/>
        </w:rPr>
        <w:t xml:space="preserve">Use it for:</w:t>
      </w:r>
      <w:r>
        <w:t xml:space="preserve"> motivation: official expert forecasts don't beat the no-change baseline.</w:t>
      </w:r>
    </w:p>
    <w:p>
      <w:pPr>
        <w:pStyle w:val="Heading1"/>
      </w:pPr>
      <w:r>
        <w:t xml:space="preserve">Section 8: Short-Horizon Forecasts of the Real Price of Oil</w:t>
      </w:r>
    </w:p>
    <w:p>
      <w:pPr>
        <w:pStyle w:val="Heading2"/>
      </w:pPr>
      <w:r>
        <w:t xml:space="preserve">8.1 Real refiners' acquisition cost: AR, ARMA and VAR models</w:t>
      </w:r>
    </w:p>
    <w:p>
      <w:pPr>
        <w:spacing w:after="80" w:before="160"/>
      </w:pPr>
      <w:r>
        <w:rPr>
          <w:b/>
          <w:bCs/>
          <w:color w:val="1F4E79"/>
        </w:rPr>
        <w:t xml:space="preserve">What it says</w:t>
      </w:r>
    </w:p>
    <w:p>
      <w:pPr>
        <w:pStyle w:val="ListParagraph"/>
        <w:numPr>
          <w:ilvl w:val="0"/>
          <w:numId w:val="2"/>
        </w:numPr>
        <w:spacing w:after="60"/>
      </w:pPr>
      <w:r>
        <w:t xml:space="preserve">Recursive (expanding window) estimation from 1973.2; evaluation 1991.12–2009.8.</w:t>
      </w:r>
    </w:p>
    <w:p>
      <w:pPr>
        <w:pStyle w:val="ListParagraph"/>
        <w:numPr>
          <w:ilvl w:val="0"/>
          <w:numId w:val="2"/>
        </w:numPr>
        <w:spacing w:after="60"/>
      </w:pPr>
      <w:r>
        <w:t xml:space="preserve">AR and ARMA models beat no-change by up to 17% at short horizons; gains vanish beyond 6 months. Simple fixed-lag models work about as well as clever lag selection.</w:t>
      </w:r>
    </w:p>
    <w:p>
      <w:pPr>
        <w:pStyle w:val="ListParagraph"/>
        <w:numPr>
          <w:ilvl w:val="0"/>
          <w:numId w:val="2"/>
        </w:numPr>
        <w:spacing w:after="60"/>
      </w:pPr>
      <w:r>
        <w:t xml:space="preserve">The </w:t>
      </w:r>
      <w:r>
        <w:rPr>
          <w:b/>
          <w:bCs/>
        </w:rPr>
        <w:t xml:space="preserve">Kilian &amp; Murphy (2010) VAR</w:t>
      </w:r>
      <w:r>
        <w:t xml:space="preserve"> (oil production growth, global real activity, real oil price, inventory changes) beats no-change significantly at 1, 3 and 6 months. Dropping variables shows </w:t>
      </w:r>
      <w:r>
        <w:rPr>
          <w:b/>
          <w:bCs/>
        </w:rPr>
        <w:t xml:space="preserve">inventories and global real activity</w:t>
      </w:r>
      <w:r>
        <w:t xml:space="preserve"> carry the useful information; oil production matters less.</w:t>
      </w:r>
    </w:p>
    <w:p>
      <w:pPr>
        <w:pStyle w:val="ListParagraph"/>
        <w:numPr>
          <w:ilvl w:val="0"/>
          <w:numId w:val="2"/>
        </w:numPr>
        <w:spacing w:after="60"/>
      </w:pPr>
      <w:r>
        <w:t xml:space="preserve">They choose </w:t>
      </w:r>
      <w:r>
        <w:rPr>
          <w:b/>
          <w:bCs/>
        </w:rPr>
        <w:t xml:space="preserve">recursive over rolling</w:t>
      </w:r>
      <w:r>
        <w:t xml:space="preserve"> windows: more efficient with a small sample, and rolling windows don't protect against structural breaks anyway (footnote 28).</w:t>
      </w:r>
    </w:p>
    <w:p>
      <w:pPr>
        <w:pStyle w:val="ListParagraph"/>
        <w:numPr>
          <w:ilvl w:val="0"/>
          <w:numId w:val="2"/>
        </w:numPr>
        <w:spacing w:after="60"/>
      </w:pPr>
      <w:r>
        <w:t xml:space="preserve">Repeats the testing warning: standard tests can reject the no-change forecast even when the VAR's MSPE is </w:t>
      </w:r>
      <w:r>
        <w:rPr>
          <w:b/>
          <w:bCs/>
        </w:rPr>
        <w:t xml:space="preserve">higher</w:t>
      </w:r>
      <w:r>
        <w:t xml:space="preserve"> than no-change, because they test the wrong null. Discount marginal rejections; trust only strong ones.</w:t>
      </w:r>
    </w:p>
    <w:p>
      <w:pPr>
        <w:pStyle w:val="ListParagraph"/>
        <w:numPr>
          <w:ilvl w:val="0"/>
          <w:numId w:val="2"/>
        </w:numPr>
        <w:spacing w:after="60"/>
      </w:pPr>
      <w:r>
        <w:t xml:space="preserve">For iterated forecasts there's no standard theory, so they bootstrap the loss differential (footnote 27).</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Walk-forward design:</w:t>
      </w:r>
      <w:r>
        <w:t xml:space="preserve"> expanding window as my main setup is defensible with this citation; a rolling window as a robustness check. (Cerqueira et al. 2020 is the next paper for the details.)</w:t>
      </w:r>
    </w:p>
    <w:p>
      <w:pPr>
        <w:pStyle w:val="ListParagraph"/>
        <w:numPr>
          <w:ilvl w:val="0"/>
          <w:numId w:val="2"/>
        </w:numPr>
        <w:spacing w:after="60"/>
      </w:pPr>
      <w:r>
        <w:rPr>
          <w:b/>
          <w:bCs/>
        </w:rPr>
        <w:t xml:space="preserve">Model A must include inventories and global activity</w:t>
      </w:r>
      <w:r>
        <w:t xml:space="preserve"> — this is the strongest forecasting evidence in the paper for which fundamentals matter. Oil production growth is less important, which is a useful contrast for my supply-risk scores: actual production changes aren't very predictive, so </w:t>
      </w:r>
      <w:r>
        <w:rPr>
          <w:b/>
          <w:bCs/>
        </w:rPr>
        <w:t xml:space="preserve">forward-looking risk</w:t>
      </w:r>
      <w:r>
        <w:t xml:space="preserve"> might add something production data can't.</w:t>
      </w:r>
    </w:p>
    <w:p>
      <w:pPr>
        <w:pStyle w:val="ListParagraph"/>
        <w:numPr>
          <w:ilvl w:val="0"/>
          <w:numId w:val="2"/>
        </w:numPr>
        <w:spacing w:after="60"/>
      </w:pPr>
      <w:r>
        <w:t xml:space="preserve">The “significant even though worse” example is a perfect warning for my DM results. Always report the </w:t>
      </w:r>
      <w:r>
        <w:rPr>
          <w:b/>
          <w:bCs/>
        </w:rPr>
        <w:t xml:space="preserve">size and direction</w:t>
      </w:r>
      <w:r>
        <w:t xml:space="preserve"> of the difference alongside the p-value.</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“(3) that the no-change forecast of the real price of oil can be improved upon at horizons of 1 month and 3 months, but generally not at horizons beyond half a year.”</w:t>
      </w:r>
      <w:r>
        <w:rPr>
          <w:b/>
          <w:bCs/>
          <w:color w:val="1F4E79"/>
        </w:rPr>
        <w:t xml:space="preserve">  (Section 8.1.1, p. 37)</w:t>
      </w:r>
    </w:p>
    <w:p>
      <w:pPr>
        <w:spacing w:after="140"/>
        <w:ind w:left="360"/>
      </w:pPr>
      <w:r>
        <w:rPr>
          <w:b/>
          <w:bCs/>
        </w:rPr>
        <w:t xml:space="preserve">Use it for:</w:t>
      </w:r>
      <w:r>
        <w:t xml:space="preserve"> showing forecasting gains exist only at short horizons.</w:t>
      </w:r>
    </w:p>
    <w:p>
      <w:pPr>
        <w:pBdr>
          <w:left w:val="single" w:color="1F4E79" w:sz="18" w:space="8"/>
        </w:pBdr>
        <w:shd w:fill="F2F6FA" w:color="auto" w:val="clear"/>
        <w:spacing w:after="40" w:before="120"/>
        <w:ind w:left="360"/>
      </w:pPr>
      <w:r>
        <w:rPr>
          <w:b/>
          <w:bCs/>
          <w:color w:val="C00000"/>
        </w:rPr>
        <w:t xml:space="preserve">★ </w:t>
      </w:r>
      <w:r>
        <w:rPr>
          <w:i/>
          <w:iCs/>
        </w:rPr>
        <w:t xml:space="preserve">“We focus on recursive rather than rolling regression forecasts throughout this section. This approach makes sense in the absence of structural change, given the greater efficiency of recursive regressions and the small sample size.”</w:t>
      </w:r>
      <w:r>
        <w:rPr>
          <w:b/>
          <w:bCs/>
          <w:color w:val="1F4E79"/>
        </w:rPr>
        <w:t xml:space="preserve">  (Section 8.1.1, p. 38)</w:t>
      </w:r>
    </w:p>
    <w:p>
      <w:pPr>
        <w:spacing w:after="140"/>
        <w:ind w:left="360"/>
      </w:pPr>
      <w:r>
        <w:rPr>
          <w:b/>
          <w:bCs/>
        </w:rPr>
        <w:t xml:space="preserve">Use it for:</w:t>
      </w:r>
      <w:r>
        <w:t xml:space="preserve"> justifying an expanding-window walk-forward design.</w:t>
      </w:r>
    </w:p>
    <w:p>
      <w:pPr>
        <w:pBdr>
          <w:left w:val="single" w:color="1F4E79" w:sz="18" w:space="8"/>
        </w:pBdr>
        <w:shd w:fill="F2F6FA" w:color="auto" w:val="clear"/>
        <w:spacing w:after="40" w:before="120"/>
        <w:ind w:left="360"/>
      </w:pPr>
      <w:r>
        <w:rPr>
          <w:i/>
          <w:iCs/>
        </w:rPr>
        <w:t xml:space="preserve">“Rolling regression forecasts would not protect us from structural change in any case.”</w:t>
      </w:r>
      <w:r>
        <w:rPr>
          <w:b/>
          <w:bCs/>
          <w:color w:val="1F4E79"/>
        </w:rPr>
        <w:t xml:space="preserve">  (Section 8.1.1, footnote 28, p. 38)</w:t>
      </w:r>
    </w:p>
    <w:p>
      <w:pPr>
        <w:spacing w:after="140"/>
        <w:ind w:left="360"/>
      </w:pPr>
      <w:r>
        <w:rPr>
          <w:b/>
          <w:bCs/>
        </w:rPr>
        <w:t xml:space="preserve">Use it for:</w:t>
      </w:r>
      <w:r>
        <w:t xml:space="preserve"> why rolling windows are only a robustness check.</w:t>
      </w:r>
    </w:p>
    <w:p>
      <w:pPr>
        <w:pBdr>
          <w:left w:val="single" w:color="1F4E79" w:sz="18" w:space="8"/>
        </w:pBdr>
        <w:shd w:fill="F2F6FA" w:color="auto" w:val="clear"/>
        <w:spacing w:after="40" w:before="120"/>
        <w:ind w:left="360"/>
      </w:pPr>
      <w:r>
        <w:rPr>
          <w:b/>
          <w:bCs/>
          <w:color w:val="C00000"/>
        </w:rPr>
        <w:t xml:space="preserve">★ </w:t>
      </w:r>
      <w:r>
        <w:rPr>
          <w:i/>
          <w:iCs/>
        </w:rPr>
        <w:t xml:space="preserve">“We conclude that there is important predictive information in the change in oil inventories and in global real activity in particular, whereas the inclusion of oil production growth appears less important for forecasting.”</w:t>
      </w:r>
      <w:r>
        <w:rPr>
          <w:b/>
          <w:bCs/>
          <w:color w:val="1F4E79"/>
        </w:rPr>
        <w:t xml:space="preserve">  (Section 8.1.1, p. 39)</w:t>
      </w:r>
    </w:p>
    <w:p>
      <w:pPr>
        <w:spacing w:after="140"/>
        <w:ind w:left="360"/>
      </w:pPr>
      <w:r>
        <w:rPr>
          <w:b/>
          <w:bCs/>
        </w:rPr>
        <w:t xml:space="preserve">Use it for:</w:t>
      </w:r>
      <w:r>
        <w:t xml:space="preserve"> justifying inventories and global activity as core Model A features.</w:t>
      </w:r>
    </w:p>
    <w:p>
      <w:pPr>
        <w:pBdr>
          <w:left w:val="single" w:color="1F4E79" w:sz="18" w:space="8"/>
        </w:pBdr>
        <w:shd w:fill="F2F6FA" w:color="auto" w:val="clear"/>
        <w:spacing w:after="40" w:before="120"/>
        <w:ind w:left="360"/>
      </w:pPr>
      <w:r>
        <w:rPr>
          <w:b/>
          <w:bCs/>
          <w:color w:val="C00000"/>
        </w:rPr>
        <w:t xml:space="preserve">★ </w:t>
      </w:r>
      <w:r>
        <w:rPr>
          <w:i/>
          <w:iCs/>
        </w:rPr>
        <w:t xml:space="preserve">“In other words, conventional tests of equal predictive accuracy test the wrong null hypothesis and may spuriously reject the no-change forecast in favor of the alternative.”</w:t>
      </w:r>
      <w:r>
        <w:rPr>
          <w:b/>
          <w:bCs/>
          <w:color w:val="1F4E79"/>
        </w:rPr>
        <w:t xml:space="preserve">  (Section 8.1.1, p. 40)</w:t>
      </w:r>
    </w:p>
    <w:p>
      <w:pPr>
        <w:spacing w:after="140"/>
        <w:ind w:left="360"/>
      </w:pPr>
      <w:r>
        <w:rPr>
          <w:b/>
          <w:bCs/>
        </w:rPr>
        <w:t xml:space="preserve">Use it for:</w:t>
      </w:r>
      <w:r>
        <w:t xml:space="preserve"> caution on interpreting my DM test results.</w:t>
      </w:r>
    </w:p>
    <w:p>
      <w:pPr>
        <w:pStyle w:val="Heading2"/>
      </w:pPr>
      <w:r>
        <w:t xml:space="preserve">8.1.2 Real-time forecasts</w:t>
      </w:r>
    </w:p>
    <w:p>
      <w:pPr>
        <w:spacing w:after="80" w:before="160"/>
      </w:pPr>
      <w:r>
        <w:rPr>
          <w:b/>
          <w:bCs/>
          <w:color w:val="1F4E79"/>
        </w:rPr>
        <w:t xml:space="preserve">What it says</w:t>
      </w:r>
    </w:p>
    <w:p>
      <w:pPr>
        <w:pStyle w:val="ListParagraph"/>
        <w:numPr>
          <w:ilvl w:val="0"/>
          <w:numId w:val="2"/>
        </w:numPr>
        <w:spacing w:after="60"/>
      </w:pPr>
      <w:r>
        <w:t xml:space="preserve">The results above use data that was revised later and wouldn't have been available at the time. Two problems: predictors arrive with </w:t>
      </w:r>
      <w:r>
        <w:rPr>
          <w:b/>
          <w:bCs/>
        </w:rPr>
        <w:t xml:space="preserve">delays</w:t>
      </w:r>
      <w:r>
        <w:t xml:space="preserve">, and data gets </w:t>
      </w:r>
      <w:r>
        <w:rPr>
          <w:b/>
          <w:bCs/>
        </w:rPr>
        <w:t xml:space="preserve">revised</w:t>
      </w:r>
      <w:r>
        <w:t xml:space="preserve">.</w:t>
      </w:r>
    </w:p>
    <w:p>
      <w:pPr>
        <w:pStyle w:val="ListParagraph"/>
        <w:numPr>
          <w:ilvl w:val="0"/>
          <w:numId w:val="2"/>
        </w:numPr>
        <w:spacing w:after="60"/>
      </w:pPr>
      <w:r>
        <w:t xml:space="preserve">Delays: RAC ~3 months, CPI 1 month, global oil production 4 months, global inventories 5 months.</w:t>
      </w:r>
    </w:p>
    <w:p>
      <w:pPr>
        <w:pStyle w:val="ListParagraph"/>
        <w:numPr>
          <w:ilvl w:val="0"/>
          <w:numId w:val="2"/>
        </w:numPr>
        <w:spacing w:after="60"/>
      </w:pPr>
      <w:r>
        <w:t xml:space="preserve">Baumeister &amp; Kilian (2011) build a real-time dataset and find VAR gains survive: up to 25% at 1 month and 9% at 3 months; direction success ratios 0.51–0.60.</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Look-ahead bias is my biggest technical risk.</w:t>
      </w:r>
      <w:r>
        <w:t xml:space="preserve"> Every Model A feature must be lagged to when it was actually published (e.g. EIA weekly inventories come out mid-week for the previous week; OPEC and IEA monthly reports come mid-month). Build a release-date table in my methodology.</w:t>
      </w:r>
    </w:p>
    <w:p>
      <w:pPr>
        <w:pStyle w:val="ListParagraph"/>
        <w:numPr>
          <w:ilvl w:val="0"/>
          <w:numId w:val="2"/>
        </w:numPr>
        <w:spacing w:after="60"/>
      </w:pPr>
      <w:r>
        <w:t xml:space="preserve">GDELT is near real-time, which is an advantage over monthly fundamentals. Say so.</w:t>
      </w:r>
    </w:p>
    <w:p>
      <w:pPr>
        <w:pStyle w:val="ListParagraph"/>
        <w:numPr>
          <w:ilvl w:val="0"/>
          <w:numId w:val="2"/>
        </w:numPr>
        <w:spacing w:after="60"/>
      </w:pPr>
      <w:r>
        <w:rPr>
          <w:b/>
          <w:bCs/>
        </w:rPr>
        <w:t xml:space="preserve">Same principle for the LLM (my addition, not from the paper):</w:t>
      </w:r>
      <w:r>
        <w:t xml:space="preserve"> GPT-4o mini was trained on data up to late 2023, so when it scores older articles it may “know” what happened next. Check for this, e.g. by comparing score behaviour before and after the training cutoff.</w:t>
      </w:r>
    </w:p>
    <w:p>
      <w:pPr>
        <w:pStyle w:val="ListParagraph"/>
        <w:numPr>
          <w:ilvl w:val="0"/>
          <w:numId w:val="2"/>
        </w:numPr>
        <w:spacing w:after="60"/>
      </w:pPr>
      <w:r>
        <w:t xml:space="preserve">Their success ratios of 0.51–0.60 are a realistic target range for direction accuracy. Don't expect 70%.</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“An important caveat regarding the results in Tables 12 and 13 is that the forecast accuracy comparison is not conducted in real time. There are two rather distinct concerns. One is that not all useful predictors may be available to the forecaster in real time. The other concern is that many predictors and indeed some measures of the price of oil are subject to data revisions.”</w:t>
      </w:r>
      <w:r>
        <w:rPr>
          <w:b/>
          <w:bCs/>
          <w:color w:val="1F4E79"/>
        </w:rPr>
        <w:t xml:space="preserve">  (Section 8.1.2, p. 41)</w:t>
      </w:r>
    </w:p>
    <w:p>
      <w:pPr>
        <w:spacing w:after="140"/>
        <w:ind w:left="360"/>
      </w:pPr>
      <w:r>
        <w:rPr>
          <w:b/>
          <w:bCs/>
        </w:rPr>
        <w:t xml:space="preserve">Use it for:</w:t>
      </w:r>
      <w:r>
        <w:t xml:space="preserve"> justifying lagging every feature to its release date (no look-ahead bias).</w:t>
      </w:r>
    </w:p>
    <w:p>
      <w:pPr>
        <w:pBdr>
          <w:left w:val="single" w:color="1F4E79" w:sz="18" w:space="8"/>
        </w:pBdr>
        <w:shd w:fill="F2F6FA" w:color="auto" w:val="clear"/>
        <w:spacing w:after="40" w:before="120"/>
        <w:ind w:left="360"/>
      </w:pPr>
      <w:r>
        <w:rPr>
          <w:i/>
          <w:iCs/>
        </w:rPr>
        <w:t xml:space="preserve">“Moreover, the data on global crude oil production only become available with a delay of 4 months and the data used to approximate global crude oil inventories with a delay of five months.”</w:t>
      </w:r>
      <w:r>
        <w:rPr>
          <w:b/>
          <w:bCs/>
          <w:color w:val="1F4E79"/>
        </w:rPr>
        <w:t xml:space="preserve">  (Section 8.1.2, p. 41)</w:t>
      </w:r>
    </w:p>
    <w:p>
      <w:pPr>
        <w:spacing w:after="140"/>
        <w:ind w:left="360"/>
      </w:pPr>
      <w:r>
        <w:rPr>
          <w:b/>
          <w:bCs/>
        </w:rPr>
        <w:t xml:space="preserve">Use it for:</w:t>
      </w:r>
      <w:r>
        <w:t xml:space="preserve"> an example of publication lags; supports preferring timely data (weekly EIA, GDELT).</w:t>
      </w:r>
    </w:p>
    <w:p>
      <w:pPr>
        <w:pStyle w:val="Heading2"/>
      </w:pPr>
      <w:r>
        <w:t xml:space="preserve">8.2 Real WTI price, and 8.3 Bayesian VARs</w:t>
      </w:r>
    </w:p>
    <w:p>
      <w:pPr>
        <w:spacing w:after="80" w:before="160"/>
      </w:pPr>
      <w:r>
        <w:rPr>
          <w:b/>
          <w:bCs/>
          <w:color w:val="1F4E79"/>
        </w:rPr>
        <w:t xml:space="preserve">What it says</w:t>
      </w:r>
    </w:p>
    <w:p>
      <w:pPr>
        <w:pStyle w:val="ListParagraph"/>
        <w:numPr>
          <w:ilvl w:val="0"/>
          <w:numId w:val="2"/>
        </w:numPr>
        <w:spacing w:after="60"/>
      </w:pPr>
      <w:r>
        <w:rPr>
          <w:b/>
          <w:bCs/>
        </w:rPr>
        <w:t xml:space="preserve">8.2:</w:t>
      </w:r>
      <w:r>
        <w:t xml:space="preserve"> the real WTI price is harder to forecast than RAC: AR gains at most 5%, VAR at most 16% (3 months). So </w:t>
      </w:r>
      <w:r>
        <w:rPr>
          <w:b/>
          <w:bCs/>
        </w:rPr>
        <w:t xml:space="preserve">which oil price you forecast changes how forecastable it is</w:t>
      </w:r>
      <w:r>
        <w:t xml:space="preserve">.</w:t>
      </w:r>
    </w:p>
    <w:p>
      <w:pPr>
        <w:pStyle w:val="ListParagraph"/>
        <w:numPr>
          <w:ilvl w:val="0"/>
          <w:numId w:val="2"/>
        </w:numPr>
        <w:spacing w:after="60"/>
      </w:pPr>
      <w:r>
        <w:rPr>
          <w:b/>
          <w:bCs/>
        </w:rPr>
        <w:t xml:space="preserve">8.3:</w:t>
      </w:r>
      <w:r>
        <w:t xml:space="preserve"> Bayesian shrinkage (Giannone, Lenza &amp; Primiceri 2010) doesn't help 12-lag VARs much but rescues 24-lag VARs. Best: about 20% gain at 1 month, 12% at 3 months, ~1–3% at 6 months.</w:t>
      </w:r>
    </w:p>
    <w:p>
      <w:pPr>
        <w:spacing w:after="80" w:before="160"/>
      </w:pPr>
      <w:r>
        <w:rPr>
          <w:b/>
          <w:bCs/>
          <w:color w:val="1F4E79"/>
        </w:rPr>
        <w:t xml:space="preserve">What it means for my project</w:t>
      </w:r>
    </w:p>
    <w:p>
      <w:pPr>
        <w:pStyle w:val="ListParagraph"/>
        <w:numPr>
          <w:ilvl w:val="0"/>
          <w:numId w:val="2"/>
        </w:numPr>
        <w:spacing w:after="60"/>
      </w:pPr>
      <w:r>
        <w:t xml:space="preserve">My results are specific to Brent and shouldn't be compared directly with WTI studies. Say that when comparing with other papers.</w:t>
      </w:r>
    </w:p>
    <w:p>
      <w:pPr>
        <w:pStyle w:val="ListParagraph"/>
        <w:numPr>
          <w:ilvl w:val="0"/>
          <w:numId w:val="2"/>
        </w:numPr>
        <w:spacing w:after="60"/>
      </w:pPr>
      <w:r>
        <w:t xml:space="preserve">Shrinkage helping big models is the econometric version of regularisation. It supports keeping my tree models regularised (depth limits, min samples per leaf, early stopping), since I'll have many features and not many weeks.</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“This finding highlights that the definition of the real price of oil matters for the degree of forecastability.”</w:t>
      </w:r>
      <w:r>
        <w:rPr>
          <w:b/>
          <w:bCs/>
          <w:color w:val="1F4E79"/>
        </w:rPr>
        <w:t xml:space="preserve">  (Section 8.2, p. 42)</w:t>
      </w:r>
    </w:p>
    <w:p>
      <w:pPr>
        <w:spacing w:after="140"/>
        <w:ind w:left="360"/>
      </w:pPr>
      <w:r>
        <w:rPr>
          <w:b/>
          <w:bCs/>
        </w:rPr>
        <w:t xml:space="preserve">Use it for:</w:t>
      </w:r>
      <w:r>
        <w:t xml:space="preserve"> why results for Brent and WTI aren't directly comparable.</w:t>
      </w:r>
    </w:p>
    <w:p>
      <w:pPr>
        <w:pStyle w:val="Heading1"/>
      </w:pPr>
      <w:r>
        <w:t xml:space="preserve">Section 9: Structural VAR Forecasts of the Real Price of Oil</w:t>
      </w:r>
    </w:p>
    <w:p>
      <w:pPr>
        <w:spacing w:after="80" w:before="160"/>
      </w:pPr>
      <w:r>
        <w:rPr>
          <w:b/>
          <w:bCs/>
          <w:color w:val="1F4E79"/>
        </w:rPr>
        <w:t xml:space="preserve">What it says</w:t>
      </w:r>
    </w:p>
    <w:p>
      <w:pPr>
        <w:pStyle w:val="ListParagraph"/>
        <w:numPr>
          <w:ilvl w:val="0"/>
          <w:numId w:val="2"/>
        </w:numPr>
        <w:spacing w:after="60"/>
      </w:pPr>
      <w:r>
        <w:t xml:space="preserve">Forecast accuracy isn't the only goal: policymakers want forecasts they can </w:t>
      </w:r>
      <w:r>
        <w:rPr>
          <w:b/>
          <w:bCs/>
        </w:rPr>
        <w:t xml:space="preserve">interpret</w:t>
      </w:r>
      <w:r>
        <w:t xml:space="preserve"> and </w:t>
      </w:r>
      <w:r>
        <w:rPr>
          <w:b/>
          <w:bCs/>
        </w:rPr>
        <w:t xml:space="preserve">what-if scenarios</w:t>
      </w:r>
      <w:r>
        <w:t xml:space="preserve">.</w:t>
      </w:r>
    </w:p>
    <w:p>
      <w:pPr>
        <w:pStyle w:val="ListParagraph"/>
        <w:numPr>
          <w:ilvl w:val="0"/>
          <w:numId w:val="2"/>
        </w:numPr>
        <w:spacing w:after="60"/>
      </w:pPr>
      <w:r>
        <w:t xml:space="preserve">Kilian &amp; Murphy model identifies three shocks: flow supply, flow demand (global business cycle), and </w:t>
      </w:r>
      <w:r>
        <w:rPr>
          <w:b/>
          <w:bCs/>
        </w:rPr>
        <w:t xml:space="preserve">speculative/inventory demand</w:t>
      </w:r>
      <w:r>
        <w:t xml:space="preserve"> (forward-looking).</w:t>
      </w:r>
    </w:p>
    <w:p>
      <w:pPr>
        <w:pStyle w:val="ListParagraph"/>
        <w:numPr>
          <w:ilvl w:val="0"/>
          <w:numId w:val="2"/>
        </w:numPr>
        <w:spacing w:after="60"/>
      </w:pPr>
      <w:r>
        <w:t xml:space="preserve">Three scenarios over 24 months: a 20% rise in US output (≈1.5% of world supply) barely moves the price; a demand boom like 2007–08 raises the price ~50% at peak; a </w:t>
      </w:r>
      <w:r>
        <w:rPr>
          <w:b/>
          <w:bCs/>
        </w:rPr>
        <w:t xml:space="preserve">speculative frenzy like after the 1979 Iranian Revolution</w:t>
      </w:r>
      <w:r>
        <w:t xml:space="preserve"> raises it by up to 30% temporarily.</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The 1979 scenario supports my project:</w:t>
      </w:r>
      <w:r>
        <w:t xml:space="preserve"> forward-looking, risk-driven demand around an Iran crisis was worth up to 30%. That's the channel my scores try to measure (same as B&amp;K 2016).</w:t>
      </w:r>
    </w:p>
    <w:p>
      <w:pPr>
        <w:pStyle w:val="ListParagraph"/>
        <w:numPr>
          <w:ilvl w:val="0"/>
          <w:numId w:val="2"/>
        </w:numPr>
        <w:spacing w:after="60"/>
      </w:pPr>
      <w:r>
        <w:rPr>
          <w:b/>
          <w:bCs/>
        </w:rPr>
        <w:t xml:space="preserve">The US supply stimulus result</w:t>
      </w:r>
      <w:r>
        <w:t xml:space="preserve"> fits B&amp;K: actual barrels matter less than expected. Supports scoring </w:t>
      </w:r>
      <w:r>
        <w:rPr>
          <w:b/>
          <w:bCs/>
        </w:rPr>
        <w:t xml:space="preserve">risk</w:t>
      </w:r>
      <w:r>
        <w:t xml:space="preserve">, not output.</w:t>
      </w:r>
    </w:p>
    <w:p>
      <w:pPr>
        <w:pStyle w:val="ListParagraph"/>
        <w:numPr>
          <w:ilvl w:val="0"/>
          <w:numId w:val="2"/>
        </w:numPr>
        <w:spacing w:after="60"/>
      </w:pPr>
      <w:r>
        <w:rPr>
          <w:b/>
          <w:bCs/>
        </w:rPr>
        <w:t xml:space="preserve">Optional extension:</w:t>
      </w:r>
      <w:r>
        <w:t xml:space="preserve"> a simple what-if analysis — raise the Hormuz score and see how the predicted signal changes. A cheap version of their scenario analysis. Low priority.</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“The case for the use of VAR models, however, does not rest on their predictive accuracy alone. Policymakers expect oil price forecasts to be interpretable in light of an economic model.”</w:t>
      </w:r>
      <w:r>
        <w:rPr>
          <w:b/>
          <w:bCs/>
          <w:color w:val="1F4E79"/>
        </w:rPr>
        <w:t xml:space="preserve">  (Section 9, p. 44)</w:t>
      </w:r>
    </w:p>
    <w:p>
      <w:pPr>
        <w:spacing w:after="140"/>
        <w:ind w:left="360"/>
      </w:pPr>
      <w:r>
        <w:rPr>
          <w:b/>
          <w:bCs/>
        </w:rPr>
        <w:t xml:space="preserve">Use it for:</w:t>
      </w:r>
      <w:r>
        <w:t xml:space="preserve"> justifying SHAP and interpretable features as a goal, not just accuracy.</w:t>
      </w:r>
    </w:p>
    <w:p>
      <w:pPr>
        <w:pBdr>
          <w:left w:val="single" w:color="1F4E79" w:sz="18" w:space="8"/>
        </w:pBdr>
        <w:shd w:fill="F2F6FA" w:color="auto" w:val="clear"/>
        <w:spacing w:after="40" w:before="120"/>
        <w:ind w:left="360"/>
      </w:pPr>
      <w:r>
        <w:rPr>
          <w:i/>
          <w:iCs/>
        </w:rPr>
        <w:t xml:space="preserve">“Finally, we consider the possibility of a speculative frenzy such as occurred starting in mid-1979 after the Iranian Revolution (see Kilian and Murphy 2010).”</w:t>
      </w:r>
      <w:r>
        <w:rPr>
          <w:b/>
          <w:bCs/>
          <w:color w:val="1F4E79"/>
        </w:rPr>
        <w:t xml:space="preserve">  (Section 9, p. 45)</w:t>
      </w:r>
    </w:p>
    <w:p>
      <w:pPr>
        <w:spacing w:after="140"/>
        <w:ind w:left="360"/>
      </w:pPr>
      <w:r>
        <w:rPr>
          <w:b/>
          <w:bCs/>
        </w:rPr>
        <w:t xml:space="preserve">Use it for:</w:t>
      </w:r>
      <w:r>
        <w:t xml:space="preserve"> linking Iran-related precautionary demand to large price effects.</w:t>
      </w:r>
    </w:p>
    <w:p>
      <w:pPr>
        <w:pBdr>
          <w:left w:val="single" w:color="1F4E79" w:sz="18" w:space="8"/>
        </w:pBdr>
        <w:shd w:fill="F2F6FA" w:color="auto" w:val="clear"/>
        <w:spacing w:after="40" w:before="120"/>
        <w:ind w:left="360"/>
      </w:pPr>
      <w:r>
        <w:rPr>
          <w:i/>
          <w:iCs/>
        </w:rPr>
        <w:t xml:space="preserve">“Figure 9 shows that this event would raise the baseline forecast temporarily by as much as 30%.”</w:t>
      </w:r>
      <w:r>
        <w:rPr>
          <w:b/>
          <w:bCs/>
          <w:color w:val="1F4E79"/>
        </w:rPr>
        <w:t xml:space="preserve">  (Section 9, p. 45)</w:t>
      </w:r>
    </w:p>
    <w:p>
      <w:pPr>
        <w:spacing w:after="140"/>
        <w:ind w:left="360"/>
      </w:pPr>
      <w:r>
        <w:rPr>
          <w:b/>
          <w:bCs/>
        </w:rPr>
        <w:t xml:space="preserve">Use it for:</w:t>
      </w:r>
      <w:r>
        <w:t xml:space="preserve"> the size of that effect.</w:t>
      </w:r>
    </w:p>
    <w:p>
      <w:pPr>
        <w:pStyle w:val="Heading1"/>
      </w:pPr>
      <w:r>
        <w:t xml:space="preserve">Section 10: Forecasting the Real Price of Oil in Other Countries</w:t>
      </w:r>
    </w:p>
    <w:p>
      <w:pPr>
        <w:spacing w:after="80" w:before="160"/>
      </w:pPr>
      <w:r>
        <w:rPr>
          <w:b/>
          <w:bCs/>
          <w:color w:val="1F4E79"/>
        </w:rPr>
        <w:t xml:space="preserve">What it says</w:t>
      </w:r>
    </w:p>
    <w:p>
      <w:pPr>
        <w:pStyle w:val="ListParagraph"/>
        <w:numPr>
          <w:ilvl w:val="0"/>
          <w:numId w:val="2"/>
        </w:numPr>
        <w:spacing w:after="60"/>
      </w:pPr>
      <w:r>
        <w:t xml:space="preserve">The real price in euros, yen, pounds or Canadian dollars differs from the dollar price because of exchange rates. AR(12) forecasts still beat no-change at 1–3 months for Japan, UK and Canada.</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Low relevance.</w:t>
      </w:r>
      <w:r>
        <w:t xml:space="preserve"> I forecast dollar Brent. One sentence at most, if I discuss who would use the signals.</w:t>
      </w:r>
    </w:p>
    <w:p>
      <w:pPr>
        <w:pStyle w:val="Heading1"/>
      </w:pPr>
      <w:r>
        <w:t xml:space="preserve">Section 11: The Ability of Oil Prices to Forecast U.S. Real GDP</w:t>
      </w:r>
    </w:p>
    <w:p>
      <w:pPr>
        <w:spacing w:after="80" w:before="160"/>
      </w:pPr>
      <w:r>
        <w:rPr>
          <w:b/>
          <w:bCs/>
          <w:color w:val="1F4E79"/>
        </w:rPr>
        <w:t xml:space="preserve">What it says</w:t>
      </w:r>
    </w:p>
    <w:p>
      <w:pPr>
        <w:pStyle w:val="ListParagraph"/>
        <w:numPr>
          <w:ilvl w:val="0"/>
          <w:numId w:val="2"/>
        </w:numPr>
        <w:spacing w:after="60"/>
      </w:pPr>
      <w:r>
        <w:rPr>
          <w:b/>
          <w:bCs/>
        </w:rPr>
        <w:t xml:space="preserve">11.1 Linear models:</w:t>
      </w:r>
      <w:r>
        <w:t xml:space="preserve"> adding the oil price to an AR(4) GDP model helps by at most ~8%. No model predicts the 1991, 2001 or 2008 recessions.</w:t>
      </w:r>
    </w:p>
    <w:p>
      <w:pPr>
        <w:pStyle w:val="ListParagraph"/>
        <w:numPr>
          <w:ilvl w:val="0"/>
          <w:numId w:val="2"/>
        </w:numPr>
        <w:spacing w:after="60"/>
      </w:pPr>
      <w:r>
        <w:rPr>
          <w:b/>
          <w:bCs/>
        </w:rPr>
        <w:t xml:space="preserve">11.2 Nonlinear models</w:t>
      </w:r>
      <w:r>
        <w:t xml:space="preserve"> (Hamilton's net oil price increase): the 3-year net increase models look good, with up to 26% gains at one year (Table 19b). </w:t>
      </w:r>
      <w:r>
        <w:rPr>
          <w:b/>
          <w:bCs/>
        </w:rPr>
        <w:t xml:space="preserve">But almost all the gain comes from one episode, the 2008/09 financial crisis.</w:t>
      </w:r>
      <w:r>
        <w:t xml:space="preserve"> Excluding it, these models are worse than the simple AR(4), sometimes more than twice as bad (Table 20).</w:t>
      </w:r>
    </w:p>
    <w:p>
      <w:pPr>
        <w:pStyle w:val="ListParagraph"/>
        <w:numPr>
          <w:ilvl w:val="0"/>
          <w:numId w:val="2"/>
        </w:numPr>
        <w:spacing w:after="60"/>
      </w:pPr>
      <w:r>
        <w:t xml:space="preserve">Before 2008 the nonlinear model kept predicting recessions that didn't happen (e.g. 2005/06). The authors doubt anyone would have trusted it, and suspect it got 2008 right </w:t>
      </w:r>
      <w:r>
        <w:rPr>
          <w:b/>
          <w:bCs/>
        </w:rPr>
        <w:t xml:space="preserve">for the wrong reasons</w:t>
      </w:r>
      <w:r>
        <w:t xml:space="preserve"> (the crisis wasn't caused by oil).</w:t>
      </w:r>
    </w:p>
    <w:p>
      <w:pPr>
        <w:pStyle w:val="ListParagraph"/>
        <w:numPr>
          <w:ilvl w:val="0"/>
          <w:numId w:val="2"/>
        </w:numPr>
        <w:spacing w:after="60"/>
      </w:pPr>
      <w:r>
        <w:t xml:space="preserve">Out-of-sample testing doesn't automatically protect against overfitting: under squared loss, one big correct call can outweigh years of being wrong.</w:t>
      </w:r>
    </w:p>
    <w:p>
      <w:pPr>
        <w:pStyle w:val="ListParagraph"/>
        <w:numPr>
          <w:ilvl w:val="0"/>
          <w:numId w:val="2"/>
        </w:numPr>
        <w:spacing w:after="60"/>
      </w:pPr>
      <w:r>
        <w:t xml:space="preserve">No significance tests for these models (too expensive to compute).</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This is the most important warning in the paper for me.</w:t>
      </w:r>
      <w:r>
        <w:t xml:space="preserve"> My Model C could look good only because of one or two crises (Russia–Ukraine 2022, Hormuz 2026). The same trap they found for 2008.</w:t>
      </w:r>
    </w:p>
    <w:p>
      <w:pPr>
        <w:pStyle w:val="ListParagraph"/>
        <w:numPr>
          <w:ilvl w:val="0"/>
          <w:numId w:val="2"/>
        </w:numPr>
        <w:spacing w:after="60"/>
      </w:pPr>
      <w:r>
        <w:rPr>
          <w:b/>
          <w:bCs/>
        </w:rPr>
        <w:t xml:space="preserve">What to do:</w:t>
      </w:r>
    </w:p>
    <w:p>
      <w:pPr>
        <w:pStyle w:val="ListParagraph"/>
        <w:numPr>
          <w:ilvl w:val="1"/>
          <w:numId w:val="2"/>
        </w:numPr>
        <w:spacing w:after="60"/>
      </w:pPr>
      <w:r>
        <w:t xml:space="preserve">plot </w:t>
      </w:r>
      <w:r>
        <w:rPr>
          <w:b/>
          <w:bCs/>
        </w:rPr>
        <w:t xml:space="preserve">cumulative</w:t>
      </w:r>
      <w:r>
        <w:t xml:space="preserve"> loss (or accuracy) of Model C minus Model A over time, like their Figure 13. If the line only moves during crisis weeks, say so</w:t>
      </w:r>
    </w:p>
    <w:p>
      <w:pPr>
        <w:pStyle w:val="ListParagraph"/>
        <w:numPr>
          <w:ilvl w:val="1"/>
          <w:numId w:val="2"/>
        </w:numPr>
        <w:spacing w:after="60"/>
      </w:pPr>
      <w:r>
        <w:t xml:space="preserve">report results </w:t>
      </w:r>
      <w:r>
        <w:rPr>
          <w:b/>
          <w:bCs/>
        </w:rPr>
        <w:t xml:space="preserve">with and without</w:t>
      </w:r>
      <w:r>
        <w:t xml:space="preserve"> the crisis windows, like their Table 20</w:t>
      </w:r>
    </w:p>
    <w:p>
      <w:pPr>
        <w:pStyle w:val="ListParagraph"/>
        <w:numPr>
          <w:ilvl w:val="1"/>
          <w:numId w:val="2"/>
        </w:numPr>
        <w:spacing w:after="60"/>
      </w:pPr>
      <w:r>
        <w:t xml:space="preserve">check the model doesn't keep giving false buy signals whenever scores rise in calm periods (their 2005/06 problem)</w:t>
      </w:r>
    </w:p>
    <w:p>
      <w:pPr>
        <w:pStyle w:val="ListParagraph"/>
        <w:numPr>
          <w:ilvl w:val="1"/>
          <w:numId w:val="2"/>
        </w:numPr>
        <w:spacing w:after="60"/>
      </w:pPr>
      <w:r>
        <w:t xml:space="preserve">in the Hormuz case study, check the model was right for the </w:t>
      </w:r>
      <w:r>
        <w:rPr>
          <w:b/>
          <w:bCs/>
        </w:rPr>
        <w:t xml:space="preserve">right reason</w:t>
      </w:r>
      <w:r>
        <w:t xml:space="preserve"> (the SHAP values should point to the Hormuz and Gulf producer scores, not something unrelated)</w:t>
      </w:r>
    </w:p>
    <w:p>
      <w:pPr>
        <w:pStyle w:val="ListParagraph"/>
        <w:numPr>
          <w:ilvl w:val="0"/>
          <w:numId w:val="2"/>
        </w:numPr>
        <w:spacing w:after="60"/>
      </w:pPr>
      <w:r>
        <w:rPr>
          <w:b/>
          <w:bCs/>
        </w:rPr>
        <w:t xml:space="preserve">Honest framing:</w:t>
      </w:r>
      <w:r>
        <w:t xml:space="preserve"> if the scores only help in crises, that's still a valid finding (an early-warning tool for crises), but it's a different claim from “improves weekly forecasts in general”. Decide which claim the data supports.</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“Plots of the recursive MSPE of these nonlinear models show that much of the forecasting success of nonlinear models is driven by one episode, namely the economic collapse in 2008/09 following the financial crisis.”</w:t>
      </w:r>
      <w:r>
        <w:rPr>
          <w:b/>
          <w:bCs/>
          <w:color w:val="1F4E79"/>
        </w:rPr>
        <w:t xml:space="preserve">  (Section 11.2, p. 56)</w:t>
      </w:r>
    </w:p>
    <w:p>
      <w:pPr>
        <w:spacing w:after="140"/>
        <w:ind w:left="360"/>
      </w:pPr>
      <w:r>
        <w:rPr>
          <w:b/>
          <w:bCs/>
        </w:rPr>
        <w:t xml:space="preserve">Use it for:</w:t>
      </w:r>
      <w:r>
        <w:t xml:space="preserve"> the warning that one crisis can drive all of a model's gains. Apply to Model C and the 2022/2026 crises.</w:t>
      </w:r>
    </w:p>
    <w:p>
      <w:pPr>
        <w:pBdr>
          <w:left w:val="single" w:color="1F4E79" w:sz="18" w:space="8"/>
        </w:pBdr>
        <w:shd w:fill="F2F6FA" w:color="auto" w:val="clear"/>
        <w:spacing w:after="40" w:before="120"/>
        <w:ind w:left="360"/>
      </w:pPr>
      <w:r>
        <w:rPr>
          <w:b/>
          <w:bCs/>
          <w:color w:val="C00000"/>
        </w:rPr>
        <w:t xml:space="preserve">★ </w:t>
      </w:r>
      <w:r>
        <w:rPr>
          <w:i/>
          <w:iCs/>
        </w:rPr>
        <w:t xml:space="preserve">“It is usually thought that out-of-sample forecasts protect against overfitting. The example of 2008/09 illustrates that this need not be the case.”</w:t>
      </w:r>
      <w:r>
        <w:rPr>
          <w:b/>
          <w:bCs/>
          <w:color w:val="1F4E79"/>
        </w:rPr>
        <w:t xml:space="preserve">  (Section 11.2, p. 56)</w:t>
      </w:r>
    </w:p>
    <w:p>
      <w:pPr>
        <w:spacing w:after="140"/>
        <w:ind w:left="360"/>
      </w:pPr>
      <w:r>
        <w:rPr>
          <w:b/>
          <w:bCs/>
        </w:rPr>
        <w:t xml:space="preserve">Use it for:</w:t>
      </w:r>
      <w:r>
        <w:t xml:space="preserve"> why I add crisis-excluded results on top of walk-forward testing.</w:t>
      </w:r>
    </w:p>
    <w:p>
      <w:pPr>
        <w:pBdr>
          <w:left w:val="single" w:color="1F4E79" w:sz="18" w:space="8"/>
        </w:pBdr>
        <w:shd w:fill="F2F6FA" w:color="auto" w:val="clear"/>
        <w:spacing w:after="40" w:before="120"/>
        <w:ind w:left="360"/>
      </w:pPr>
      <w:r>
        <w:rPr>
          <w:i/>
          <w:iCs/>
        </w:rPr>
        <w:t xml:space="preserve">“Given that the financial crisis occurred immediately after a major surge in the price of oil, but itself was presumably not caused by that oil price surge, the obvious concern is that the nonlinear model may have forecast the 2008 recession for the wrong reasons.”</w:t>
      </w:r>
      <w:r>
        <w:rPr>
          <w:b/>
          <w:bCs/>
          <w:color w:val="1F4E79"/>
        </w:rPr>
        <w:t xml:space="preserve">  (Section 11.2, p. 56)</w:t>
      </w:r>
    </w:p>
    <w:p>
      <w:pPr>
        <w:spacing w:after="140"/>
        <w:ind w:left="360"/>
      </w:pPr>
      <w:r>
        <w:rPr>
          <w:b/>
          <w:bCs/>
        </w:rPr>
        <w:t xml:space="preserve">Use it for:</w:t>
      </w:r>
      <w:r>
        <w:t xml:space="preserve"> justifying a SHAP check that my model is right for the right reasons in the Hormuz case study.</w:t>
      </w:r>
    </w:p>
    <w:p>
      <w:pPr>
        <w:pBdr>
          <w:left w:val="single" w:color="1F4E79" w:sz="18" w:space="8"/>
        </w:pBdr>
        <w:shd w:fill="F2F6FA" w:color="auto" w:val="clear"/>
        <w:spacing w:after="40" w:before="120"/>
        <w:ind w:left="360"/>
      </w:pPr>
      <w:r>
        <w:rPr>
          <w:i/>
          <w:iCs/>
        </w:rPr>
        <w:t xml:space="preserve">“However, all evidence of forecast accuracy gains vanishes if the financial crisis episode is excluded, as shown in columns (3) and (4) of Table 20.”</w:t>
      </w:r>
      <w:r>
        <w:rPr>
          <w:b/>
          <w:bCs/>
          <w:color w:val="1F4E79"/>
        </w:rPr>
        <w:t xml:space="preserve">  (Section 11.2, p. 57)</w:t>
      </w:r>
    </w:p>
    <w:p>
      <w:pPr>
        <w:spacing w:after="140"/>
        <w:ind w:left="360"/>
      </w:pPr>
      <w:r>
        <w:rPr>
          <w:b/>
          <w:bCs/>
        </w:rPr>
        <w:t xml:space="preserve">Use it for:</w:t>
      </w:r>
      <w:r>
        <w:t xml:space="preserve"> the method to copy: report results with the crisis excluded.</w:t>
      </w:r>
    </w:p>
    <w:p>
      <w:pPr>
        <w:pStyle w:val="Heading1"/>
      </w:pPr>
      <w:r>
        <w:t xml:space="preserve">Section 12: The Role of Oil Price Volatility</w:t>
      </w:r>
    </w:p>
    <w:p>
      <w:pPr>
        <w:spacing w:after="80" w:before="160"/>
      </w:pPr>
      <w:r>
        <w:rPr>
          <w:b/>
          <w:bCs/>
          <w:color w:val="1F4E79"/>
        </w:rPr>
        <w:t xml:space="preserve">What it says</w:t>
      </w:r>
    </w:p>
    <w:p>
      <w:pPr>
        <w:pStyle w:val="ListParagraph"/>
        <w:numPr>
          <w:ilvl w:val="0"/>
          <w:numId w:val="2"/>
        </w:numPr>
        <w:spacing w:after="60"/>
      </w:pPr>
      <w:r>
        <w:t xml:space="preserve">Point forecasts don't show uncertainty. Three volatility measures (options-implied, realized, GARCH) all peak in late 2008; implied is the most forward-looking, GARCH the most backward-looking.</w:t>
      </w:r>
    </w:p>
    <w:p>
      <w:pPr>
        <w:pStyle w:val="ListParagraph"/>
        <w:numPr>
          <w:ilvl w:val="0"/>
          <w:numId w:val="2"/>
        </w:numPr>
        <w:spacing w:after="60"/>
      </w:pPr>
      <w:r>
        <w:rPr>
          <w:b/>
          <w:bCs/>
        </w:rPr>
        <w:t xml:space="preserve">Risk is not the same as volatility/uncertainty.</w:t>
      </w:r>
      <w:r>
        <w:t xml:space="preserve"> Volatility went up when OPEC collapsed in 1986 and prices fell, but consumers' risk went down.</w:t>
      </w:r>
    </w:p>
    <w:p>
      <w:pPr>
        <w:pStyle w:val="ListParagraph"/>
        <w:numPr>
          <w:ilvl w:val="0"/>
          <w:numId w:val="2"/>
        </w:numPr>
        <w:spacing w:after="60"/>
      </w:pPr>
      <w:r>
        <w:rPr>
          <w:b/>
          <w:bCs/>
        </w:rPr>
        <w:t xml:space="preserve">12.3:</w:t>
      </w:r>
      <w:r>
        <w:t xml:space="preserve"> proper risk measures depend on the user's </w:t>
      </w:r>
      <w:r>
        <w:rPr>
          <w:b/>
          <w:bCs/>
        </w:rPr>
        <w:t xml:space="preserve">thresholds</w:t>
      </w:r>
      <w:r>
        <w:t xml:space="preserve"> and loss function: e.g. a producer worries about prices below $25 or above $120. They define </w:t>
      </w:r>
      <w:r>
        <w:rPr>
          <w:b/>
          <w:bCs/>
        </w:rPr>
        <w:t xml:space="preserve">upside and downside risk</w:t>
      </w:r>
      <w:r>
        <w:t xml:space="preserve"> above/below thresholds, and show these move differently from volatility.</w:t>
      </w:r>
    </w:p>
    <w:p>
      <w:pPr>
        <w:pStyle w:val="ListParagraph"/>
        <w:numPr>
          <w:ilvl w:val="0"/>
          <w:numId w:val="2"/>
        </w:numPr>
        <w:spacing w:after="60"/>
      </w:pPr>
      <w:r>
        <w:t xml:space="preserve">Even the best risk measures gave no warning of the late-2008 collapse, because the underlying forecast couldn't see it.</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Terminology:</w:t>
      </w:r>
      <w:r>
        <w:t xml:space="preserve"> my “supply-risk score” is about the chance and severity of a supply disruption, i.e. </w:t>
      </w:r>
      <w:r>
        <w:rPr>
          <w:b/>
          <w:bCs/>
        </w:rPr>
        <w:t xml:space="preserve">upside price risk</w:t>
      </w:r>
      <w:r>
        <w:t xml:space="preserve">, not volatility. Define it that way in my methodology, and cite this section for the distinction.</w:t>
      </w:r>
    </w:p>
    <w:p>
      <w:pPr>
        <w:pStyle w:val="ListParagraph"/>
        <w:numPr>
          <w:ilvl w:val="0"/>
          <w:numId w:val="2"/>
        </w:numPr>
        <w:spacing w:after="60"/>
      </w:pPr>
      <w:r>
        <w:rPr>
          <w:b/>
          <w:bCs/>
        </w:rPr>
        <w:t xml:space="preserve">Their threshold-based risk measure is very close to my ±1.5% band:</w:t>
      </w:r>
      <w:r>
        <w:t xml:space="preserve"> what matters is whether the price crosses a threshold that changes a decision, not the squared error. That's a second justification (with p. 21) for a classification target.</w:t>
      </w:r>
    </w:p>
    <w:p>
      <w:pPr>
        <w:pStyle w:val="ListParagraph"/>
        <w:numPr>
          <w:ilvl w:val="0"/>
          <w:numId w:val="2"/>
        </w:numPr>
        <w:spacing w:after="60"/>
      </w:pPr>
      <w:r>
        <w:t xml:space="preserve">If I add confidence/probability outputs to my signals, this section supports presenting </w:t>
      </w:r>
      <w:r>
        <w:rPr>
          <w:b/>
          <w:bCs/>
        </w:rPr>
        <w:t xml:space="preserve">probabilities of crossing thresholds</w:t>
      </w:r>
      <w:r>
        <w:t xml:space="preserve"> (P(buy), P(sell)) rather than a volatility number.</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“Point forecasts of the price of oil are important, but they fail to convey the uncertainty associated with oil price forecasts.”</w:t>
      </w:r>
      <w:r>
        <w:rPr>
          <w:b/>
          <w:bCs/>
          <w:color w:val="1F4E79"/>
        </w:rPr>
        <w:t xml:space="preserve">  (Section 12, p. 58)</w:t>
      </w:r>
    </w:p>
    <w:p>
      <w:pPr>
        <w:spacing w:after="140"/>
        <w:ind w:left="360"/>
      </w:pPr>
      <w:r>
        <w:rPr>
          <w:b/>
          <w:bCs/>
        </w:rPr>
        <w:t xml:space="preserve">Use it for:</w:t>
      </w:r>
      <w:r>
        <w:t xml:space="preserve"> justifying reporting class probabilities, not just a signal.</w:t>
      </w:r>
    </w:p>
    <w:p>
      <w:pPr>
        <w:pBdr>
          <w:left w:val="single" w:color="1F4E79" w:sz="18" w:space="8"/>
        </w:pBdr>
        <w:shd w:fill="F2F6FA" w:color="auto" w:val="clear"/>
        <w:spacing w:after="40" w:before="120"/>
        <w:ind w:left="360"/>
      </w:pPr>
      <w:r>
        <w:rPr>
          <w:i/>
          <w:iCs/>
        </w:rPr>
        <w:t xml:space="preserve">“Given that at short horizons CPI inflation is negligible, it is customary in financial applications to focus on nominal oil price volatility.”</w:t>
      </w:r>
      <w:r>
        <w:rPr>
          <w:b/>
          <w:bCs/>
          <w:color w:val="1F4E79"/>
        </w:rPr>
        <w:t xml:space="preserve">  (Section 12.1, p. 59)</w:t>
      </w:r>
    </w:p>
    <w:p>
      <w:pPr>
        <w:spacing w:after="140"/>
        <w:ind w:left="360"/>
      </w:pPr>
      <w:r>
        <w:rPr>
          <w:b/>
          <w:bCs/>
        </w:rPr>
        <w:t xml:space="preserve">Use it for:</w:t>
      </w:r>
      <w:r>
        <w:t xml:space="preserve"> justifying a nominal (not inflation-adjusted) Brent target at my weekly horizon.</w:t>
      </w:r>
    </w:p>
    <w:p>
      <w:pPr>
        <w:pBdr>
          <w:left w:val="single" w:color="1F4E79" w:sz="18" w:space="8"/>
        </w:pBdr>
        <w:shd w:fill="F2F6FA" w:color="auto" w:val="clear"/>
        <w:spacing w:after="40" w:before="120"/>
        <w:ind w:left="360"/>
      </w:pPr>
      <w:r>
        <w:rPr>
          <w:i/>
          <w:iCs/>
        </w:rPr>
        <w:t xml:space="preserve">“It is important not to equate risk and uncertainty, however.”</w:t>
      </w:r>
      <w:r>
        <w:rPr>
          <w:b/>
          <w:bCs/>
          <w:color w:val="1F4E79"/>
        </w:rPr>
        <w:t xml:space="preserve">  (Section 12.1, p. 60)</w:t>
      </w:r>
    </w:p>
    <w:p>
      <w:pPr>
        <w:spacing w:after="140"/>
        <w:ind w:left="360"/>
      </w:pPr>
      <w:r>
        <w:rPr>
          <w:b/>
          <w:bCs/>
        </w:rPr>
        <w:t xml:space="preserve">Use it for:</w:t>
      </w:r>
      <w:r>
        <w:t xml:space="preserve"> defining my supply-risk score as risk, not volatility.</w:t>
      </w:r>
    </w:p>
    <w:p>
      <w:pPr>
        <w:pBdr>
          <w:left w:val="single" w:color="1F4E79" w:sz="18" w:space="8"/>
        </w:pBdr>
        <w:shd w:fill="F2F6FA" w:color="auto" w:val="clear"/>
        <w:spacing w:after="40" w:before="120"/>
        <w:ind w:left="360"/>
      </w:pPr>
      <w:r>
        <w:rPr>
          <w:i/>
          <w:iCs/>
        </w:rPr>
        <w:t xml:space="preserve">“In both examples above, the appropriate specification of these agents’ decision problem is in terms of upside and downside price risks.”</w:t>
      </w:r>
      <w:r>
        <w:rPr>
          <w:b/>
          <w:bCs/>
          <w:color w:val="1F4E79"/>
        </w:rPr>
        <w:t xml:space="preserve">  (Section 12.3, p. 62)</w:t>
      </w:r>
    </w:p>
    <w:p>
      <w:pPr>
        <w:spacing w:after="140"/>
        <w:ind w:left="360"/>
      </w:pPr>
      <w:r>
        <w:rPr>
          <w:b/>
          <w:bCs/>
        </w:rPr>
        <w:t xml:space="preserve">Use it for:</w:t>
      </w:r>
      <w:r>
        <w:t xml:space="preserve"> supporting a threshold-based buy/hold/sell target.</w:t>
      </w:r>
    </w:p>
    <w:p>
      <w:pPr>
        <w:pBdr>
          <w:left w:val="single" w:color="1F4E79" w:sz="18" w:space="8"/>
        </w:pBdr>
        <w:shd w:fill="F2F6FA" w:color="auto" w:val="clear"/>
        <w:spacing w:after="40" w:before="120"/>
        <w:ind w:left="360"/>
      </w:pPr>
      <w:r>
        <w:rPr>
          <w:i/>
          <w:iCs/>
        </w:rPr>
        <w:t xml:space="preserve">“Although the predictive distribution based on the no-change forecast is among the best available approaches to forecasting the real price of oil, this is a useful reminder that even the best available approach need not be very accurate in practice.”</w:t>
      </w:r>
      <w:r>
        <w:rPr>
          <w:b/>
          <w:bCs/>
          <w:color w:val="1F4E79"/>
        </w:rPr>
        <w:t xml:space="preserve">  (Section 12.3, p. 65)</w:t>
      </w:r>
    </w:p>
    <w:p>
      <w:pPr>
        <w:spacing w:after="140"/>
        <w:ind w:left="360"/>
      </w:pPr>
      <w:r>
        <w:rPr>
          <w:b/>
          <w:bCs/>
        </w:rPr>
        <w:t xml:space="preserve">Use it for:</w:t>
      </w:r>
      <w:r>
        <w:t xml:space="preserve"> setting realistic expectations for my results.</w:t>
      </w:r>
    </w:p>
    <w:p>
      <w:pPr>
        <w:pStyle w:val="Heading1"/>
      </w:pPr>
      <w:r>
        <w:t xml:space="preserve">Section 13: Avenues for Future Research</w:t>
      </w:r>
    </w:p>
    <w:p>
      <w:pPr>
        <w:spacing w:after="80" w:before="160"/>
      </w:pPr>
      <w:r>
        <w:rPr>
          <w:b/>
          <w:bCs/>
          <w:color w:val="1F4E79"/>
        </w:rPr>
        <w:t xml:space="preserve">What it says</w:t>
      </w:r>
    </w:p>
    <w:p>
      <w:pPr>
        <w:pStyle w:val="ListParagraph"/>
        <w:numPr>
          <w:ilvl w:val="0"/>
          <w:numId w:val="2"/>
        </w:numPr>
        <w:spacing w:after="60"/>
      </w:pPr>
      <w:r>
        <w:t xml:space="preserve">Three directions: industry-level predictors (refinery demand by crude grade, product spreads); households having different expectations; and factor models (they're sceptical).</w:t>
      </w:r>
    </w:p>
    <w:p>
      <w:pPr>
        <w:pStyle w:val="ListParagraph"/>
        <w:numPr>
          <w:ilvl w:val="0"/>
          <w:numId w:val="2"/>
        </w:numPr>
        <w:spacing w:after="60"/>
      </w:pPr>
      <w:r>
        <w:t xml:space="preserve">They criticise a factor-model study (Zagaglia 2010) because its test period had </w:t>
      </w:r>
      <w:r>
        <w:rPr>
          <w:b/>
          <w:bCs/>
        </w:rPr>
        <w:t xml:space="preserve">no price reversals</w:t>
      </w:r>
      <w:r>
        <w:t xml:space="preserve">, so any trending predictor looks good, and because it relied too much on US data.</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Nothing here about news, text, geopolitical risk or machine learning.</w:t>
      </w:r>
      <w:r>
        <w:t xml:space="preserve"> That's a clear gap I can point to: the standard forecasting reference doesn't consider these predictors at all. Careful wording: the gap is in this chapter (2011/2013), and later studies (Cao et al. 2026, AI-GPR) have started filling it.</w:t>
      </w:r>
    </w:p>
    <w:p>
      <w:pPr>
        <w:pStyle w:val="ListParagraph"/>
        <w:numPr>
          <w:ilvl w:val="0"/>
          <w:numId w:val="2"/>
        </w:numPr>
        <w:spacing w:after="60"/>
      </w:pPr>
      <w:r>
        <w:rPr>
          <w:b/>
          <w:bCs/>
        </w:rPr>
        <w:t xml:space="preserve">The “no price reversals” warning:</w:t>
      </w:r>
      <w:r>
        <w:t xml:space="preserve"> check my test period has rises and falls. It does (2020 crash, 2022 spike, 2023–25 decline, 2026 spike). Say so explicitly, and quote this.</w:t>
      </w:r>
    </w:p>
    <w:p>
      <w:pPr>
        <w:pStyle w:val="ListParagraph"/>
        <w:numPr>
          <w:ilvl w:val="0"/>
          <w:numId w:val="2"/>
        </w:numPr>
        <w:spacing w:after="60"/>
      </w:pPr>
      <w:r>
        <w:t xml:space="preserve">Grade spreads (Brent vs Dubai/WTI) as a possible feature — low priority.</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“An obvious concern is that there are no price reversals over the evaluation period, so any predictor experiencing sustained growth is likely to have some forecasting power.”</w:t>
      </w:r>
      <w:r>
        <w:rPr>
          <w:b/>
          <w:bCs/>
          <w:color w:val="1F4E79"/>
        </w:rPr>
        <w:t xml:space="preserve">  (Section 13, p. 66)</w:t>
      </w:r>
    </w:p>
    <w:p>
      <w:pPr>
        <w:spacing w:after="140"/>
        <w:ind w:left="360"/>
      </w:pPr>
      <w:r>
        <w:rPr>
          <w:b/>
          <w:bCs/>
        </w:rPr>
        <w:t xml:space="preserve">Use it for:</w:t>
      </w:r>
      <w:r>
        <w:t xml:space="preserve"> justifying a test period that includes both rises and falls.</w:t>
      </w:r>
    </w:p>
    <w:p>
      <w:pPr>
        <w:pStyle w:val="Heading1"/>
      </w:pPr>
      <w:r>
        <w:t xml:space="preserve">Section 14: Conclusions</w:t>
      </w:r>
    </w:p>
    <w:p>
      <w:pPr>
        <w:spacing w:after="80" w:before="160"/>
      </w:pPr>
      <w:r>
        <w:rPr>
          <w:b/>
          <w:bCs/>
          <w:color w:val="1F4E79"/>
        </w:rPr>
        <w:t xml:space="preserve">What it says</w:t>
      </w:r>
    </w:p>
    <w:p>
      <w:pPr>
        <w:pStyle w:val="ListParagraph"/>
        <w:numPr>
          <w:ilvl w:val="0"/>
          <w:numId w:val="2"/>
        </w:numPr>
        <w:spacing w:after="60"/>
      </w:pPr>
      <w:r>
        <w:t xml:space="preserve">The literature is hard to reconcile because results depend on the price series, nominal vs real, sample period, evaluation method and testing. </w:t>
      </w:r>
      <w:r>
        <w:rPr>
          <w:b/>
          <w:bCs/>
        </w:rPr>
        <w:t xml:space="preserve">The most common problem: results vanish when the sample is extended.</w:t>
      </w:r>
    </w:p>
    <w:p>
      <w:pPr>
        <w:pStyle w:val="ListParagraph"/>
        <w:numPr>
          <w:ilvl w:val="0"/>
          <w:numId w:val="2"/>
        </w:numPr>
        <w:spacing w:after="60"/>
      </w:pPr>
      <w:r>
        <w:t xml:space="preserve">Both nominal and real prices are predictable in population, so neither is a pure random walk. But in small samples the simple no-change forecast often beats bigger, theory-based models (bias–variance trade-off).</w:t>
      </w:r>
    </w:p>
    <w:p>
      <w:pPr>
        <w:pStyle w:val="ListParagraph"/>
        <w:numPr>
          <w:ilvl w:val="0"/>
          <w:numId w:val="2"/>
        </w:numPr>
        <w:spacing w:after="60"/>
      </w:pPr>
      <w:r>
        <w:t xml:space="preserve">Real price: VARs beat no-change up to 6 months; AR/ARMA at 1–3 months; beyond that, no-change wins. Nominal price: CRB raw materials give 22% gains at 3 months; futures and expert forecasts can't be recommended.</w:t>
      </w:r>
    </w:p>
    <w:p>
      <w:pPr>
        <w:pStyle w:val="ListParagraph"/>
        <w:numPr>
          <w:ilvl w:val="0"/>
          <w:numId w:val="2"/>
        </w:numPr>
        <w:spacing w:after="60"/>
      </w:pPr>
      <w:r>
        <w:t xml:space="preserve">Oil → GDP: small linear gains; nonlinear gains driven entirely by 2008/09.</w:t>
      </w:r>
    </w:p>
    <w:p>
      <w:pPr>
        <w:pStyle w:val="ListParagraph"/>
        <w:numPr>
          <w:ilvl w:val="0"/>
          <w:numId w:val="2"/>
        </w:numPr>
        <w:spacing w:after="60"/>
      </w:pPr>
      <w:r>
        <w:t xml:space="preserve">Structural VARs allow scenario analysis; volatility isn't risk; even good risk measures missed late 2008.</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Sample sensitivity</w:t>
      </w:r>
      <w:r>
        <w:t xml:space="preserve"> is the paper's main methodological lesson. My results section should show stability across sub-periods, not one headline number.</w:t>
      </w:r>
    </w:p>
    <w:p>
      <w:pPr>
        <w:pStyle w:val="ListParagraph"/>
        <w:numPr>
          <w:ilvl w:val="0"/>
          <w:numId w:val="2"/>
        </w:numPr>
        <w:spacing w:after="60"/>
      </w:pPr>
      <w:r>
        <w:rPr>
          <w:b/>
          <w:bCs/>
        </w:rPr>
        <w:t xml:space="preserve">Bias–variance:</w:t>
      </w:r>
      <w:r>
        <w:t xml:space="preserve"> a complex model can lose to no-change even if it's “right”. That's why the always-hold baseline isn't a formality. If my models don't beat it, that's a real (and reportable) result.</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“The most common problem in the literature is that results are sensitive to the choice of sample period and vanish when the sample period is extended.”</w:t>
      </w:r>
      <w:r>
        <w:rPr>
          <w:b/>
          <w:bCs/>
          <w:color w:val="1F4E79"/>
        </w:rPr>
        <w:t xml:space="preserve">  (Section 14, p. 67)</w:t>
      </w:r>
    </w:p>
    <w:p>
      <w:pPr>
        <w:spacing w:after="140"/>
        <w:ind w:left="360"/>
      </w:pPr>
      <w:r>
        <w:rPr>
          <w:b/>
          <w:bCs/>
        </w:rPr>
        <w:t xml:space="preserve">Use it for:</w:t>
      </w:r>
      <w:r>
        <w:t xml:space="preserve"> justifying sub-period and robustness checks in my evaluation.</w:t>
      </w:r>
    </w:p>
    <w:p>
      <w:pPr>
        <w:pBdr>
          <w:left w:val="single" w:color="1F4E79" w:sz="18" w:space="8"/>
        </w:pBdr>
        <w:shd w:fill="F2F6FA" w:color="auto" w:val="clear"/>
        <w:spacing w:after="40" w:before="120"/>
        <w:ind w:left="360"/>
      </w:pPr>
      <w:r>
        <w:rPr>
          <w:i/>
          <w:iCs/>
        </w:rPr>
        <w:t xml:space="preserve">“These results demonstrate that neither the nominal nor the real price of oil follows a random walk.”</w:t>
      </w:r>
      <w:r>
        <w:rPr>
          <w:b/>
          <w:bCs/>
          <w:color w:val="1F4E79"/>
        </w:rPr>
        <w:t xml:space="preserve">  (Section 14, p. 68)</w:t>
      </w:r>
    </w:p>
    <w:p>
      <w:pPr>
        <w:spacing w:after="140"/>
        <w:ind w:left="360"/>
      </w:pPr>
      <w:r>
        <w:rPr>
          <w:b/>
          <w:bCs/>
        </w:rPr>
        <w:t xml:space="preserve">Use it for:</w:t>
      </w:r>
      <w:r>
        <w:t xml:space="preserve"> showing it's worth trying to forecast oil at all.</w:t>
      </w:r>
    </w:p>
    <w:p>
      <w:pPr>
        <w:pBdr>
          <w:left w:val="single" w:color="1F4E79" w:sz="18" w:space="8"/>
        </w:pBdr>
        <w:shd w:fill="F2F6FA" w:color="auto" w:val="clear"/>
        <w:spacing w:after="40" w:before="120"/>
        <w:ind w:left="360"/>
      </w:pPr>
      <w:r>
        <w:rPr>
          <w:b/>
          <w:bCs/>
          <w:color w:val="C00000"/>
        </w:rPr>
        <w:t xml:space="preserve">★ </w:t>
      </w:r>
      <w:r>
        <w:rPr>
          <w:i/>
          <w:iCs/>
        </w:rPr>
        <w:t xml:space="preserve">“One concern is that in small samples simple parsimonious forecasting models such as the no-change forecast often have lower MSPE than forecasts from larger-dimensional models suggested by economic theory.”</w:t>
      </w:r>
      <w:r>
        <w:rPr>
          <w:b/>
          <w:bCs/>
          <w:color w:val="1F4E79"/>
        </w:rPr>
        <w:t xml:space="preserve">  (Section 14, p. 68)</w:t>
      </w:r>
    </w:p>
    <w:p>
      <w:pPr>
        <w:spacing w:after="140"/>
        <w:ind w:left="360"/>
      </w:pPr>
      <w:r>
        <w:rPr>
          <w:b/>
          <w:bCs/>
        </w:rPr>
        <w:t xml:space="preserve">Use it for:</w:t>
      </w:r>
      <w:r>
        <w:t xml:space="preserve"> why a complex ML model may not beat the always-hold baseline, and why I need regularisation.</w:t>
      </w:r>
    </w:p>
    <w:p>
      <w:pPr>
        <w:pBdr>
          <w:left w:val="single" w:color="1F4E79" w:sz="18" w:space="8"/>
        </w:pBdr>
        <w:shd w:fill="F2F6FA" w:color="auto" w:val="clear"/>
        <w:spacing w:after="40" w:before="120"/>
        <w:ind w:left="360"/>
      </w:pPr>
      <w:r>
        <w:rPr>
          <w:i/>
          <w:iCs/>
        </w:rPr>
        <w:t xml:space="preserve">“All these forecasting successes, however, were driven entirely by the 2008/09 recession.”</w:t>
      </w:r>
      <w:r>
        <w:rPr>
          <w:b/>
          <w:bCs/>
          <w:color w:val="1F4E79"/>
        </w:rPr>
        <w:t xml:space="preserve">  (Section 14, p. 70)</w:t>
      </w:r>
    </w:p>
    <w:p>
      <w:pPr>
        <w:spacing w:after="140"/>
        <w:ind w:left="360"/>
      </w:pPr>
      <w:r>
        <w:rPr>
          <w:b/>
          <w:bCs/>
        </w:rPr>
        <w:t xml:space="preserve">Use it for:</w:t>
      </w:r>
      <w:r>
        <w:t xml:space="preserve"> the single-episode warning, in its shortest form.</w:t>
      </w:r>
    </w:p>
    <w:p>
      <w:pPr>
        <w:pStyle w:val="Heading1"/>
      </w:pPr>
      <w:r>
        <w:t xml:space="preserve">Results at a Glance: What Beats the No-Change Forecast?</w:t>
      </w:r>
    </w:p>
    <w:p>
      <w:pPr>
        <w:spacing w:after="120"/>
      </w:pPr>
      <w:r>
        <w:t xml:space="preserve">MSPE ratio below 1 = better than no-change. All monthly data, evaluation roughly 1991–2009.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526"/>
        <w:gridCol w:w="2300"/>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Method</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Section</w:t>
            </w:r>
          </w:p>
        </w:tc>
        <w:tc>
          <w:tcPr>
            <w:tcW w:type="dxa" w:w="3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Result vs no-change</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Use for me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Monthly futures price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5.1</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Slightly lower MSPE, none significant. Direction worse than a coin at 1 and 3 months.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a benchmark or main predictor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Futures–spot spread models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5.1</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significant gain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Curve slope only as a tightness feature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Drift / local drift (momentum)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5.2.1</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Usually worse, never significantly better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Momentum baseline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Hotelling (interest rate)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5.2.2</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gain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Consensus survey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5.2.3</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better; poor at 3 months (1.519)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Motivation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Commodity-currency FX (AUD, CAD)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5.2.4</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AUD ~13% gain to 3 months; CAD ~7% to 6 months (h-month change version)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Model A features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CRB raw materials / metals (h-month change)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5.2.4</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Significant gains at 1–3 months, up to 22–25% at 3 months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Model A features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Daily futures (12-month)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5.3</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0.93, significant only with the full sample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Sample sensitivity warning</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Long-horizon futures (2–7 years)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Worse than no-change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Futures only if spread &gt; 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0–6% gains at short horizons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Supports a hold zone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EIA forecasts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0.92 at 1 quarter (10% level); 0.97 at 4 quarters (not significant)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Motivation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 / ARMA (real RAC)</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8.1</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 to 17% at short horizons; nothing beyond 6 months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Simple-model baseline idea</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Kilian–Murphy VAR (real RAC)</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8.1</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Significant gains at 1, 3, 6 months; inventories and global activity matter most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Model A must include these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Same VAR, real-time data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8.1.2</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 to 25% at 1 month, 9% at 3 months; success ratio 0.51–0.60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Realistic accuracy target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Bayesian VAR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8.3</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 at 1 month, 12% at 3 months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Supports regularisation</w:t>
            </w:r>
          </w:p>
        </w:tc>
      </w:tr>
    </w:tbl>
    <w:p>
      <w:pPr>
        <w:spacing w:after="120"/>
      </w:pPr>
    </w:p>
    <w:p>
      <w:pPr>
        <w:pStyle w:val="Heading1"/>
      </w:pPr>
      <w:r>
        <w:t xml:space="preserve">How to Evaluate My Model the Way This Paper Does</w:t>
      </w:r>
    </w:p>
    <w:p>
      <w:pPr>
        <w:spacing w:after="120"/>
      </w:pPr>
      <w:r>
        <w:t xml:space="preserve">This is the most practical part of the paper for me. A checklist for my evaluation chapter: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4426"/>
      </w:tblGrid>
      <w:tr>
        <w:trPr>
          <w:tblHeader/>
        </w:trPr>
        <w:tc>
          <w:tcPr>
            <w:tcW w:type="dxa" w:w="3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Paper's practice</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Where</w:t>
            </w:r>
          </w:p>
        </w:tc>
        <w:tc>
          <w:tcPr>
            <w:tcW w:type="dxa" w:w="4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My version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No-change forecast as the benchmark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5.1, eq. (1)</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Always-hold</w:t>
            </w:r>
            <w:r>
              <w:rPr>
                <w:b w:val="false"/>
                <w:bCs w:val="false"/>
                <w:sz w:val="19"/>
                <w:szCs w:val="19"/>
              </w:rPr>
              <w:t xml:space="preserve"> baseline. Plus a momentum baseline (local drift, eq. 9) and a class-frequency random baseline.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Report results as a ratio to the benchmark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Tables 4–19</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Accuracy / macro-F1 of each model relative to always-hold.</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Success ratio + Pesaran–Timmermann test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5.1, Table 4 notes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Directional accuracy on weeks the model calls buy or sell, with the PT test.</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DM test (normal critical values) only for non-nested models without estimated parameters; bootstrap otherwise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Table 4 notes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My models all have estimated parameters and A ⊂ B ⊂ C are nested, so </w:t>
            </w:r>
            <w:r>
              <w:rPr>
                <w:b w:val="false"/>
                <w:bCs w:val="false"/>
                <w:sz w:val="19"/>
                <w:szCs w:val="19"/>
              </w:rPr>
              <w:t xml:space="preserve">bootstrap the DM statistic</w:t>
            </w:r>
            <w:r>
              <w:rPr>
                <w:b w:val="false"/>
                <w:bCs w:val="false"/>
                <w:sz w:val="19"/>
                <w:szCs w:val="19"/>
              </w:rPr>
              <w:t xml:space="preserve"> or at least flag marginal p-values.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Treat marginal rejections with caution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5.1, 8.1.1</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Report effect sizes; don't celebrate p = 0.08.</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Recursive (expanding) estimation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8.1.1</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Expanding-window walk-forward as main design; rolling as a robustness check.</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Real-time data and publication lags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8.1.2</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Lag every feature to its release date; check LLM look-ahead.</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Non-overlapping / serially correlated errors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6, 12.3</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observation per week for testing, or a HAC correction.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Check sensitivity to sample period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5.3, 6, 14</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Results by sub-period (e.g. pre-2022, 2022–25, 2026).</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Exclude the dominant episode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11.2, Table 20</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Results with and without 2022 and 2026 crisis windows; cumulative-loss plot.</w:t>
            </w:r>
          </w:p>
        </w:tc>
      </w:tr>
    </w:tbl>
    <w:p>
      <w:pPr>
        <w:spacing w:after="120"/>
      </w:pPr>
    </w:p>
    <w:p>
      <w:pPr>
        <w:pStyle w:val="Heading1"/>
      </w:pPr>
      <w:r>
        <w:t xml:space="preserve">References Worth Following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Paper</w:t>
            </w:r>
          </w:p>
        </w:tc>
        <w:tc>
          <w:tcPr>
            <w:tcW w:type="dxa" w:w="4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Why</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Diebold, F.X. and Mariano, R.S. (1995) “Comparing Predictive Accuracy”, JBES 13, 253–263</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original DM test paper.</w:t>
            </w:r>
            <w:r>
              <w:rPr>
                <w:b w:val="false"/>
                <w:bCs w:val="false"/>
                <w:sz w:val="19"/>
                <w:szCs w:val="19"/>
              </w:rPr>
              <w:t xml:space="preserve"> I must cite it directly, not just via this chapter.</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Pesaran, M.H. and Timmermann, A. (2009) “Testing Dependence Among Serially Correlated Multicategory Variables”, JASA</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directional test used here. It handles </w:t>
            </w:r>
            <w:r>
              <w:rPr>
                <w:b w:val="false"/>
                <w:bCs w:val="false"/>
                <w:sz w:val="19"/>
                <w:szCs w:val="19"/>
              </w:rPr>
              <w:t xml:space="preserve">multiple categories</w:t>
            </w:r>
            <w:r>
              <w:rPr>
                <w:b w:val="false"/>
                <w:bCs w:val="false"/>
                <w:sz w:val="19"/>
                <w:szCs w:val="19"/>
              </w:rPr>
              <w:t xml:space="preserve">, so it fits buy/hold/sell. Check whether it suits my 3-class case.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Clark, T.E. and West, K.D. (2007) “Approximately Normal Tests for Equal Predictive Accuracy in Nested Models”, J. Econometrics 138</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standard fix for comparing nested models. Cite when explaining why DM is cautious for A vs B vs C.</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Baumeister, C. and Kilian, L. (2012) “Real-Time Forecasts of the Real Price of Oil”, JBES 30(2)</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Published version of the real-time study cited here (as 2011 mimeo). Use it for the look-ahead bias point.</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Kilian, L. (2009) “Not All Oil Price Shocks Are Alike”, AER 99(3)</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global real activity index and the supply/demand shock framework.</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Chen, Rogoff &amp; Rossi (2010) “Can Exchange Rates Forecast Commodity Prices?”, QJE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Justifies AUD/CAD as features.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Inoue, A. and Kilian, L. (2004) “In-Sample or Out-of-Sample Tests of Predictability: Which One Should We Use?”, Econometric Reviews 23</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In-sample vs out-of-sample predictability.</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Elliott, G. and Timmermann, A. (2008) “Economic Forecasting”, J. Economic Literature 46</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Loss function choice. Supports a classification target.</w:t>
            </w:r>
          </w:p>
        </w:tc>
      </w:tr>
    </w:tbl>
    <w:p>
      <w:pPr>
        <w:spacing w:after="120"/>
      </w:pPr>
    </w:p>
    <w:p>
      <w:pPr>
        <w:pStyle w:val="Heading1"/>
      </w:pPr>
      <w:r>
        <w:t xml:space="preserve">Problems and Limits of This Paper (for the critical evaluation)</w:t>
      </w:r>
    </w:p>
    <w:p>
      <w:pPr>
        <w:spacing w:after="120"/>
      </w:pPr>
      <w:r>
        <w:t xml:space="preserve">A respected, careful chapter, so the critique is mostly about its age and scope. Check each point yourself before writing it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500"/>
        <w:gridCol w:w="3426"/>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t>
            </w: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Limit</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Where</w:t>
            </w:r>
          </w:p>
        </w:tc>
        <w:tc>
          <w:tcPr>
            <w:tcW w:type="dxa" w:w="3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How it relates to my project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version I read is a 2011 working paper; the Handbook chapter (2013) was revised. Numbers and wording may differ.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Whole paper</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Cite the version I actually used, or check against the Handbook.</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 end in 2009/10. Doesn't cover the shale boom, the 2014–16 crash, OPEC+, COVID and negative WTI (2020), 2022, or 2026.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Throughout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no-change result may not hold in the same way today. My test period covers newer episodes.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Mostly WTI and US RAC. Brent is only mentioned in a footnote, with a shorter sample (p. 23).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5.1 fn 19</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 use Brent; their footnote says results are qualitatively similar, which helps.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Only econometric models (AR, VAR, regressions) and surveys. </w:t>
            </w:r>
            <w:r>
              <w:rPr>
                <w:b w:val="false"/>
                <w:bCs w:val="false"/>
                <w:sz w:val="19"/>
                <w:szCs w:val="19"/>
              </w:rPr>
              <w:t xml:space="preserve">No machine learning, no news or text data, no direct geopolitical measures.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Throughout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gap my project fills:</w:t>
            </w:r>
            <w:r>
              <w:rPr>
                <w:b w:val="false"/>
                <w:bCs w:val="false"/>
                <w:sz w:val="19"/>
                <w:szCs w:val="19"/>
              </w:rPr>
              <w:t xml:space="preserve"> new predictor types tested against their benchmark.</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Shortest model horizon is 1 month. Nothing on weekly forecasts.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5–8</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My 5-day horizon is shorter than anything tested; I can't assume their results transfer directly.</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Mainly MSPE. Direction is secondary, and there's no trading or economic evaluation (returns, Sharpe ratio).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Throughout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 evaluate direction directly, and could add a simple trading-return check.</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Key real-time claims (“robust to the use of real time data”, p. 68) rely on a separate paper, not shown here.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8.1.2, 14</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Cite Baumeister &amp; Kilian (2012) directly for real-time results.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Several results “not shown to conserve space” (e.g. pp. 27, 38).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5.2.4, 8.1</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Can't verify those numbers; don't quote them as precise.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significance tests for the nonlinear GDP models (p. 54).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11.2</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Shows that leaving out tests weakens claims — I should run mine.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PT sign test can't be applied when a forecast never changes sign (no-change, Hotelling): the success ratio is N.A.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Table 4 notes, fn 23</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My always-hold baseline has no directional test either. Compare models to it with DM on a classification loss instead.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Small slips: cross-references to “section 4” for survey and inflation results that are in Section 5 (pp. 34–35); calls model (22) “unrestricted” on p. 55, but Table 19b labels it restricted.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7, 11.2</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Minor. Only worth noting to show careful reading.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Heavily based on the authors' own models and datasets (Kilian index, Kilian–Murphy VAR).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4, 8, 9</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wrong, but present the evidence as one school's view and cite others where possible.</w:t>
            </w:r>
          </w:p>
        </w:tc>
      </w:tr>
    </w:tbl>
    <w:p>
      <w:pPr>
        <w:spacing w:after="120"/>
      </w:pPr>
    </w:p>
    <w:p>
      <w:pPr>
        <w:pStyle w:val="Heading1"/>
      </w:pPr>
      <w:r>
        <w:t xml:space="preserve">Summary — Key Takeaways and Checklist</w:t>
      </w:r>
    </w:p>
    <w:p>
      <w:pPr>
        <w:pStyle w:val="Heading3"/>
      </w:pPr>
      <w:r>
        <w:t xml:space="preserve">How this paper compares with my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Alquist, Kilian &amp; Vigfusson (2013)</w:t>
            </w:r>
          </w:p>
        </w:tc>
        <w:tc>
          <w:tcPr>
            <w:tcW w:type="dxa" w:w="3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My project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Type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Survey + large forecast comparison</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ML forecasting system with ablation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Target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Monthly WTI / RAC level, nominal and real</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Weekly Brent direction (buy/hold/sell, ±1.5% over 5 days), nominal</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Horizons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 month to 7 years</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 trading days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Predictors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Futures, surveys, macro, commodity prices, FX, oil market VAR variables</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Fundamentals (Model A) + LLM supply-risk scores (B) + JWC flag (C)</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Benchmark</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No-change forecast</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Always hold (= no-change), plus momentum</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Evaluation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Recursive out-of-sample; MSPE ratio, success ratio, DM, PT, bootstrap</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Walk-forward; accuracy/F1 vs baseline, DM, PT, SHAP, ablation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Main lesson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No-change is very hard to beat; gains only at short horizons; results often driven by one episode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Must beat always-hold; check gains aren't just 2022/2026</w:t>
            </w:r>
          </w:p>
        </w:tc>
      </w:tr>
    </w:tbl>
    <w:p>
      <w:pPr>
        <w:spacing w:after="120"/>
      </w:pPr>
    </w:p>
    <w:p>
      <w:pPr>
        <w:pStyle w:val="Heading3"/>
      </w:pPr>
      <w:r>
        <w:t xml:space="preserve">Three things this paper gives me</w:t>
      </w:r>
    </w:p>
    <w:p>
      <w:pPr>
        <w:pStyle w:val="ListParagraph"/>
        <w:numPr>
          <w:ilvl w:val="0"/>
          <w:numId w:val="3"/>
        </w:numPr>
        <w:spacing w:after="80"/>
      </w:pPr>
      <w:r>
        <w:rPr>
          <w:b/>
          <w:bCs/>
        </w:rPr>
        <w:t xml:space="preserve">The baseline:</w:t>
      </w:r>
      <w:r>
        <w:t xml:space="preserve"> the no-change forecast is the standard benchmark in oil forecasting, and my always-hold signal is exactly that benchmark in direction form.</w:t>
      </w:r>
    </w:p>
    <w:p>
      <w:pPr>
        <w:pStyle w:val="ListParagraph"/>
        <w:numPr>
          <w:ilvl w:val="0"/>
          <w:numId w:val="3"/>
        </w:numPr>
        <w:spacing w:after="80"/>
      </w:pPr>
      <w:r>
        <w:rPr>
          <w:b/>
          <w:bCs/>
        </w:rPr>
        <w:t xml:space="preserve">The testing rules:</w:t>
      </w:r>
      <w:r>
        <w:t xml:space="preserve"> DM and PT tests, caution with nested models and marginal p-values, real-time data, expanding windows.</w:t>
      </w:r>
    </w:p>
    <w:p>
      <w:pPr>
        <w:pStyle w:val="ListParagraph"/>
        <w:numPr>
          <w:ilvl w:val="0"/>
          <w:numId w:val="3"/>
        </w:numPr>
        <w:spacing w:after="80"/>
      </w:pPr>
      <w:r>
        <w:rPr>
          <w:b/>
          <w:bCs/>
        </w:rPr>
        <w:t xml:space="preserve">The warnings:</w:t>
      </w:r>
      <w:r>
        <w:t xml:space="preserve"> short samples, results that vanish when the sample changes, and gains driven by a single crisis.</w:t>
      </w:r>
    </w:p>
    <w:p>
      <w:pPr>
        <w:pStyle w:val="Heading3"/>
      </w:pPr>
      <w:r>
        <w:t xml:space="preserve">Things to take into my project</w:t>
      </w:r>
    </w:p>
    <w:p>
      <w:pPr>
        <w:pStyle w:val="ListParagraph"/>
        <w:numPr>
          <w:ilvl w:val="0"/>
          <w:numId w:val="4"/>
        </w:numPr>
        <w:spacing w:after="80"/>
      </w:pPr>
      <w:r>
        <w:rPr>
          <w:b/>
          <w:bCs/>
        </w:rPr>
        <w:t xml:space="preserve">Add the always-hold baseline</w:t>
      </w:r>
      <w:r>
        <w:t xml:space="preserve"> and cite Section 5.1 (eq. 1, p. 20). Also add a </w:t>
      </w:r>
      <w:r>
        <w:rPr>
          <w:b/>
          <w:bCs/>
        </w:rPr>
        <w:t xml:space="preserve">momentum baseline</w:t>
      </w:r>
      <w:r>
        <w:t xml:space="preserve"> (Section 5.2.1, eq. 9).</w:t>
      </w:r>
    </w:p>
    <w:p>
      <w:pPr>
        <w:pStyle w:val="ListParagraph"/>
        <w:numPr>
          <w:ilvl w:val="0"/>
          <w:numId w:val="4"/>
        </w:numPr>
        <w:spacing w:after="80"/>
      </w:pPr>
      <w:r>
        <w:rPr>
          <w:b/>
          <w:bCs/>
        </w:rPr>
        <w:t xml:space="preserve">Add the Pesaran–Timmermann test</w:t>
      </w:r>
      <w:r>
        <w:t xml:space="preserve"> for directional accuracy next to the DM test. Read Pesaran &amp; Timmermann (2009) to check it works for 3 classes.</w:t>
      </w:r>
    </w:p>
    <w:p>
      <w:pPr>
        <w:pStyle w:val="ListParagraph"/>
        <w:numPr>
          <w:ilvl w:val="0"/>
          <w:numId w:val="4"/>
        </w:numPr>
        <w:spacing w:after="80"/>
      </w:pPr>
      <w:r>
        <w:rPr>
          <w:b/>
          <w:bCs/>
        </w:rPr>
        <w:t xml:space="preserve">Handle nested comparisons carefully:</w:t>
      </w:r>
      <w:r>
        <w:t xml:space="preserve"> A ⊂ B ⊂ C. Bootstrap DM p-values (e.g. block bootstrap) or at least flag marginal results; cite p. 22 and p. 40. Cite Diebold &amp; Mariano (1995) and Clark &amp; West (2007) directly.</w:t>
      </w:r>
    </w:p>
    <w:p>
      <w:pPr>
        <w:pStyle w:val="ListParagraph"/>
        <w:numPr>
          <w:ilvl w:val="0"/>
          <w:numId w:val="4"/>
        </w:numPr>
        <w:spacing w:after="80"/>
      </w:pPr>
      <w:r>
        <w:rPr>
          <w:b/>
          <w:bCs/>
        </w:rPr>
        <w:t xml:space="preserve">Use non-overlapping weekly observations</w:t>
      </w:r>
      <w:r>
        <w:t xml:space="preserve"> for testing (or a HAC correction), since 5-day targets overlap if sampled daily (p. 32).</w:t>
      </w:r>
    </w:p>
    <w:p>
      <w:pPr>
        <w:pStyle w:val="ListParagraph"/>
        <w:numPr>
          <w:ilvl w:val="0"/>
          <w:numId w:val="4"/>
        </w:numPr>
        <w:spacing w:after="80"/>
      </w:pPr>
      <w:r>
        <w:rPr>
          <w:b/>
          <w:bCs/>
        </w:rPr>
        <w:t xml:space="preserve">Build a release-date table</w:t>
      </w:r>
      <w:r>
        <w:t xml:space="preserve"> for every Model A feature and lag each one to its publication date (p. 41). Check GPT-4o mini look-ahead around its training cutoff.</w:t>
      </w:r>
    </w:p>
    <w:p>
      <w:pPr>
        <w:pStyle w:val="ListParagraph"/>
        <w:numPr>
          <w:ilvl w:val="0"/>
          <w:numId w:val="4"/>
        </w:numPr>
        <w:spacing w:after="80"/>
      </w:pPr>
      <w:r>
        <w:rPr>
          <w:b/>
          <w:bCs/>
        </w:rPr>
        <w:t xml:space="preserve">Model A features from this paper:</w:t>
      </w:r>
      <w:r>
        <w:t xml:space="preserve"> inventories change and global real activity (strongest), industrial metals / raw materials % change, AUD and CAD exchange rates.</w:t>
      </w:r>
    </w:p>
    <w:p>
      <w:pPr>
        <w:pStyle w:val="ListParagraph"/>
        <w:numPr>
          <w:ilvl w:val="0"/>
          <w:numId w:val="4"/>
        </w:numPr>
        <w:spacing w:after="80"/>
      </w:pPr>
      <w:r>
        <w:rPr>
          <w:b/>
          <w:bCs/>
        </w:rPr>
        <w:t xml:space="preserve">Single-episode check:</w:t>
      </w:r>
      <w:r>
        <w:t xml:space="preserve"> cumulative-loss plot of C vs A over time (like Figure 13) and results with/without 2022 and 2026 crisis windows (like Table 20).</w:t>
      </w:r>
    </w:p>
    <w:p>
      <w:pPr>
        <w:pStyle w:val="ListParagraph"/>
        <w:numPr>
          <w:ilvl w:val="0"/>
          <w:numId w:val="4"/>
        </w:numPr>
        <w:spacing w:after="80"/>
      </w:pPr>
      <w:r>
        <w:rPr>
          <w:b/>
          <w:bCs/>
        </w:rPr>
        <w:t xml:space="preserve">Sub-period results</w:t>
      </w:r>
      <w:r>
        <w:t xml:space="preserve"> to show stability (p. 67), and openly state the short GDELT sample as a limitation (p. 32).</w:t>
      </w:r>
    </w:p>
    <w:p>
      <w:pPr>
        <w:pStyle w:val="ListParagraph"/>
        <w:numPr>
          <w:ilvl w:val="0"/>
          <w:numId w:val="4"/>
        </w:numPr>
        <w:spacing w:after="80"/>
      </w:pPr>
      <w:r>
        <w:rPr>
          <w:b/>
          <w:bCs/>
        </w:rPr>
        <w:t xml:space="preserve">Report effect sizes</w:t>
      </w:r>
      <w:r>
        <w:t xml:space="preserve">, not just p-values (p. 29); a realistic direction target is ~51–60% (p. 41).</w:t>
      </w:r>
    </w:p>
    <w:p>
      <w:pPr>
        <w:pStyle w:val="ListParagraph"/>
        <w:numPr>
          <w:ilvl w:val="0"/>
          <w:numId w:val="4"/>
        </w:numPr>
        <w:spacing w:after="80"/>
      </w:pPr>
      <w:r>
        <w:rPr>
          <w:b/>
          <w:bCs/>
        </w:rPr>
        <w:t xml:space="preserve">Define “risk” properly:</w:t>
      </w:r>
      <w:r>
        <w:t xml:space="preserve"> my scores measure upside supply risk, not volatility (Section 12).</w:t>
      </w:r>
    </w:p>
    <w:p>
      <w:pPr>
        <w:pStyle w:val="Heading3"/>
      </w:pPr>
      <w:r>
        <w:t xml:space="preserve">Must-cite lines (shortlist)</w:t>
      </w:r>
    </w:p>
    <w:p>
      <w:pPr>
        <w:pStyle w:val="ListParagraph"/>
        <w:numPr>
          <w:ilvl w:val="0"/>
          <w:numId w:val="2"/>
        </w:numPr>
        <w:spacing w:after="60"/>
      </w:pPr>
      <w:r>
        <w:t xml:space="preserve">Out-of-sample vs in-sample (Section 1, p. 2)</w:t>
      </w:r>
    </w:p>
    <w:p>
      <w:pPr>
        <w:pStyle w:val="ListParagraph"/>
        <w:numPr>
          <w:ilvl w:val="0"/>
          <w:numId w:val="2"/>
        </w:numPr>
        <w:spacing w:after="60"/>
      </w:pPr>
      <w:r>
        <w:t xml:space="preserve">No-change forecast definition (Section 5.1, p. 20)</w:t>
      </w:r>
    </w:p>
    <w:p>
      <w:pPr>
        <w:pStyle w:val="ListParagraph"/>
        <w:numPr>
          <w:ilvl w:val="0"/>
          <w:numId w:val="2"/>
        </w:numPr>
        <w:spacing w:after="60"/>
      </w:pPr>
      <w:r>
        <w:t xml:space="preserve">Loss function matters (Section 5.1, p. 21)</w:t>
      </w:r>
    </w:p>
    <w:p>
      <w:pPr>
        <w:pStyle w:val="ListParagraph"/>
        <w:numPr>
          <w:ilvl w:val="0"/>
          <w:numId w:val="2"/>
        </w:numPr>
        <w:spacing w:after="60"/>
      </w:pPr>
      <w:r>
        <w:t xml:space="preserve">Nested-model tests over-reject (Section 5.1, p. 22)</w:t>
      </w:r>
    </w:p>
    <w:p>
      <w:pPr>
        <w:pStyle w:val="ListParagraph"/>
        <w:numPr>
          <w:ilvl w:val="0"/>
          <w:numId w:val="2"/>
        </w:numPr>
        <w:spacing w:after="60"/>
      </w:pPr>
      <w:r>
        <w:t xml:space="preserve">Futures no better than no-change (Section 5.1, p. 22)</w:t>
      </w:r>
    </w:p>
    <w:p>
      <w:pPr>
        <w:pStyle w:val="ListParagraph"/>
        <w:numPr>
          <w:ilvl w:val="0"/>
          <w:numId w:val="2"/>
        </w:numPr>
        <w:spacing w:after="60"/>
      </w:pPr>
      <w:r>
        <w:t xml:space="preserve">BP chief economist quote (Section 5.2.3, p. 26)</w:t>
      </w:r>
    </w:p>
    <w:p>
      <w:pPr>
        <w:pStyle w:val="ListParagraph"/>
        <w:numPr>
          <w:ilvl w:val="0"/>
          <w:numId w:val="2"/>
        </w:numPr>
        <w:spacing w:after="60"/>
      </w:pPr>
      <w:r>
        <w:t xml:space="preserve">Fifteen years is insufficient (Section 6, p. 32)</w:t>
      </w:r>
    </w:p>
    <w:p>
      <w:pPr>
        <w:pStyle w:val="ListParagraph"/>
        <w:numPr>
          <w:ilvl w:val="0"/>
          <w:numId w:val="2"/>
        </w:numPr>
        <w:spacing w:after="60"/>
      </w:pPr>
      <w:r>
        <w:t xml:space="preserve">Inventories and global activity matter most (Section 8.1.1, p. 39)</w:t>
      </w:r>
    </w:p>
    <w:p>
      <w:pPr>
        <w:pStyle w:val="ListParagraph"/>
        <w:numPr>
          <w:ilvl w:val="0"/>
          <w:numId w:val="2"/>
        </w:numPr>
        <w:spacing w:after="60"/>
      </w:pPr>
      <w:r>
        <w:t xml:space="preserve">Real-time data caveat (Section 8.1.2, p. 41)</w:t>
      </w:r>
    </w:p>
    <w:p>
      <w:pPr>
        <w:pStyle w:val="ListParagraph"/>
        <w:numPr>
          <w:ilvl w:val="0"/>
          <w:numId w:val="2"/>
        </w:numPr>
        <w:spacing w:after="60"/>
      </w:pPr>
      <w:r>
        <w:t xml:space="preserve">Gains driven by one episode; out-of-sample doesn't stop overfitting (Section 11.2, p. 56)</w:t>
      </w:r>
    </w:p>
    <w:p>
      <w:pPr>
        <w:pStyle w:val="ListParagraph"/>
        <w:numPr>
          <w:ilvl w:val="0"/>
          <w:numId w:val="2"/>
        </w:numPr>
        <w:spacing w:after="60"/>
      </w:pPr>
      <w:r>
        <w:t xml:space="preserve">Results vanish when the sample is extended (Section 14, p. 67)</w:t>
      </w:r>
    </w:p>
    <w:p>
      <w:pPr>
        <w:pStyle w:val="ListParagraph"/>
        <w:numPr>
          <w:ilvl w:val="0"/>
          <w:numId w:val="2"/>
        </w:numPr>
        <w:spacing w:after="60"/>
      </w:pPr>
      <w:r>
        <w:t xml:space="preserve">Simple models often beat bigger ones in small samples (Section 14, p. 68)</w:t>
      </w:r>
    </w:p>
    <w:p>
      <w:pPr>
        <w:pStyle w:val="Heading3"/>
      </w:pPr>
      <w:r>
        <w:t xml:space="preserve">Where it fits in my dissertation</w:t>
      </w:r>
    </w:p>
    <w:p>
      <w:pPr>
        <w:spacing w:after="120"/>
      </w:pPr>
      <w:r>
        <w:rPr>
          <w:b/>
          <w:bCs/>
        </w:rPr>
        <w:t xml:space="preserve">Lit review:</w:t>
      </w:r>
      <w:r>
        <w:t xml:space="preserve"> in a section on “Forecasting oil prices”, after the drivers section (B&amp;K 2016). Story: oil is very hard to forecast → the no-change forecast beats futures, surveys and experts (this paper) → small short-horizon gains come from fundamentals like inventories and global activity → but no study here uses news or geopolitical measures → recent text/LLM work (Cao et al. 2026, AI-GPR) starts to → my project tests LLM supply-risk scores against the no-change benchmark.</w:t>
      </w:r>
    </w:p>
    <w:p>
      <w:pPr>
        <w:spacing w:after="120"/>
      </w:pPr>
      <w:r>
        <w:rPr>
          <w:b/>
          <w:bCs/>
        </w:rPr>
        <w:t xml:space="preserve">Methodology / evaluation chapter:</w:t>
      </w:r>
      <w:r>
        <w:t xml:space="preserve"> this is the main citation for the baseline, the walk-forward design choice, the tests and the robustness checks.</w:t>
      </w:r>
    </w:p>
    <w:p>
      <w:pPr>
        <w:pStyle w:val="Heading3"/>
      </w:pPr>
      <w:r>
        <w:t xml:space="preserve">My one-line difference from this paper</w:t>
      </w:r>
    </w:p>
    <w:p>
      <w:pPr>
        <w:spacing w:after="120"/>
      </w:pPr>
      <w:r>
        <w:rPr>
          <w:b/>
          <w:bCs/>
        </w:rPr>
        <w:t xml:space="preserve">Alquist, Kilian &amp; Vigfusson show that econometric models, futures and experts rarely beat the no-change forecast of monthly oil prices; my project tests whether news-based LLM supply-risk scores can beat that same benchmark for weekly Brent direction, using their evaluation rules and checking the gains aren't driven by a single crisis.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Alquist, Kilian &amp; Vigfusson (2013) — Paper Notes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b/>
      <w:bCs/>
      <w:color w:val="1F4E79"/>
      <w:sz w:val="40"/>
      <w:szCs w:val="40"/>
    </w:rPr>
  </w:style>
  <w:style w:type="paragraph" w:styleId="Heading1">
    <w:name w:val="Heading 1"/>
    <w:basedOn w:val="Normal"/>
    <w:next w:val="Normal"/>
    <w:qFormat/>
    <w:pPr>
      <w:pBdr>
        <w:bottom w:val="single" w:color="BFBFBF" w:sz="6" w:space="4"/>
      </w:pBdr>
      <w:spacing w:after="140" w:before="360"/>
      <w:outlineLvl w:val="0"/>
    </w:pPr>
    <w:rPr>
      <w:b/>
      <w:bCs/>
      <w:color w:val="1F4E79"/>
      <w:sz w:val="30"/>
      <w:szCs w:val="30"/>
    </w:rPr>
  </w:style>
  <w:style w:type="paragraph" w:styleId="Heading2">
    <w:name w:val="Heading 2"/>
    <w:basedOn w:val="Normal"/>
    <w:next w:val="Normal"/>
    <w:qFormat/>
    <w:pPr>
      <w:spacing w:after="100" w:before="240"/>
      <w:outlineLvl w:val="1"/>
    </w:pPr>
    <w:rPr>
      <w:b/>
      <w:bCs/>
      <w:color w:val="2E75B6"/>
      <w:sz w:val="25"/>
      <w:szCs w:val="25"/>
    </w:rPr>
  </w:style>
  <w:style w:type="paragraph" w:styleId="Heading3">
    <w:name w:val="Heading 3"/>
    <w:basedOn w:val="Normal"/>
    <w:next w:val="Normal"/>
    <w:qFormat/>
    <w:pPr>
      <w:spacing w:after="80" w:before="20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Alquist, Kilian &amp; Vigfusson (2013) — Paper Notes</dc:title>
  <dc:creator>Ali</dc:creator>
  <cp:lastModifiedBy>Un-named</cp:lastModifiedBy>
  <cp:revision>1</cp:revision>
  <dcterms:created xsi:type="dcterms:W3CDTF">2026-10-19T15:44:52.087Z</dcterms:created>
  <dcterms:modified xsi:type="dcterms:W3CDTF">2026-10-19T15:44:52.087Z</dcterms:modified>
</cp:coreProperties>
</file>

<file path=docProps/custom.xml><?xml version="1.0" encoding="utf-8"?>
<Properties xmlns="http://schemas.openxmlformats.org/officeDocument/2006/custom-properties" xmlns:vt="http://schemas.openxmlformats.org/officeDocument/2006/docPropsVTypes"/>
</file>