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Baumeister &amp; Kilian (2016) — Paper Notes</w:t>
      </w:r>
    </w:p>
    <w:p>
      <w:pPr>
        <w:spacing w:after="120"/>
      </w:pPr>
      <w:r>
        <w:t xml:space="preserve">Notes on “Forty Years of Oil Price Fluctuations: Why the Price of Oil May Still Surprise Us” (Journal of Economic Perspectives, 2016). What drives oil prices, where it challenges my project, what to take from it, and the exact lines to quote.</w:t>
      </w:r>
    </w:p>
    <w:p>
      <w:pPr>
        <w:spacing w:after="120"/>
      </w:pPr>
      <w:r>
        <w:t xml:space="preserve">19 October 2026 · Ali</w:t>
      </w:r>
    </w:p>
    <w:p>
      <w:pPr>
        <w:pStyle w:val="Heading3"/>
      </w:pPr>
      <w:r>
        <w:t xml:space="preserve">Reference</w:t>
      </w:r>
    </w:p>
    <w:p>
      <w:pPr>
        <w:spacing w:after="120"/>
      </w:pPr>
      <w:r>
        <w:rPr>
          <w:b/>
          <w:bCs/>
        </w:rPr>
        <w:t xml:space="preserve">Harvard:</w:t>
      </w:r>
      <w:r>
        <w:t xml:space="preserve"> Baumeister, C. and Kilian, L. (2016) ‘Forty years of oil price fluctuations: why the price of oil may still surprise us’, Journal of Economic Perspectives, 30(1), pp. 139–160. doi:10.1257/jep.30.1.139.</w:t>
      </w:r>
    </w:p>
    <w:p>
      <w:pPr>
        <w:spacing w:after="120"/>
      </w:pPr>
      <w:r>
        <w:rPr>
          <w:b/>
          <w:bCs/>
        </w:rPr>
        <w:t xml:space="preserve">IEEE:</w:t>
      </w:r>
      <w:r>
        <w:t xml:space="preserve"> C. Baumeister and L. Kilian, “Forty years of oil price fluctuations: Why the price of oil may still surprise us,” J. Econ. Perspect., vol. 30, no. 1, pp. 139–160, 2016, doi: 10.1257/jep.30.1.139.</w:t>
      </w:r>
    </w:p>
    <w:p>
      <w:pPr>
        <w:pStyle w:val="Heading3"/>
      </w:pPr>
      <w:r>
        <w:t xml:space="preserve">How to use these notes</w:t>
      </w:r>
    </w:p>
    <w:p>
      <w:pPr>
        <w:pStyle w:val="ListParagraph"/>
        <w:numPr>
          <w:ilvl w:val="0"/>
          <w:numId w:val="2"/>
        </w:numPr>
        <w:spacing w:after="60"/>
      </w:pPr>
      <w:r>
        <w:t xml:space="preserve">The paper has no section numbers, so I use its own section headings. Page numbers run 139–160.</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or limits of the paper, or places it pushes back on my project. Use them in the critical evaluation.</w:t>
      </w:r>
    </w:p>
    <w:p>
      <w:pPr>
        <w:pBdr>
          <w:left w:val="single" w:color="C55A11" w:sz="18" w:space="8"/>
        </w:pBdr>
        <w:shd w:fill="FDF3E7" w:color="auto" w:val="clear"/>
        <w:spacing w:after="120" w:before="100"/>
        <w:ind w:left="360"/>
      </w:pPr>
      <w:r>
        <w:rPr>
          <w:b/>
          <w:bCs/>
        </w:rPr>
        <w:t xml:space="preserve">Note on what this paper is:</w:t>
      </w:r>
      <w:r>
        <w:t xml:space="preserve"> a review article, not a forecasting study. It explains why oil prices moved over 1973–2015 and why they're hard to predict. It does </w:t>
      </w:r>
      <w:r>
        <w:rPr>
          <w:b/>
          <w:bCs/>
        </w:rPr>
        <w:t xml:space="preserve">not</w:t>
      </w:r>
      <w:r>
        <w:t xml:space="preserve"> test forecasting models or set out the no-change benchmark in detail. For that, the papers to cite are in its reference list: Alquist, Kilian &amp; Vigfusson (2013) “Forecasting the Price of Oil” (Handbook of Economic Forecasting), and Baumeister &amp; Kilian (2012, 2014, 2015b). Its real value for me is the </w:t>
      </w:r>
      <w:r>
        <w:rPr>
          <w:b/>
          <w:bCs/>
        </w:rPr>
        <w:t xml:space="preserve">background on what drives oil prices</w:t>
      </w:r>
      <w:r>
        <w:t xml:space="preserve">, and a strong </w:t>
      </w:r>
      <w:r>
        <w:rPr>
          <w:b/>
          <w:bCs/>
        </w:rPr>
        <w:t xml:space="preserve">counter-argument</w:t>
      </w:r>
      <w:r>
        <w:t xml:space="preserve"> I have to answer.</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Baumeister &amp; Kilian (2016)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Journal of Economic Perspectives 30(1), Winter 2016. A top-tier, invited review journal written for a general economics audience.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 of the leading oil-market economists. Kilian (2009, AER) is the key paper on separating oil demand and supply shocks.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Question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caused the big oil price swings since 1973, and why do prices still surprise everyone?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Narrative history backed by their structural VAR models (mostly Kilian &amp; Murphy 2014). Compares four ways of measuring price expectations.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Price used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Mostly WTI, monthly/quarterly, real (inflation-adjusted), 1974–2015. Notes Brent is now the world benchmark.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finding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 major oil price moves came from </w:t>
            </w:r>
            <w:r>
              <w:rPr>
                <w:b w:val="false"/>
                <w:bCs w:val="false"/>
                <w:sz w:val="19"/>
                <w:szCs w:val="19"/>
              </w:rPr>
              <w:t xml:space="preserve">demand</w:t>
            </w:r>
            <w:r>
              <w:rPr>
                <w:b w:val="false"/>
                <w:bCs w:val="false"/>
                <w:sz w:val="19"/>
                <w:szCs w:val="19"/>
              </w:rPr>
              <w:t xml:space="preserve"> (global economy and precautionary inventory buying), not supply disruptions. Geopolitics matters mostly </w:t>
            </w:r>
            <w:r>
              <w:rPr>
                <w:b w:val="false"/>
                <w:bCs w:val="false"/>
                <w:sz w:val="19"/>
                <w:szCs w:val="19"/>
              </w:rPr>
              <w:t xml:space="preserve">through expectations</w:t>
            </w:r>
            <w:r>
              <w:rPr>
                <w:b w:val="false"/>
                <w:bCs w:val="false"/>
                <w:sz w:val="19"/>
                <w:szCs w:val="19"/>
              </w:rPr>
              <w:t xml:space="preserve">, and only when the market is tight.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 finding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Oil prices can only be as predictable as their drivers. Wars, revolutions and recessions are hard to predict, so big surprises will keep happening.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 but as a challenge.</w:t>
            </w:r>
            <w:r>
              <w:rPr>
                <w:b w:val="false"/>
                <w:bCs w:val="false"/>
                <w:sz w:val="19"/>
                <w:szCs w:val="19"/>
              </w:rPr>
              <w:t xml:space="preserve"> My project bets on supply-risk signals. This paper says supply shocks usually matter less than demand. I need to show how my scores fit their framework (see Summary).</w:t>
            </w:r>
          </w:p>
        </w:tc>
      </w:tr>
    </w:tbl>
    <w:p>
      <w:pPr>
        <w:spacing w:after="120"/>
      </w:pPr>
    </w:p>
    <w:p>
      <w:pPr>
        <w:pStyle w:val="Heading1"/>
      </w:pPr>
      <w:r>
        <w:t xml:space="preserve">Introduction</w:t>
      </w:r>
    </w:p>
    <w:p>
      <w:pPr>
        <w:spacing w:after="80" w:before="160"/>
      </w:pPr>
      <w:r>
        <w:rPr>
          <w:b/>
          <w:bCs/>
          <w:color w:val="1F4E79"/>
        </w:rPr>
        <w:t xml:space="preserve">What it says</w:t>
      </w:r>
    </w:p>
    <w:p>
      <w:pPr>
        <w:pStyle w:val="ListParagraph"/>
        <w:numPr>
          <w:ilvl w:val="0"/>
          <w:numId w:val="2"/>
        </w:numPr>
        <w:spacing w:after="60"/>
      </w:pPr>
      <w:r>
        <w:t xml:space="preserve">The 1973/74 crisis started a new era: oil prices became free to move with supply and demand. Before that, the US price was regulated and only changed occasionally.</w:t>
      </w:r>
    </w:p>
    <w:p>
      <w:pPr>
        <w:pStyle w:val="ListParagraph"/>
        <w:numPr>
          <w:ilvl w:val="0"/>
          <w:numId w:val="2"/>
        </w:numPr>
        <w:spacing w:after="60"/>
      </w:pPr>
      <w:r>
        <w:t xml:space="preserve">WTI went from $4.31 (Sep 1973) to $10.11 (Jan 1974). They treat early 1974 as a </w:t>
      </w:r>
      <w:r>
        <w:rPr>
          <w:b/>
          <w:bCs/>
        </w:rPr>
        <w:t xml:space="preserve">structural break</w:t>
      </w:r>
      <w:r>
        <w:t xml:space="preserve">: after it, oil behaves like other industrial commodities.</w:t>
      </w:r>
    </w:p>
    <w:p>
      <w:pPr>
        <w:pStyle w:val="ListParagraph"/>
        <w:numPr>
          <w:ilvl w:val="0"/>
          <w:numId w:val="2"/>
        </w:numPr>
        <w:spacing w:after="60"/>
      </w:pPr>
      <w:r>
        <w:t xml:space="preserve">Figure 1: the real WTI price 1974–2015 swings a lot, with no clear long-run trend.</w:t>
      </w:r>
    </w:p>
    <w:p>
      <w:pPr>
        <w:pStyle w:val="ListParagraph"/>
        <w:numPr>
          <w:ilvl w:val="0"/>
          <w:numId w:val="2"/>
        </w:numPr>
        <w:spacing w:after="60"/>
      </w:pPr>
      <w:r>
        <w:rPr>
          <w:b/>
          <w:bCs/>
        </w:rPr>
        <w:t xml:space="preserve">Three drivers of oil prices</w:t>
      </w:r>
      <w:r>
        <w:t xml:space="preserve"> (the framework for the whole paper): (1) supply shocks — political events in producing countries, new fields, better technology; (2) flow demand shocks — the global business cycle; (3) inventory demand shocks — buying oil to store because people expect future shortages.</w:t>
      </w:r>
    </w:p>
    <w:p>
      <w:pPr>
        <w:pStyle w:val="ListParagraph"/>
        <w:numPr>
          <w:ilvl w:val="0"/>
          <w:numId w:val="2"/>
        </w:numPr>
        <w:spacing w:after="60"/>
      </w:pPr>
      <w:r>
        <w:t xml:space="preserve">An oil price </w:t>
      </w:r>
      <w:r>
        <w:rPr>
          <w:b/>
          <w:bCs/>
        </w:rPr>
        <w:t xml:space="preserve">shock</w:t>
      </w:r>
      <w:r>
        <w:t xml:space="preserve"> = the gap between what was expected and what happened. So how big a shock looks depends on whose expectations you use.</w:t>
      </w:r>
    </w:p>
    <w:p>
      <w:pPr>
        <w:spacing w:after="80" w:before="160"/>
      </w:pPr>
      <w:r>
        <w:rPr>
          <w:b/>
          <w:bCs/>
          <w:color w:val="1F4E79"/>
        </w:rPr>
        <w:t xml:space="preserve">What it means for my project</w:t>
      </w:r>
    </w:p>
    <w:p>
      <w:pPr>
        <w:pStyle w:val="ListParagraph"/>
        <w:numPr>
          <w:ilvl w:val="0"/>
          <w:numId w:val="2"/>
        </w:numPr>
        <w:spacing w:after="60"/>
      </w:pPr>
      <w:r>
        <w:t xml:space="preserve">The three-driver framework is the cleanest way to organise my features in the methodology chapter: supply (OPEC/EIA production, my producer scores), flow demand (global activity, USD), and inventory/precautionary demand (inventories, chokepoint scores, JWC flag, GPR).</w:t>
      </w:r>
    </w:p>
    <w:p>
      <w:pPr>
        <w:pStyle w:val="ListParagraph"/>
        <w:numPr>
          <w:ilvl w:val="0"/>
          <w:numId w:val="2"/>
        </w:numPr>
        <w:spacing w:after="60"/>
      </w:pPr>
      <w:r>
        <w:t xml:space="preserve">The 1974 break justifies starting my historical data no earlier than 1974.</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“…for all practical purposes, there was a structural break in the time series process governing the WTI price of crude oil in early 1974, with the real price of oil fluctuating in response to supply and demand shocks much like other real industrial commodity prices.”</w:t>
      </w:r>
      <w:r>
        <w:rPr>
          <w:b/>
          <w:bCs/>
          <w:color w:val="1F4E79"/>
        </w:rPr>
        <w:t xml:space="preserve">  (Introduction, p. 140)</w:t>
      </w:r>
    </w:p>
    <w:p>
      <w:pPr>
        <w:spacing w:after="140"/>
        <w:ind w:left="360"/>
      </w:pPr>
      <w:r>
        <w:rPr>
          <w:b/>
          <w:bCs/>
        </w:rPr>
        <w:t xml:space="preserve">Use it for:</w:t>
      </w:r>
      <w:r>
        <w:t xml:space="preserve"> justifying my data start date (post-1974).</w:t>
      </w:r>
    </w:p>
    <w:p>
      <w:pPr>
        <w:pBdr>
          <w:left w:val="single" w:color="1F4E79" w:sz="18" w:space="8"/>
        </w:pBdr>
        <w:shd w:fill="F2F6FA" w:color="auto" w:val="clear"/>
        <w:spacing w:after="40" w:before="120"/>
        <w:ind w:left="360"/>
      </w:pPr>
      <w:r>
        <w:rPr>
          <w:b/>
          <w:bCs/>
          <w:color w:val="C00000"/>
        </w:rPr>
        <w:t xml:space="preserve">★ </w:t>
      </w:r>
      <w:r>
        <w:rPr>
          <w:i/>
          <w:iCs/>
        </w:rPr>
        <w:t xml:space="preserve">“The literature has identified a number of potential determinants of oil price fluctuations, including: 1) shocks to global crude oil production arising from political events in oil-producing countries, the discovery of new fields, and improvements in the technology of extracting crude oil; 2) shocks to the demand for crude oil associated with unexpected changes in the global business cycle; and 3) shocks to the demand for above-ground oil inventories, reflecting shifts in expectations about future shortfalls of supply relative to demand in the global oil market.”</w:t>
      </w:r>
      <w:r>
        <w:rPr>
          <w:b/>
          <w:bCs/>
          <w:color w:val="1F4E79"/>
        </w:rPr>
        <w:t xml:space="preserve">  (Introduction, p. 140)</w:t>
      </w:r>
    </w:p>
    <w:p>
      <w:pPr>
        <w:spacing w:after="140"/>
        <w:ind w:left="360"/>
      </w:pPr>
      <w:r>
        <w:rPr>
          <w:b/>
          <w:bCs/>
        </w:rPr>
        <w:t xml:space="preserve">Use it for:</w:t>
      </w:r>
      <w:r>
        <w:t xml:space="preserve"> the framework for grouping my features into supply, demand and inventory/expectations.</w:t>
      </w:r>
    </w:p>
    <w:p>
      <w:pPr>
        <w:pBdr>
          <w:left w:val="single" w:color="1F4E79" w:sz="18" w:space="8"/>
        </w:pBdr>
        <w:shd w:fill="F2F6FA" w:color="auto" w:val="clear"/>
        <w:spacing w:after="40" w:before="120"/>
        <w:ind w:left="360"/>
      </w:pPr>
      <w:r>
        <w:rPr>
          <w:i/>
          <w:iCs/>
        </w:rPr>
        <w:t xml:space="preserve">“The gap between the price of oil that was expected and its eventual outcome represents an oil price “shock.””</w:t>
      </w:r>
      <w:r>
        <w:rPr>
          <w:b/>
          <w:bCs/>
          <w:color w:val="1F4E79"/>
        </w:rPr>
        <w:t xml:space="preserve">  (Introduction, p. 141)</w:t>
      </w:r>
    </w:p>
    <w:p>
      <w:pPr>
        <w:spacing w:after="140"/>
        <w:ind w:left="360"/>
      </w:pPr>
      <w:r>
        <w:rPr>
          <w:b/>
          <w:bCs/>
        </w:rPr>
        <w:t xml:space="preserve">Use it for:</w:t>
      </w:r>
      <w:r>
        <w:t xml:space="preserve"> defining an oil price shock in my background section.</w:t>
      </w:r>
    </w:p>
    <w:p>
      <w:pPr>
        <w:pStyle w:val="Heading1"/>
      </w:pPr>
      <w:r>
        <w:t xml:space="preserve">Historical Episodes of Major Fluctuations in the Real Price of Oil</w:t>
      </w:r>
    </w:p>
    <w:p>
      <w:pPr>
        <w:pStyle w:val="Heading2"/>
      </w:pPr>
      <w:r>
        <w:t xml:space="preserve">Opening: supply vs demand</w:t>
      </w:r>
    </w:p>
    <w:p>
      <w:pPr>
        <w:spacing w:after="80" w:before="160"/>
      </w:pPr>
      <w:r>
        <w:rPr>
          <w:b/>
          <w:bCs/>
          <w:color w:val="1F4E79"/>
        </w:rPr>
        <w:t xml:space="preserve">What it says</w:t>
      </w:r>
    </w:p>
    <w:p>
      <w:pPr>
        <w:spacing w:after="120"/>
      </w:pPr>
      <w:r>
        <w:t xml:space="preserve">Early research (Hamilton 2003) said every big oil price move came from supply disruptions caused by wars and revolutions in OPEC countries. Later research (mostly Kilian and co-authors) says supply shocks are only one cause and less important than thought. Most big moves since 1973 come from demand: mainly the global business cycle, and sometimes inventory demand when people fear future shortages. Inventory demand has been high when there's Middle East tension, low spare capacity, and strong expected growth.</w:t>
      </w:r>
    </w:p>
    <w:p>
      <w:pPr>
        <w:spacing w:after="80" w:before="160"/>
      </w:pPr>
      <w:r>
        <w:rPr>
          <w:b/>
          <w:bCs/>
          <w:color w:val="1F4E79"/>
        </w:rPr>
        <w:t xml:space="preserve">What it means for my project</w:t>
      </w:r>
    </w:p>
    <w:p>
      <w:pPr>
        <w:spacing w:after="120"/>
      </w:pPr>
      <w:r>
        <w:t xml:space="preserve">This is the debate I have to address in my lit review. My supply-risk scores could look like they belong to the “old” Hamilton view. My answer: the scores measure </w:t>
      </w:r>
      <w:r>
        <w:rPr>
          <w:b/>
          <w:bCs/>
        </w:rPr>
        <w:t xml:space="preserve">risk and expectations</w:t>
      </w:r>
      <w:r>
        <w:t xml:space="preserve"> (threats, insurance listings, chokepoint danger), which is exactly the inventory-demand channel B&amp;K say geopolitics works through. They're not just counting barrels lost.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“Initially, all major oil price fluctuations were thought to reflect disruptions of the flow of global oil production associated with exogenous political events such as wars and revolutions in OPEC member countries (for example, Hamilton 2003). Subsequent research has shown that this explanation is only one among many, and not as important as originally thought.”</w:t>
      </w:r>
      <w:r>
        <w:rPr>
          <w:b/>
          <w:bCs/>
          <w:color w:val="1F4E79"/>
        </w:rPr>
        <w:t xml:space="preserve">  (Historical Episodes, pp. 141–142)</w:t>
      </w:r>
    </w:p>
    <w:p>
      <w:pPr>
        <w:spacing w:after="140"/>
        <w:ind w:left="360"/>
      </w:pPr>
      <w:r>
        <w:rPr>
          <w:b/>
          <w:bCs/>
        </w:rPr>
        <w:t xml:space="preserve">Use it for:</w:t>
      </w:r>
      <w:r>
        <w:t xml:space="preserve"> setting up the supply-vs-demand debate. I must answer this, not hide it.</w:t>
      </w:r>
    </w:p>
    <w:p>
      <w:pPr>
        <w:pBdr>
          <w:left w:val="single" w:color="1F4E79" w:sz="18" w:space="8"/>
        </w:pBdr>
        <w:shd w:fill="F2F6FA" w:color="auto" w:val="clear"/>
        <w:spacing w:after="40" w:before="120"/>
        <w:ind w:left="360"/>
      </w:pPr>
      <w:r>
        <w:rPr>
          <w:i/>
          <w:iCs/>
        </w:rPr>
        <w:t xml:space="preserve">“In fact, most major oil price fluctuations dating back to 1973 are largely explained by shifts in the demand for crude oil…”</w:t>
      </w:r>
      <w:r>
        <w:rPr>
          <w:b/>
          <w:bCs/>
          <w:color w:val="1F4E79"/>
        </w:rPr>
        <w:t xml:space="preserve">  (Historical Episodes, p. 142)</w:t>
      </w:r>
    </w:p>
    <w:p>
      <w:pPr>
        <w:spacing w:after="140"/>
        <w:ind w:left="360"/>
      </w:pPr>
      <w:r>
        <w:rPr>
          <w:b/>
          <w:bCs/>
        </w:rPr>
        <w:t xml:space="preserve">Use it for:</w:t>
      </w:r>
      <w:r>
        <w:t xml:space="preserve"> the demand-side view, and why Model A needs demand features (global activity, USD).</w:t>
      </w:r>
    </w:p>
    <w:p>
      <w:pPr>
        <w:pBdr>
          <w:left w:val="single" w:color="1F4E79" w:sz="18" w:space="8"/>
        </w:pBdr>
        <w:shd w:fill="F2F6FA" w:color="auto" w:val="clear"/>
        <w:spacing w:after="40" w:before="120"/>
        <w:ind w:left="360"/>
      </w:pPr>
      <w:r>
        <w:rPr>
          <w:b/>
          <w:bCs/>
          <w:color w:val="C00000"/>
        </w:rPr>
        <w:t xml:space="preserve">★ </w:t>
      </w:r>
      <w:r>
        <w:rPr>
          <w:i/>
          <w:iCs/>
        </w:rPr>
        <w:t xml:space="preserve">“Historically, inventory demand has been high in times of geopolitical tension in the Middle East, low spare capacity in oil production, and strong expected global economic growth.”</w:t>
      </w:r>
      <w:r>
        <w:rPr>
          <w:b/>
          <w:bCs/>
          <w:color w:val="1F4E79"/>
        </w:rPr>
        <w:t xml:space="preserve">  (Historical Episodes, p. 142)</w:t>
      </w:r>
    </w:p>
    <w:p>
      <w:pPr>
        <w:spacing w:after="140"/>
        <w:ind w:left="360"/>
      </w:pPr>
      <w:r>
        <w:rPr>
          <w:b/>
          <w:bCs/>
        </w:rPr>
        <w:t xml:space="preserve">Use it for:</w:t>
      </w:r>
      <w:r>
        <w:t xml:space="preserve"> linking Middle East tension to price through precautionary buying. Supports my Gulf producer and Hormuz scores, and says spare capacity matters too.</w:t>
      </w:r>
    </w:p>
    <w:p>
      <w:pPr>
        <w:pStyle w:val="Heading2"/>
      </w:pPr>
      <w:r>
        <w:t xml:space="preserve">Episode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5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Episode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Price move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Usual story</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B&amp;K's explanation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1973/74 oil crisis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$4.31 → $10.11 (Sep 73–Jan 74)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Arab–Israeli war and Arab oil embargo (Hamilton)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Mostly a demand boom plus a weak dollar and US inflation eroding fixed contract prices. At most ~25% from exogenous supply shocks.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1979/80 crises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&lt;$15 → ~$40 (Sep 78–Apr 80)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Iranian Revolution cut supply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Timing doesn't fit: shortfall was Jan–Feb 1979, price only rose from May. ~1/3 inventory demand (fear of shortages, US–Iran tension), ~2/3 flow demand from a strong global economy.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1980 Iran–Iraq War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$36 → $38 (Sep 80–Jan 81)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 disruption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real supply shock, but small price effect because demand wasn't shifting.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Early 1980s + 1986 crash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Steady fall, then sharp drop in 1986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Volcker recession, conservation, new non-OPEC oil (Mexico, Norway, UK). OPEC share 53% (1973) → 43% (1980) → 28% (1985). Saudi Arabia cut output alone to hold prices, then gave up in late 1985.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1980s Tanker War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Little effect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to 30 tanker attacks a month in the Gulf, but oil was plentiful, so prices barely moved.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1990 Kuwait invasion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Sharp spike, then quick fall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Lost Iraqi and Kuwaiti output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 loss </w:t>
            </w:r>
            <w:r>
              <w:rPr>
                <w:b w:val="false"/>
                <w:bCs w:val="false"/>
                <w:sz w:val="19"/>
                <w:szCs w:val="19"/>
              </w:rPr>
              <w:t xml:space="preserve">plus</w:t>
            </w:r>
            <w:r>
              <w:rPr>
                <w:b w:val="false"/>
                <w:bCs w:val="false"/>
                <w:sz w:val="19"/>
                <w:szCs w:val="19"/>
              </w:rPr>
              <w:t xml:space="preserve"> inventory demand from fear of an attack on Saudi fields. Prices fell once US troops protected Saudi Arabia, even before output recovered.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1997–98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$25 → $11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Asian financial crisis cut demand.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2002–03 Venezuela + Iraq War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Brief spike, ~+$6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Large supply disruptions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 disruptions, but offset by other producers and little fear for Saudi fields. Price “proved resilient to geopolitical events”.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2003–mid 2008 surge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$28 → $134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Speculation (some observers)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Many small demand increases, mainly emerging Asia. “No persuasive evidence” for speculation.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2008 financial crisis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$134 → $39 (Jun 08–Feb 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Collapse in demand for industrial commodities.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2011 Libya / 2012 Iran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Libya +$3–13; Iran +$0–9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Smaller geopolitical shocks (Kilian &amp; Lee 2014 estimates).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2014/15 decline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Brent $112 → $47 (Jun 14–Jan 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Of the $49 drop to Dec 2014: $11 weaker global economy, $16 higher supply/expected supply (US shale, Canada, Russia), $9 storage-demand shock (Jul 2014), $13 weaker economy (Dec 2014).</w:t>
            </w:r>
          </w:p>
        </w:tc>
      </w:tr>
    </w:tbl>
    <w:p>
      <w:pPr>
        <w:spacing w:after="120"/>
      </w:pPr>
    </w:p>
    <w:p>
      <w:pPr>
        <w:pStyle w:val="Heading2"/>
      </w:pPr>
      <w:r>
        <w:t xml:space="preserve">1973/74 and 1979/80 — lessons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headline event isn't always the cause.</w:t>
      </w:r>
      <w:r>
        <w:t xml:space="preserve"> In 1973 there was no fighting in oil-producing countries. In 1979 the price rose months after Iranian output fell. A model that just reacts to “war” headlines can be wrong. My prompt should ask about </w:t>
      </w:r>
      <w:r>
        <w:rPr>
          <w:b/>
          <w:bCs/>
        </w:rPr>
        <w:t xml:space="preserve">effects on oil supply and shipping</w:t>
      </w:r>
      <w:r>
        <w:t xml:space="preserve">, not just conflict intensity.</w:t>
      </w:r>
    </w:p>
    <w:p>
      <w:pPr>
        <w:pStyle w:val="ListParagraph"/>
        <w:numPr>
          <w:ilvl w:val="0"/>
          <w:numId w:val="2"/>
        </w:numPr>
        <w:spacing w:after="60"/>
      </w:pPr>
      <w:r>
        <w:rPr>
          <w:b/>
          <w:bCs/>
        </w:rPr>
        <w:t xml:space="preserve">1979 is the key Iran precedent.</w:t>
      </w:r>
      <w:r>
        <w:t xml:space="preserve"> The revolution moved prices through </w:t>
      </w:r>
      <w:r>
        <w:rPr>
          <w:b/>
          <w:bCs/>
        </w:rPr>
        <w:t xml:space="preserve">expectations</w:t>
      </w:r>
      <w:r>
        <w:t xml:space="preserve">, not lost barrels. That's the strongest support in this paper for scoring risk rather than actual outages, and it's directly relevant to my 2026 Iran/Hormuz case.</w:t>
      </w:r>
    </w:p>
    <w:p>
      <w:pPr>
        <w:pBdr>
          <w:left w:val="single" w:color="1F4E79" w:sz="18" w:space="8"/>
        </w:pBdr>
        <w:shd w:fill="F2F6FA" w:color="auto" w:val="clear"/>
        <w:spacing w:after="40" w:before="120"/>
        <w:ind w:left="360"/>
      </w:pPr>
      <w:r>
        <w:rPr>
          <w:i/>
          <w:iCs/>
        </w:rPr>
        <w:t xml:space="preserve">“This explanation may conjure up images of burning oil fields, but actually there was no fighting in any of the Arab oil-producing countries in 1973 and no oil production facilities were destroyed.”</w:t>
      </w:r>
      <w:r>
        <w:rPr>
          <w:b/>
          <w:bCs/>
          <w:color w:val="1F4E79"/>
        </w:rPr>
        <w:t xml:space="preserve">  (Historical Episodes: 1973/74, p. 142)</w:t>
      </w:r>
    </w:p>
    <w:p>
      <w:pPr>
        <w:spacing w:after="140"/>
        <w:ind w:left="360"/>
      </w:pPr>
      <w:r>
        <w:rPr>
          <w:b/>
          <w:bCs/>
        </w:rPr>
        <w:t xml:space="preserve">Use it for:</w:t>
      </w:r>
      <w:r>
        <w:t xml:space="preserve"> showing that war headlines and oil supply effects aren't the same thing. Supports oil-specific scoring over general conflict measures.</w:t>
      </w:r>
    </w:p>
    <w:p>
      <w:pPr>
        <w:pBdr>
          <w:left w:val="single" w:color="1F4E79" w:sz="18" w:space="8"/>
        </w:pBdr>
        <w:shd w:fill="F2F6FA" w:color="auto" w:val="clear"/>
        <w:spacing w:after="40" w:before="120"/>
        <w:ind w:left="360"/>
      </w:pPr>
      <w:r>
        <w:rPr>
          <w:b/>
          <w:bCs/>
          <w:color w:val="C00000"/>
        </w:rPr>
        <w:t xml:space="preserve">★ </w:t>
      </w:r>
      <w:r>
        <w:rPr>
          <w:i/>
          <w:iCs/>
        </w:rPr>
        <w:t xml:space="preserve">“…this does not mean that the Iranian Revolution did not matter for the price of oil, but that it mattered because it affected oil price expectations rather than because it affected the flow of oil production.”</w:t>
      </w:r>
      <w:r>
        <w:rPr>
          <w:b/>
          <w:bCs/>
          <w:color w:val="1F4E79"/>
        </w:rPr>
        <w:t xml:space="preserve">  (Historical Episodes: 1979/80, p. 144)</w:t>
      </w:r>
    </w:p>
    <w:p>
      <w:pPr>
        <w:spacing w:after="140"/>
        <w:ind w:left="360"/>
      </w:pPr>
      <w:r>
        <w:rPr>
          <w:b/>
          <w:bCs/>
        </w:rPr>
        <w:t xml:space="preserve">Use it for:</w:t>
      </w:r>
      <w:r>
        <w:t xml:space="preserve"> the core argument that geopolitical risk works through expectations. My LLM scores measure exactly that kind of risk.</w:t>
      </w:r>
    </w:p>
    <w:p>
      <w:pPr>
        <w:pBdr>
          <w:left w:val="single" w:color="1F4E79" w:sz="18" w:space="8"/>
        </w:pBdr>
        <w:shd w:fill="F2F6FA" w:color="auto" w:val="clear"/>
        <w:spacing w:after="40" w:before="120"/>
        <w:ind w:left="360"/>
      </w:pPr>
      <w:r>
        <w:rPr>
          <w:i/>
          <w:iCs/>
        </w:rPr>
        <w:t xml:space="preserve">“…about one-third of the cumulative price increase was associated with increased inventory demand in anticipation of future oil shortages, presumably reflecting geopolitical tensions between the United States and Iran and between Iran and its neighbors…”</w:t>
      </w:r>
      <w:r>
        <w:rPr>
          <w:b/>
          <w:bCs/>
          <w:color w:val="1F4E79"/>
        </w:rPr>
        <w:t xml:space="preserve">  (Historical Episodes: 1979/80, p. 144)</w:t>
      </w:r>
    </w:p>
    <w:p>
      <w:pPr>
        <w:spacing w:after="140"/>
        <w:ind w:left="360"/>
      </w:pPr>
      <w:r>
        <w:rPr>
          <w:b/>
          <w:bCs/>
        </w:rPr>
        <w:t xml:space="preserve">Use it for:</w:t>
      </w:r>
      <w:r>
        <w:t xml:space="preserve"> putting a size on the geopolitical/precautionary channel in an Iran-driven episode.</w:t>
      </w:r>
    </w:p>
    <w:p>
      <w:pPr>
        <w:pStyle w:val="Heading2"/>
      </w:pPr>
      <w:r>
        <w:t xml:space="preserve">1980s and 1990s — lessons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Tanker War is the most important counter-example for my Hormuz case.</w:t>
      </w:r>
      <w:r>
        <w:t xml:space="preserve"> Up to 30 tanker attacks a month in the Gulf barely moved prices, because supply was plentiful. My case study has to explain why 2026 was (or wasn't) different. Likely candidates: spare capacity, inventories, insurance (JWC listing), and how much flow is at risk. Check the actual 2026 data before claiming anything.</w:t>
      </w:r>
    </w:p>
    <w:p>
      <w:pPr>
        <w:pStyle w:val="ListParagraph"/>
        <w:numPr>
          <w:ilvl w:val="0"/>
          <w:numId w:val="2"/>
        </w:numPr>
        <w:spacing w:after="60"/>
      </w:pPr>
      <w:r>
        <w:rPr>
          <w:b/>
          <w:bCs/>
        </w:rPr>
        <w:t xml:space="preserve">1990 Kuwait:</w:t>
      </w:r>
      <w:r>
        <w:t xml:space="preserve"> the price fell when the threat to Saudi fields went away, before output recovered. This is evidence that prices follow </w:t>
      </w:r>
      <w:r>
        <w:rPr>
          <w:b/>
          <w:bCs/>
        </w:rPr>
        <w:t xml:space="preserve">perceived risk</w:t>
      </w:r>
      <w:r>
        <w:t xml:space="preserve">. My scores should be able to fall quickly too, not just rise.</w:t>
      </w:r>
    </w:p>
    <w:p>
      <w:pPr>
        <w:pStyle w:val="ListParagraph"/>
        <w:numPr>
          <w:ilvl w:val="0"/>
          <w:numId w:val="2"/>
        </w:numPr>
        <w:spacing w:after="60"/>
      </w:pPr>
      <w:r>
        <w:rPr>
          <w:b/>
          <w:bCs/>
        </w:rPr>
        <w:t xml:space="preserve">OPEC behaviour:</w:t>
      </w:r>
      <w:r>
        <w:t xml:space="preserve"> Saudi Arabia acted alone as a swing producer, then reversed in 1985 and crashed the price. Supply </w:t>
      </w:r>
      <w:r>
        <w:rPr>
          <w:b/>
          <w:bCs/>
        </w:rPr>
        <w:t xml:space="preserve">increases</w:t>
      </w:r>
      <w:r>
        <w:t xml:space="preserve"> and price wars move prices too, mostly downwards. My LLM scores only measure disruption risk (upside). For good </w:t>
      </w:r>
      <w:r>
        <w:rPr>
          <w:b/>
          <w:bCs/>
        </w:rPr>
        <w:t xml:space="preserve">sell</w:t>
      </w:r>
      <w:r>
        <w:t xml:space="preserve"> signals I need OPEC policy features (production, quotas) on the downside.</w:t>
      </w:r>
    </w:p>
    <w:p>
      <w:pPr>
        <w:pStyle w:val="ListParagraph"/>
        <w:numPr>
          <w:ilvl w:val="0"/>
          <w:numId w:val="2"/>
        </w:numPr>
        <w:spacing w:after="60"/>
      </w:pPr>
      <w:r>
        <w:rPr>
          <w:b/>
          <w:bCs/>
        </w:rPr>
        <w:t xml:space="preserve">2002–03:</w:t>
      </w:r>
      <w:r>
        <w:t xml:space="preserve"> big supply disruptions in Venezuela and Iraq only added ~$6, because others made up the shortfall. Again: spare capacity decides whether disruption risk matters.</w:t>
      </w:r>
    </w:p>
    <w:p>
      <w:pPr>
        <w:pBdr>
          <w:left w:val="single" w:color="1F4E79" w:sz="18" w:space="8"/>
        </w:pBdr>
        <w:shd w:fill="F2F6FA" w:color="auto" w:val="clear"/>
        <w:spacing w:after="40" w:before="120"/>
        <w:ind w:left="360"/>
      </w:pPr>
      <w:r>
        <w:rPr>
          <w:b/>
          <w:bCs/>
          <w:color w:val="C00000"/>
        </w:rPr>
        <w:t xml:space="preserve">★ </w:t>
      </w:r>
      <w:r>
        <w:rPr>
          <w:i/>
          <w:iCs/>
        </w:rPr>
        <w:t xml:space="preserve">“Given the abundance of crude oil supplies in the world relative to oil demand, the ongoing Iran–Iraq War had little effect on the price of oil in the 1980s, notwithstanding considerable damage to oil shipping in the Persian Gulf with as many as 30 attacks on oil tankers in a given month.”</w:t>
      </w:r>
      <w:r>
        <w:rPr>
          <w:b/>
          <w:bCs/>
          <w:color w:val="1F4E79"/>
        </w:rPr>
        <w:t xml:space="preserve">  (Historical Episodes: 1980s and 1990s, p. 146)</w:t>
      </w:r>
    </w:p>
    <w:p>
      <w:pPr>
        <w:spacing w:after="140"/>
        <w:ind w:left="360"/>
      </w:pPr>
      <w:r>
        <w:rPr>
          <w:b/>
          <w:bCs/>
        </w:rPr>
        <w:t xml:space="preserve">Use it for:</w:t>
      </w:r>
      <w:r>
        <w:t xml:space="preserve"> the main counter-example for the Hormuz case study. Shows chokepoint risk alone isn't enough, and that market tightness matters.</w:t>
      </w:r>
    </w:p>
    <w:p>
      <w:pPr>
        <w:pBdr>
          <w:left w:val="single" w:color="1F4E79" w:sz="18" w:space="8"/>
        </w:pBdr>
        <w:shd w:fill="F2F6FA" w:color="auto" w:val="clear"/>
        <w:spacing w:after="40" w:before="120"/>
        <w:ind w:left="360"/>
      </w:pPr>
      <w:r>
        <w:rPr>
          <w:i/>
          <w:iCs/>
        </w:rPr>
        <w:t xml:space="preserve">“The disruption in Iraqi and Kuwaiti oil production associated with this war played an important role in causing this spike in the price of oil, but an equally important determinant was higher demand for oil inventories in anticipation of a possible attack on Saudi oil fields (Kilian and Murphy 2014).”</w:t>
      </w:r>
      <w:r>
        <w:rPr>
          <w:b/>
          <w:bCs/>
          <w:color w:val="1F4E79"/>
        </w:rPr>
        <w:t xml:space="preserve">  (Historical Episodes: 1980s and 1990s, p. 146)</w:t>
      </w:r>
    </w:p>
    <w:p>
      <w:pPr>
        <w:spacing w:after="140"/>
        <w:ind w:left="360"/>
      </w:pPr>
      <w:r>
        <w:rPr>
          <w:b/>
          <w:bCs/>
        </w:rPr>
        <w:t xml:space="preserve">Use it for:</w:t>
      </w:r>
      <w:r>
        <w:t xml:space="preserve"> evidence that the threat to a major producer moves prices as much as actual losses. Supports scoring threats per producer.</w:t>
      </w:r>
    </w:p>
    <w:p>
      <w:pPr>
        <w:pBdr>
          <w:left w:val="single" w:color="1F4E79" w:sz="18" w:space="8"/>
        </w:pBdr>
        <w:shd w:fill="F2F6FA" w:color="auto" w:val="clear"/>
        <w:spacing w:after="40" w:before="120"/>
        <w:ind w:left="360"/>
      </w:pPr>
      <w:r>
        <w:rPr>
          <w:i/>
          <w:iCs/>
        </w:rPr>
        <w:t xml:space="preserve">“Indeed, this oil supply shock episode is remarkable mainly because the price of oil proved resilient to geopolitical events. The price of oil only briefly spiked, adding approximately an extra $6 per barrel.”</w:t>
      </w:r>
      <w:r>
        <w:rPr>
          <w:b/>
          <w:bCs/>
          <w:color w:val="1F4E79"/>
        </w:rPr>
        <w:t xml:space="preserve">  (Historical Episodes: 1980s and 1990s, p. 146)</w:t>
      </w:r>
    </w:p>
    <w:p>
      <w:pPr>
        <w:spacing w:after="140"/>
        <w:ind w:left="360"/>
      </w:pPr>
      <w:r>
        <w:rPr>
          <w:b/>
          <w:bCs/>
        </w:rPr>
        <w:t xml:space="preserve">Use it for:</w:t>
      </w:r>
      <w:r>
        <w:t xml:space="preserve"> showing large disruptions can have small effects when other producers can cover them.</w:t>
      </w:r>
    </w:p>
    <w:p>
      <w:pPr>
        <w:pBdr>
          <w:left w:val="single" w:color="1F4E79" w:sz="18" w:space="8"/>
        </w:pBdr>
        <w:shd w:fill="F2F6FA" w:color="auto" w:val="clear"/>
        <w:spacing w:after="40" w:before="120"/>
        <w:ind w:left="360"/>
      </w:pPr>
      <w:r>
        <w:rPr>
          <w:i/>
          <w:iCs/>
        </w:rPr>
        <w:t xml:space="preserve">“The literature has not been kind to the view that OPEC since 1973 has acted as a cartel that sets the price of oil or that controls the price of oil by coordinating oil production among OPEC members.”</w:t>
      </w:r>
      <w:r>
        <w:rPr>
          <w:b/>
          <w:bCs/>
          <w:color w:val="1F4E79"/>
        </w:rPr>
        <w:t xml:space="preserve">  (Footnote 4, p. 145)</w:t>
      </w:r>
    </w:p>
    <w:p>
      <w:pPr>
        <w:spacing w:after="140"/>
        <w:ind w:left="360"/>
      </w:pPr>
      <w:r>
        <w:rPr>
          <w:b/>
          <w:bCs/>
        </w:rPr>
        <w:t xml:space="preserve">Use it for:</w:t>
      </w:r>
      <w:r>
        <w:t xml:space="preserve"> why I treat OPEC members as separate producers with separate scores, not as one bloc.</w:t>
      </w:r>
    </w:p>
    <w:p>
      <w:pPr>
        <w:pStyle w:val="Heading2"/>
      </w:pPr>
      <w:r>
        <w:t xml:space="preserve">2003–08 surge to 2014/15 — lessons</w:t>
      </w:r>
    </w:p>
    <w:p>
      <w:pPr>
        <w:spacing w:after="80" w:before="160"/>
      </w:pPr>
      <w:r>
        <w:rPr>
          <w:b/>
          <w:bCs/>
          <w:color w:val="1F4E79"/>
        </w:rPr>
        <w:t xml:space="preserve">What it says</w:t>
      </w:r>
    </w:p>
    <w:p>
      <w:pPr>
        <w:pStyle w:val="ListParagraph"/>
        <w:numPr>
          <w:ilvl w:val="0"/>
          <w:numId w:val="2"/>
        </w:numPr>
        <w:spacing w:after="60"/>
      </w:pPr>
      <w:r>
        <w:t xml:space="preserve">2003–08: a slow, demand-driven climb ($28 → $134) from emerging Asia. They reject the speculation explanation.</w:t>
      </w:r>
    </w:p>
    <w:p>
      <w:pPr>
        <w:pStyle w:val="ListParagraph"/>
        <w:numPr>
          <w:ilvl w:val="0"/>
          <w:numId w:val="2"/>
        </w:numPr>
        <w:spacing w:after="60"/>
      </w:pPr>
      <w:r>
        <w:t xml:space="preserve">2008: demand for commodities swings much more than GDP, because GDP is mostly consumption.</w:t>
      </w:r>
    </w:p>
    <w:p>
      <w:pPr>
        <w:pStyle w:val="ListParagraph"/>
        <w:numPr>
          <w:ilvl w:val="0"/>
          <w:numId w:val="2"/>
        </w:numPr>
        <w:spacing w:after="60"/>
      </w:pPr>
      <w:r>
        <w:t xml:space="preserve">Libya 2011 added $3–13; Iran tensions in 2012 added $0–9.</w:t>
      </w:r>
    </w:p>
    <w:p>
      <w:pPr>
        <w:pStyle w:val="ListParagraph"/>
        <w:numPr>
          <w:ilvl w:val="0"/>
          <w:numId w:val="2"/>
        </w:numPr>
        <w:spacing w:after="60"/>
      </w:pPr>
      <w:r>
        <w:t xml:space="preserve">Since 2011 the WTI–Brent spread has widened (US shale glut), so </w:t>
      </w:r>
      <w:r>
        <w:rPr>
          <w:b/>
          <w:bCs/>
        </w:rPr>
        <w:t xml:space="preserve">Brent is now the world benchmark</w:t>
      </w:r>
      <w:r>
        <w:t xml:space="preserve">.</w:t>
      </w:r>
    </w:p>
    <w:p>
      <w:pPr>
        <w:pStyle w:val="ListParagraph"/>
        <w:numPr>
          <w:ilvl w:val="0"/>
          <w:numId w:val="2"/>
        </w:numPr>
        <w:spacing w:after="60"/>
      </w:pPr>
      <w:r>
        <w:t xml:space="preserve">2014/15: the $49 drop is split into demand, supply (shale) and storage shocks. Much of it was predictable as of June 2014.</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Brent choice:</w:t>
      </w:r>
      <w:r>
        <w:t xml:space="preserve"> cite the line below. Ready-made justification for my target.</w:t>
      </w:r>
    </w:p>
    <w:p>
      <w:pPr>
        <w:pStyle w:val="ListParagraph"/>
        <w:numPr>
          <w:ilvl w:val="0"/>
          <w:numId w:val="2"/>
        </w:numPr>
        <w:spacing w:after="60"/>
      </w:pPr>
      <w:r>
        <w:rPr>
          <w:b/>
          <w:bCs/>
        </w:rPr>
        <w:t xml:space="preserve">Event sizes as sanity checks:</w:t>
      </w:r>
      <w:r>
        <w:t xml:space="preserve"> geopolitical shocks are typically worth a few dollars to ~$13 a barrel. On a ~$70–110 price that's a few percent to ~15%, so my ±1.5% weekly threshold is the right scale to catch them.</w:t>
      </w:r>
    </w:p>
    <w:p>
      <w:pPr>
        <w:pStyle w:val="ListParagraph"/>
        <w:numPr>
          <w:ilvl w:val="0"/>
          <w:numId w:val="2"/>
        </w:numPr>
        <w:spacing w:after="60"/>
      </w:pPr>
      <w:r>
        <w:rPr>
          <w:b/>
          <w:bCs/>
        </w:rPr>
        <w:t xml:space="preserve">Slow trends:</w:t>
      </w:r>
      <w:r>
        <w:t xml:space="preserve"> the 2003–08 rise was many small demand steps, not one big shock. Weekly geopolitical scores won't catch that. Model A's demand features have to.</w:t>
      </w:r>
    </w:p>
    <w:p>
      <w:pPr>
        <w:pStyle w:val="ListParagraph"/>
        <w:numPr>
          <w:ilvl w:val="0"/>
          <w:numId w:val="2"/>
        </w:numPr>
        <w:spacing w:after="60"/>
      </w:pPr>
      <w:r>
        <w:rPr>
          <w:b/>
          <w:bCs/>
        </w:rPr>
        <w:t xml:space="preserve">Speculation:</w:t>
      </w:r>
      <w:r>
        <w:t xml:space="preserve"> they find no persuasive evidence for it. That's a reason not to prioritise speculative-positioning data (e.g. trader positions). Note it as a design choice.</w:t>
      </w:r>
    </w:p>
    <w:p>
      <w:pPr>
        <w:pBdr>
          <w:left w:val="single" w:color="1F4E79" w:sz="18" w:space="8"/>
        </w:pBdr>
        <w:shd w:fill="F2F6FA" w:color="auto" w:val="clear"/>
        <w:spacing w:after="40" w:before="120"/>
        <w:ind w:left="360"/>
      </w:pPr>
      <w:r>
        <w:rPr>
          <w:b/>
          <w:bCs/>
          <w:color w:val="C00000"/>
        </w:rPr>
        <w:t xml:space="preserve">★ </w:t>
      </w:r>
      <w:r>
        <w:rPr>
          <w:i/>
          <w:iCs/>
        </w:rPr>
        <w:t xml:space="preserve">“As a result, the WTI price of crude oil is no longer representative for the price of oil in global markets, and it has become common to use the price of Brent crude oil as a proxy for the world price in recent years.”</w:t>
      </w:r>
      <w:r>
        <w:rPr>
          <w:b/>
          <w:bCs/>
          <w:color w:val="1F4E79"/>
        </w:rPr>
        <w:t xml:space="preserve">  (Historical Episodes: 2003–08 to GFC, p. 148)</w:t>
      </w:r>
    </w:p>
    <w:p>
      <w:pPr>
        <w:spacing w:after="140"/>
        <w:ind w:left="360"/>
      </w:pPr>
      <w:r>
        <w:rPr>
          <w:b/>
          <w:bCs/>
        </w:rPr>
        <w:t xml:space="preserve">Use it for:</w:t>
      </w:r>
      <w:r>
        <w:t xml:space="preserve"> justifying Brent, not WTI, as my target.</w:t>
      </w:r>
    </w:p>
    <w:p>
      <w:pPr>
        <w:pBdr>
          <w:left w:val="single" w:color="1F4E79" w:sz="18" w:space="8"/>
        </w:pBdr>
        <w:shd w:fill="F2F6FA" w:color="auto" w:val="clear"/>
        <w:spacing w:after="40" w:before="120"/>
        <w:ind w:left="360"/>
      </w:pPr>
      <w:r>
        <w:rPr>
          <w:i/>
          <w:iCs/>
        </w:rPr>
        <w:t xml:space="preserve">“Kilian and Lee (2014) estimate that the Libyan crisis caused an oil price increase of somewhere between $3 and $13 per barrel, depending on the model specification. Likewise, tensions with Iran in 2012 account for an increase of between $0 and $9 per barrel.”</w:t>
      </w:r>
      <w:r>
        <w:rPr>
          <w:b/>
          <w:bCs/>
          <w:color w:val="1F4E79"/>
        </w:rPr>
        <w:t xml:space="preserve">  (Historical Episodes: 2003–08 to GFC, p. 147)</w:t>
      </w:r>
    </w:p>
    <w:p>
      <w:pPr>
        <w:spacing w:after="140"/>
        <w:ind w:left="360"/>
      </w:pPr>
      <w:r>
        <w:rPr>
          <w:b/>
          <w:bCs/>
        </w:rPr>
        <w:t xml:space="preserve">Use it for:</w:t>
      </w:r>
      <w:r>
        <w:t xml:space="preserve"> giving the typical size of producer-specific geopolitical shocks. Relevant to Iran and Libya scores.</w:t>
      </w:r>
    </w:p>
    <w:p>
      <w:pPr>
        <w:pBdr>
          <w:left w:val="single" w:color="1F4E79" w:sz="18" w:space="8"/>
        </w:pBdr>
        <w:shd w:fill="F2F6FA" w:color="auto" w:val="clear"/>
        <w:spacing w:after="40" w:before="120"/>
        <w:ind w:left="360"/>
      </w:pPr>
      <w:r>
        <w:rPr>
          <w:i/>
          <w:iCs/>
        </w:rPr>
        <w:t xml:space="preserve">“There is no persuasive evidence in support of this financial speculation hypothesis…”</w:t>
      </w:r>
      <w:r>
        <w:rPr>
          <w:b/>
          <w:bCs/>
          <w:color w:val="1F4E79"/>
        </w:rPr>
        <w:t xml:space="preserve">  (Historical Episodes: 2003–08 to GFC, p. 147)</w:t>
      </w:r>
    </w:p>
    <w:p>
      <w:pPr>
        <w:spacing w:after="140"/>
        <w:ind w:left="360"/>
      </w:pPr>
      <w:r>
        <w:rPr>
          <w:b/>
          <w:bCs/>
        </w:rPr>
        <w:t xml:space="preserve">Use it for:</w:t>
      </w:r>
      <w:r>
        <w:t xml:space="preserve"> justifying not using speculative-positioning features.</w:t>
      </w:r>
    </w:p>
    <w:p>
      <w:pPr>
        <w:pStyle w:val="Heading1"/>
      </w:pPr>
      <w:r>
        <w:t xml:space="preserve">How to Measure Oil Price Expectations</w:t>
      </w:r>
    </w:p>
    <w:p>
      <w:pPr>
        <w:spacing w:after="80" w:before="160"/>
      </w:pPr>
      <w:r>
        <w:rPr>
          <w:b/>
          <w:bCs/>
          <w:color w:val="1F4E79"/>
        </w:rPr>
        <w:t xml:space="preserve">What it says</w:t>
      </w:r>
    </w:p>
    <w:p>
      <w:pPr>
        <w:spacing w:after="120"/>
      </w:pPr>
      <w:r>
        <w:t xml:space="preserve">Four ways to measure what people expect the oil price to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Whose expectation</w:t>
            </w:r>
          </w:p>
        </w:tc>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it's measured</w:t>
            </w:r>
          </w:p>
        </w:tc>
        <w:tc>
          <w:tcPr>
            <w:tcW w:type="dxa" w:w="2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Notes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Economists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 model (Kilian &amp; Murphy 2014): real oil price, global oil production, global real economic activity, change in global inventories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Model-based forecast from past data.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Policymakers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Oil futures price for maturity h = expected spot price in h months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Used by the IMF and many central banks. Ignores the risk premium.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Financial markets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Futures price minus the Hamilton–Wu (2014) risk premium</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B&amp;K's preferred market measure. Can differ a lot from raw futures.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Consumers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No-change forecast of the real price, plus expected inflation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Based on Michigan Survey evidence on gasoline (Anderson et al. 2011).</w:t>
            </w:r>
          </w:p>
        </w:tc>
      </w:tr>
    </w:tbl>
    <w:p>
      <w:pPr>
        <w:spacing w:after="120"/>
      </w:pPr>
    </w:p>
    <w:p>
      <w:pPr>
        <w:pStyle w:val="ListParagraph"/>
        <w:numPr>
          <w:ilvl w:val="0"/>
          <w:numId w:val="2"/>
        </w:numPr>
        <w:spacing w:after="60"/>
      </w:pPr>
      <w:r>
        <w:t xml:space="preserve">Example: at the mid-2008 peak, raw futures sloped upward (implying rising prices). Risk-adjusted futures pointed to sharp falls, which is what happened.</w:t>
      </w:r>
    </w:p>
    <w:p>
      <w:pPr>
        <w:pStyle w:val="ListParagraph"/>
        <w:numPr>
          <w:ilvl w:val="0"/>
          <w:numId w:val="2"/>
        </w:numPr>
        <w:spacing w:after="60"/>
      </w:pPr>
      <w:r>
        <w:t xml:space="preserve">They argue consumers using the simple no-change rule is reasonable, because they can't be oil-forecasting experts.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Kilian &amp; Murphy VAR variables</w:t>
      </w:r>
      <w:r>
        <w:t xml:space="preserve"> (production, global activity, inventories) are the standard fundamentals. My Model A should contain versions of all of them. Cite this list when justifying Model A.</w:t>
      </w:r>
    </w:p>
    <w:p>
      <w:pPr>
        <w:pStyle w:val="ListParagraph"/>
        <w:numPr>
          <w:ilvl w:val="0"/>
          <w:numId w:val="2"/>
        </w:numPr>
        <w:spacing w:after="60"/>
      </w:pPr>
      <w:r>
        <w:rPr>
          <w:b/>
          <w:bCs/>
        </w:rPr>
        <w:t xml:space="preserve">No-change as the natural benchmark:</w:t>
      </w:r>
      <w:r>
        <w:t xml:space="preserve"> the consumer rule is a no-change forecast. In my direction setup, “no change” = always </w:t>
      </w:r>
      <w:r>
        <w:rPr>
          <w:b/>
          <w:bCs/>
        </w:rPr>
        <w:t xml:space="preserve">hold</w:t>
      </w:r>
      <w:r>
        <w:t xml:space="preserve">. Use it as a baseline, but cite Alquist, Kilian &amp; Vigfusson (2013) for the formal no-change benchmark.</w:t>
      </w:r>
    </w:p>
    <w:p>
      <w:pPr>
        <w:pStyle w:val="ListParagraph"/>
        <w:numPr>
          <w:ilvl w:val="0"/>
          <w:numId w:val="2"/>
        </w:numPr>
        <w:spacing w:after="60"/>
      </w:pPr>
      <w:r>
        <w:rPr>
          <w:b/>
          <w:bCs/>
        </w:rPr>
        <w:t xml:space="preserve">Futures curve as an optional feature:</w:t>
      </w:r>
      <w:r>
        <w:t xml:space="preserve"> the slope of the Brent futures curve reflects inventories and expectations. Worth considering, but futures move with risk premia, so don't read them as pure expectations.</w:t>
      </w:r>
    </w:p>
    <w:p>
      <w:pPr>
        <w:pBdr>
          <w:left w:val="single" w:color="1F4E79" w:sz="18" w:space="8"/>
        </w:pBdr>
        <w:shd w:fill="F2F6FA" w:color="auto" w:val="clear"/>
        <w:spacing w:after="40" w:before="120"/>
        <w:ind w:left="360"/>
      </w:pPr>
      <w:r>
        <w:rPr>
          <w:b/>
          <w:bCs/>
          <w:color w:val="C00000"/>
        </w:rPr>
        <w:t xml:space="preserve">★ </w:t>
      </w:r>
      <w:r>
        <w:rPr>
          <w:i/>
          <w:iCs/>
        </w:rPr>
        <w:t xml:space="preserve">“In our empirical analysis, we employ a VAR model specification in the tradition of Kilian and Murphy (2014) that includes the real price of oil, global crude oil production, global real economic activity, and changes in global crude oil stocks.”</w:t>
      </w:r>
      <w:r>
        <w:rPr>
          <w:b/>
          <w:bCs/>
          <w:color w:val="1F4E79"/>
        </w:rPr>
        <w:t xml:space="preserve">  (How to Measure Oil Price Expectations, p. 148)</w:t>
      </w:r>
    </w:p>
    <w:p>
      <w:pPr>
        <w:spacing w:after="140"/>
        <w:ind w:left="360"/>
      </w:pPr>
      <w:r>
        <w:rPr>
          <w:b/>
          <w:bCs/>
        </w:rPr>
        <w:t xml:space="preserve">Use it for:</w:t>
      </w:r>
      <w:r>
        <w:t xml:space="preserve"> justifying production, global activity and inventories as core fundamentals in Model A.</w:t>
      </w:r>
    </w:p>
    <w:p>
      <w:pPr>
        <w:pBdr>
          <w:left w:val="single" w:color="1F4E79" w:sz="18" w:space="8"/>
        </w:pBdr>
        <w:shd w:fill="F2F6FA" w:color="auto" w:val="clear"/>
        <w:spacing w:after="40" w:before="120"/>
        <w:ind w:left="360"/>
      </w:pPr>
      <w:r>
        <w:rPr>
          <w:i/>
          <w:iCs/>
        </w:rPr>
        <w:t xml:space="preserve">“…households in the Michigan Survey of Consumers typically form expectations about the real (or inflation-adjusted) price of gasoline according to a simple no-change model…”</w:t>
      </w:r>
      <w:r>
        <w:rPr>
          <w:b/>
          <w:bCs/>
          <w:color w:val="1F4E79"/>
        </w:rPr>
        <w:t xml:space="preserve">  (How to Measure Oil Price Expectations, p. 151)</w:t>
      </w:r>
    </w:p>
    <w:p>
      <w:pPr>
        <w:spacing w:after="140"/>
        <w:ind w:left="360"/>
      </w:pPr>
      <w:r>
        <w:rPr>
          <w:b/>
          <w:bCs/>
        </w:rPr>
        <w:t xml:space="preserve">Use it for:</w:t>
      </w:r>
      <w:r>
        <w:t xml:space="preserve"> background for the no-change benchmark (cite the forecasting papers for the formal benchmark).</w:t>
      </w:r>
    </w:p>
    <w:p>
      <w:pPr>
        <w:pBdr>
          <w:left w:val="single" w:color="1F4E79" w:sz="18" w:space="8"/>
        </w:pBdr>
        <w:shd w:fill="F2F6FA" w:color="auto" w:val="clear"/>
        <w:spacing w:after="40" w:before="120"/>
        <w:ind w:left="360"/>
      </w:pPr>
      <w:r>
        <w:rPr>
          <w:i/>
          <w:iCs/>
        </w:rPr>
        <w:t xml:space="preserve">“The use of futures prices as measures of market expectations, however, is valid only if the risk premium… is negligible. This assumption is questionable.”</w:t>
      </w:r>
      <w:r>
        <w:rPr>
          <w:b/>
          <w:bCs/>
          <w:color w:val="1F4E79"/>
        </w:rPr>
        <w:t xml:space="preserve">  (How to Measure Oil Price Expectations, p. 149)</w:t>
      </w:r>
    </w:p>
    <w:p>
      <w:pPr>
        <w:spacing w:after="140"/>
        <w:ind w:left="360"/>
      </w:pPr>
      <w:r>
        <w:rPr>
          <w:b/>
          <w:bCs/>
        </w:rPr>
        <w:t xml:space="preserve">Use it for:</w:t>
      </w:r>
      <w:r>
        <w:t xml:space="preserve"> a caution if I add futures-based features.</w:t>
      </w:r>
    </w:p>
    <w:p>
      <w:pPr>
        <w:pStyle w:val="Heading1"/>
      </w:pPr>
      <w:r>
        <w:t xml:space="preserve">What Is an Oil Price Shock?</w:t>
      </w:r>
    </w:p>
    <w:p>
      <w:pPr>
        <w:spacing w:after="80" w:before="160"/>
      </w:pPr>
      <w:r>
        <w:rPr>
          <w:b/>
          <w:bCs/>
          <w:color w:val="1F4E79"/>
        </w:rPr>
        <w:t xml:space="preserve">What it says</w:t>
      </w:r>
    </w:p>
    <w:p>
      <w:pPr>
        <w:pStyle w:val="ListParagraph"/>
        <w:numPr>
          <w:ilvl w:val="0"/>
          <w:numId w:val="2"/>
        </w:numPr>
        <w:spacing w:after="60"/>
      </w:pPr>
      <w:r>
        <w:t xml:space="preserve">Figure 3 compares quarterly WTI shocks under the four expectation measures for five episodes: Kuwait 1990, Asian crisis 1997, 2001/02 slump, 2008 crisis, 2014/15 decline.</w:t>
      </w:r>
    </w:p>
    <w:p>
      <w:pPr>
        <w:pStyle w:val="ListParagraph"/>
        <w:numPr>
          <w:ilvl w:val="0"/>
          <w:numId w:val="2"/>
        </w:numPr>
        <w:spacing w:after="60"/>
      </w:pPr>
      <w:r>
        <w:t xml:space="preserve">Q4 2008 shock: consumers −79%, policymakers −77%, financial markets −73%, VAR only −45% (the VAR saw much of the fall coming).</w:t>
      </w:r>
    </w:p>
    <w:p>
      <w:pPr>
        <w:pStyle w:val="ListParagraph"/>
        <w:numPr>
          <w:ilvl w:val="0"/>
          <w:numId w:val="2"/>
        </w:numPr>
        <w:spacing w:after="60"/>
      </w:pPr>
      <w:r>
        <w:t xml:space="preserve">2014/15: nobody outside the VAR saw it coming. Shocks of −7 to −9% (2014Q3), −26 to −28% (2014Q4), −22 to −26% (2015Q1). VAR shocks only −2%, −10%, −18%.</w:t>
      </w:r>
    </w:p>
    <w:p>
      <w:pPr>
        <w:pStyle w:val="ListParagraph"/>
        <w:numPr>
          <w:ilvl w:val="0"/>
          <w:numId w:val="2"/>
        </w:numPr>
        <w:spacing w:after="60"/>
      </w:pPr>
      <w:r>
        <w:t xml:space="preserve">Shocks are largest for consumers, smaller for markets, smallest for the VAR. Policymakers' expectations are often close to consumers'.</w:t>
      </w:r>
    </w:p>
    <w:p>
      <w:pPr>
        <w:pStyle w:val="ListParagraph"/>
        <w:numPr>
          <w:ilvl w:val="0"/>
          <w:numId w:val="2"/>
        </w:numPr>
        <w:spacing w:after="60"/>
      </w:pPr>
      <w:r>
        <w:t xml:space="preserve">The 2003–08 surge had </w:t>
      </w:r>
      <w:r>
        <w:rPr>
          <w:b/>
          <w:bCs/>
        </w:rPr>
        <w:t xml:space="preserve">no</w:t>
      </w:r>
      <w:r>
        <w:t xml:space="preserve"> positive shock bigger than one standard deviation. A long rise can come from many small, unsurprising steps.</w:t>
      </w:r>
    </w:p>
    <w:p>
      <w:pPr>
        <w:spacing w:after="80" w:before="160"/>
      </w:pPr>
      <w:r>
        <w:rPr>
          <w:b/>
          <w:bCs/>
          <w:color w:val="1F4E79"/>
        </w:rPr>
        <w:t xml:space="preserve">What it means for my project</w:t>
      </w:r>
    </w:p>
    <w:p>
      <w:pPr>
        <w:pStyle w:val="ListParagraph"/>
        <w:numPr>
          <w:ilvl w:val="0"/>
          <w:numId w:val="2"/>
        </w:numPr>
        <w:spacing w:after="60"/>
      </w:pPr>
      <w:r>
        <w:t xml:space="preserve">Fundamentals-based models can foresee a lot of the big demand-driven falls. So Model A (fundamentals) should already be a strong baseline. Model C has to beat a fair Model A, not a weak one.</w:t>
      </w:r>
    </w:p>
    <w:p>
      <w:pPr>
        <w:pStyle w:val="ListParagraph"/>
        <w:numPr>
          <w:ilvl w:val="0"/>
          <w:numId w:val="2"/>
        </w:numPr>
        <w:spacing w:after="60"/>
      </w:pPr>
      <w:r>
        <w:t xml:space="preserve">Big moves aren't always big surprises. Consider evaluating my model separately on large-move weeks (e.g. |return| &gt; 1.5%) to see where it adds value.</w:t>
      </w:r>
    </w:p>
    <w:p>
      <w:pPr>
        <w:pBdr>
          <w:left w:val="single" w:color="1F4E79" w:sz="18" w:space="8"/>
        </w:pBdr>
        <w:shd w:fill="F2F6FA" w:color="auto" w:val="clear"/>
        <w:spacing w:after="40" w:before="120"/>
        <w:ind w:left="360"/>
      </w:pPr>
      <w:r>
        <w:rPr>
          <w:i/>
          <w:iCs/>
        </w:rPr>
        <w:t xml:space="preserve">“Figure 3 also illustrates another important point, which is that it does not take large positive oil price shocks to generate a sustained increase in the price of oil.”</w:t>
      </w:r>
      <w:r>
        <w:rPr>
          <w:b/>
          <w:bCs/>
          <w:color w:val="1F4E79"/>
        </w:rPr>
        <w:t xml:space="preserve">  (What Is an Oil Price Shock?, p. 153)</w:t>
      </w:r>
    </w:p>
    <w:p>
      <w:pPr>
        <w:spacing w:after="140"/>
        <w:ind w:left="360"/>
      </w:pPr>
      <w:r>
        <w:rPr>
          <w:b/>
          <w:bCs/>
        </w:rPr>
        <w:t xml:space="preserve">Use it for:</w:t>
      </w:r>
      <w:r>
        <w:t xml:space="preserve"> why short-horizon shock signals can't explain long trends, so demand features are still needed.</w:t>
      </w:r>
    </w:p>
    <w:p>
      <w:pPr>
        <w:pBdr>
          <w:left w:val="single" w:color="1F4E79" w:sz="18" w:space="8"/>
        </w:pBdr>
        <w:shd w:fill="F2F6FA" w:color="auto" w:val="clear"/>
        <w:spacing w:after="40" w:before="120"/>
        <w:ind w:left="360"/>
      </w:pPr>
      <w:r>
        <w:rPr>
          <w:i/>
          <w:iCs/>
        </w:rPr>
        <w:t xml:space="preserve">“…none of the positive oil price shocks between 2003.II and 2008.I shown in Figure 3 exceeded one standard deviation of the oil price shock series.”</w:t>
      </w:r>
      <w:r>
        <w:rPr>
          <w:b/>
          <w:bCs/>
          <w:color w:val="1F4E79"/>
        </w:rPr>
        <w:t xml:space="preserve">  (What Is an Oil Price Shock?, p. 154)</w:t>
      </w:r>
    </w:p>
    <w:p>
      <w:pPr>
        <w:spacing w:after="140"/>
        <w:ind w:left="360"/>
      </w:pPr>
      <w:r>
        <w:rPr>
          <w:b/>
          <w:bCs/>
        </w:rPr>
        <w:t xml:space="preserve">Use it for:</w:t>
      </w:r>
      <w:r>
        <w:t xml:space="preserve"> the evidence behind the point above.</w:t>
      </w:r>
    </w:p>
    <w:p>
      <w:pPr>
        <w:pStyle w:val="Heading1"/>
      </w:pPr>
      <w:r>
        <w:t xml:space="preserve">Why Is It So Difficult to Anticipate Oil Price Fluctuations?</w:t>
      </w:r>
    </w:p>
    <w:p>
      <w:pPr>
        <w:spacing w:after="80" w:before="160"/>
      </w:pPr>
      <w:r>
        <w:rPr>
          <w:b/>
          <w:bCs/>
          <w:color w:val="1F4E79"/>
        </w:rPr>
        <w:t xml:space="preserve">What it says</w:t>
      </w:r>
    </w:p>
    <w:p>
      <w:pPr>
        <w:spacing w:after="120"/>
      </w:pPr>
      <w:r>
        <w:t xml:space="preserve">Even if you understand the oil market, the price is only as predictable as its drivers, and those are hard to predict. Three problems:</w:t>
      </w:r>
    </w:p>
    <w:p>
      <w:pPr>
        <w:pStyle w:val="ListParagraph"/>
        <w:numPr>
          <w:ilvl w:val="0"/>
          <w:numId w:val="3"/>
        </w:numPr>
        <w:spacing w:after="80"/>
      </w:pPr>
      <w:r>
        <w:rPr>
          <w:b/>
          <w:bCs/>
        </w:rPr>
        <w:t xml:space="preserve">Global business cycle:</w:t>
      </w:r>
      <w:r>
        <w:t xml:space="preserve"> hard to forecast even at short horizons. VAR accuracy is better during persistent booms or recessions, worse in normal times. Forecasters underestimated Chinese growth for five years straight (Kilian &amp; Hicks 2013).</w:t>
      </w:r>
    </w:p>
    <w:p>
      <w:pPr>
        <w:pStyle w:val="ListParagraph"/>
        <w:numPr>
          <w:ilvl w:val="0"/>
          <w:numId w:val="3"/>
        </w:numPr>
        <w:spacing w:after="80"/>
      </w:pPr>
      <w:r>
        <w:rPr>
          <w:b/>
          <w:bCs/>
        </w:rPr>
        <w:t xml:space="preserve">Oil production:</w:t>
      </w:r>
      <w:r>
        <w:t xml:space="preserve"> political disruptions (Libya 2011, ISIS in Iraq) are largely unpredictable. Supply responses to high prices are uncertain too: peak-oil forecasts failed, US shale surprised analysts, and it took about five years for supply to respond after both 1973/74 and 2008.</w:t>
      </w:r>
    </w:p>
    <w:p>
      <w:pPr>
        <w:pStyle w:val="ListParagraph"/>
        <w:numPr>
          <w:ilvl w:val="0"/>
          <w:numId w:val="3"/>
        </w:numPr>
        <w:spacing w:after="80"/>
      </w:pPr>
      <w:r>
        <w:rPr>
          <w:b/>
          <w:bCs/>
        </w:rPr>
        <w:t xml:space="preserve">Inventory demand:</w:t>
      </w:r>
      <w:r>
        <w:t xml:space="preserve"> perceptions of future scarcity can change fast with geopolitical or economic crises. Prices can move just from more uncertainty. Crisis timing is “next to impossible” to predict. And geopolitical tension only matters when supply is already tight.</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This section is both the motivation and the main threat for my project.</w:t>
      </w:r>
      <w:r>
        <w:t xml:space="preserve"> Motivation: models built on fundamentals miss geopolitical crises. Threat: if crisis timing can't be predicted, can my scores really forecast anything?</w:t>
      </w:r>
    </w:p>
    <w:p>
      <w:pPr>
        <w:pStyle w:val="ListParagraph"/>
        <w:numPr>
          <w:ilvl w:val="0"/>
          <w:numId w:val="2"/>
        </w:numPr>
        <w:spacing w:after="60"/>
      </w:pPr>
      <w:r>
        <w:rPr>
          <w:b/>
          <w:bCs/>
        </w:rPr>
        <w:t xml:space="preserve">My answer:</w:t>
      </w:r>
      <w:r>
        <w:t xml:space="preserve"> I'm not predicting when a crisis starts. I'm measuring a crisis that has </w:t>
      </w:r>
      <w:r>
        <w:rPr>
          <w:b/>
          <w:bCs/>
        </w:rPr>
        <w:t xml:space="preserve">already started</w:t>
      </w:r>
      <w:r>
        <w:t xml:space="preserve"> in the news and asking whether the price has fully caught up within 5 trading days. That's a faster reaction to news, not crystal-ball forecasting. Say this clearly in the dissertation.</w:t>
      </w:r>
    </w:p>
    <w:p>
      <w:pPr>
        <w:pStyle w:val="ListParagraph"/>
        <w:numPr>
          <w:ilvl w:val="0"/>
          <w:numId w:val="2"/>
        </w:numPr>
        <w:spacing w:after="60"/>
      </w:pPr>
      <w:r>
        <w:rPr>
          <w:b/>
          <w:bCs/>
        </w:rPr>
        <w:t xml:space="preserve">The tightness condition is the most useful idea in the paper.</w:t>
      </w:r>
      <w:r>
        <w:t xml:space="preserve"> Geopolitics only moves prices when supply is tight. So:</w:t>
      </w:r>
    </w:p>
    <w:p>
      <w:pPr>
        <w:pStyle w:val="ListParagraph"/>
        <w:numPr>
          <w:ilvl w:val="1"/>
          <w:numId w:val="2"/>
        </w:numPr>
        <w:spacing w:after="60"/>
      </w:pPr>
      <w:r>
        <w:t xml:space="preserve">include tightness features: OPEC spare capacity, OECD/US inventories, maybe the futures-curve slope</w:t>
      </w:r>
    </w:p>
    <w:p>
      <w:pPr>
        <w:pStyle w:val="ListParagraph"/>
        <w:numPr>
          <w:ilvl w:val="1"/>
          <w:numId w:val="2"/>
        </w:numPr>
        <w:spacing w:after="60"/>
      </w:pPr>
      <w:r>
        <w:t xml:space="preserve">test whether my scores matter more when the market is tight: SHAP dependence plots of a score coloured by inventories or spare capacity</w:t>
      </w:r>
    </w:p>
    <w:p>
      <w:pPr>
        <w:pStyle w:val="ListParagraph"/>
        <w:numPr>
          <w:ilvl w:val="1"/>
          <w:numId w:val="2"/>
        </w:numPr>
        <w:spacing w:after="60"/>
      </w:pPr>
      <w:r>
        <w:t xml:space="preserve">tree models learn this interaction (score × tightness) automatically — another argument for using them</w:t>
      </w:r>
    </w:p>
    <w:p>
      <w:pPr>
        <w:pStyle w:val="ListParagraph"/>
        <w:numPr>
          <w:ilvl w:val="0"/>
          <w:numId w:val="2"/>
        </w:numPr>
        <w:spacing w:after="60"/>
      </w:pPr>
      <w:r>
        <w:rPr>
          <w:b/>
          <w:bCs/>
        </w:rPr>
        <w:t xml:space="preserve">Regime results:</w:t>
      </w:r>
      <w:r>
        <w:t xml:space="preserve"> B&amp;K's point that accuracy changes between persistent and normal periods backs reporting my results by regime.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reason is that the price of oil will only be as predictable as its determinants, even if economic models of the global oil market are approximately correct.”</w:t>
      </w:r>
      <w:r>
        <w:rPr>
          <w:b/>
          <w:bCs/>
          <w:color w:val="1F4E79"/>
        </w:rPr>
        <w:t xml:space="preserve">  (Why Is It So Difficult…, p. 154)</w:t>
      </w:r>
    </w:p>
    <w:p>
      <w:pPr>
        <w:spacing w:after="140"/>
        <w:ind w:left="360"/>
      </w:pPr>
      <w:r>
        <w:rPr>
          <w:b/>
          <w:bCs/>
        </w:rPr>
        <w:t xml:space="preserve">Use it for:</w:t>
      </w:r>
      <w:r>
        <w:t xml:space="preserve"> a central limitation to acknowledge, and the reason better measures of the drivers (my scores) should help.</w:t>
      </w:r>
    </w:p>
    <w:p>
      <w:pPr>
        <w:pBdr>
          <w:left w:val="single" w:color="1F4E79" w:sz="18" w:space="8"/>
        </w:pBdr>
        <w:shd w:fill="F2F6FA" w:color="auto" w:val="clear"/>
        <w:spacing w:after="40" w:before="120"/>
        <w:ind w:left="360"/>
      </w:pPr>
      <w:r>
        <w:rPr>
          <w:i/>
          <w:iCs/>
        </w:rPr>
        <w:t xml:space="preserve">“For example, empirical studies have documented that the predictive accuracy of vector autoregressive (VAR) models of the global oil market improves during times of persistent and hence predictable economic expansions or contractions, but is greatly reduced during normal times (Baumeister and Kilian 2012, 2015b).”</w:t>
      </w:r>
      <w:r>
        <w:rPr>
          <w:b/>
          <w:bCs/>
          <w:color w:val="1F4E79"/>
        </w:rPr>
        <w:t xml:space="preserve">  (Why Is It So Difficult… (business cycle), p. 154)</w:t>
      </w:r>
    </w:p>
    <w:p>
      <w:pPr>
        <w:spacing w:after="140"/>
        <w:ind w:left="360"/>
      </w:pPr>
      <w:r>
        <w:rPr>
          <w:b/>
          <w:bCs/>
        </w:rPr>
        <w:t xml:space="preserve">Use it for:</w:t>
      </w:r>
      <w:r>
        <w:t xml:space="preserve"> justifying regime-based evaluation.</w:t>
      </w:r>
    </w:p>
    <w:p>
      <w:pPr>
        <w:pBdr>
          <w:left w:val="single" w:color="1F4E79" w:sz="18" w:space="8"/>
        </w:pBdr>
        <w:shd w:fill="F2F6FA" w:color="auto" w:val="clear"/>
        <w:spacing w:after="40" w:before="120"/>
        <w:ind w:left="360"/>
      </w:pPr>
      <w:r>
        <w:rPr>
          <w:b/>
          <w:bCs/>
          <w:color w:val="C00000"/>
        </w:rPr>
        <w:t xml:space="preserve">★ </w:t>
      </w:r>
      <w:r>
        <w:rPr>
          <w:i/>
          <w:iCs/>
        </w:rPr>
        <w:t xml:space="preserve">“There will always be oil supply disruptions due to political events in oil-producing countries that are largely unpredictable.”</w:t>
      </w:r>
      <w:r>
        <w:rPr>
          <w:b/>
          <w:bCs/>
          <w:color w:val="1F4E79"/>
        </w:rPr>
        <w:t xml:space="preserve">  (Why Is It So Difficult… (oil production), p. 155)</w:t>
      </w:r>
    </w:p>
    <w:p>
      <w:pPr>
        <w:spacing w:after="140"/>
        <w:ind w:left="360"/>
      </w:pPr>
      <w:r>
        <w:rPr>
          <w:b/>
          <w:bCs/>
        </w:rPr>
        <w:t xml:space="preserve">Use it for:</w:t>
      </w:r>
      <w:r>
        <w:t xml:space="preserve"> motivating real-time measurement of producer-level political risk from news.</w:t>
      </w:r>
    </w:p>
    <w:p>
      <w:pPr>
        <w:pBdr>
          <w:left w:val="single" w:color="1F4E79" w:sz="18" w:space="8"/>
        </w:pBdr>
        <w:shd w:fill="F2F6FA" w:color="auto" w:val="clear"/>
        <w:spacing w:after="40" w:before="120"/>
        <w:ind w:left="360"/>
      </w:pPr>
      <w:r>
        <w:rPr>
          <w:i/>
          <w:iCs/>
        </w:rPr>
        <w:t xml:space="preserve">“Such perceptions may evolve rapidly, for example, in response to geopolitical or economic crises.”</w:t>
      </w:r>
      <w:r>
        <w:rPr>
          <w:b/>
          <w:bCs/>
          <w:color w:val="1F4E79"/>
        </w:rPr>
        <w:t xml:space="preserve">  (Why Is It So Difficult… (inventory demand), p. 156)</w:t>
      </w:r>
    </w:p>
    <w:p>
      <w:pPr>
        <w:spacing w:after="140"/>
        <w:ind w:left="360"/>
      </w:pPr>
      <w:r>
        <w:rPr>
          <w:b/>
          <w:bCs/>
        </w:rPr>
        <w:t xml:space="preserve">Use it for:</w:t>
      </w:r>
      <w:r>
        <w:t xml:space="preserve"> why weekly (not monthly) geopolitical measurement is needed.</w:t>
      </w:r>
    </w:p>
    <w:p>
      <w:pPr>
        <w:pBdr>
          <w:left w:val="single" w:color="1F4E79" w:sz="18" w:space="8"/>
        </w:pBdr>
        <w:shd w:fill="F2F6FA" w:color="auto" w:val="clear"/>
        <w:spacing w:after="40" w:before="120"/>
        <w:ind w:left="360"/>
      </w:pPr>
      <w:r>
        <w:rPr>
          <w:b/>
          <w:bCs/>
          <w:color w:val="C00000"/>
        </w:rPr>
        <w:t xml:space="preserve">★ </w:t>
      </w:r>
      <w:r>
        <w:rPr>
          <w:i/>
          <w:iCs/>
        </w:rPr>
        <w:t xml:space="preserve">“In fact, oil prices may change merely in response to a shift in uncertainty, reflecting precautionary demand…”</w:t>
      </w:r>
      <w:r>
        <w:rPr>
          <w:b/>
          <w:bCs/>
          <w:color w:val="1F4E79"/>
        </w:rPr>
        <w:t xml:space="preserve">  (Why Is It So Difficult… (inventory demand), p. 156)</w:t>
      </w:r>
    </w:p>
    <w:p>
      <w:pPr>
        <w:spacing w:after="140"/>
        <w:ind w:left="360"/>
      </w:pPr>
      <w:r>
        <w:rPr>
          <w:b/>
          <w:bCs/>
        </w:rPr>
        <w:t xml:space="preserve">Use it for:</w:t>
      </w:r>
      <w:r>
        <w:t xml:space="preserve"> justifying risk scores even when no barrels are lost. Supports the JWC flag and chokepoint scores.</w:t>
      </w:r>
    </w:p>
    <w:p>
      <w:pPr>
        <w:pBdr>
          <w:left w:val="single" w:color="1F4E79" w:sz="18" w:space="8"/>
        </w:pBdr>
        <w:shd w:fill="F2F6FA" w:color="auto" w:val="clear"/>
        <w:spacing w:after="40" w:before="120"/>
        <w:ind w:left="360"/>
      </w:pPr>
      <w:r>
        <w:rPr>
          <w:i/>
          <w:iCs/>
        </w:rPr>
        <w:t xml:space="preserve">“Obviously, predicting the exact timing of specific political crises and their impact on oil markets is next to impossible, even if political analysts have no trouble identifying geopolitical hotspots.”</w:t>
      </w:r>
      <w:r>
        <w:rPr>
          <w:b/>
          <w:bCs/>
          <w:color w:val="1F4E79"/>
        </w:rPr>
        <w:t xml:space="preserve">  (Why Is It So Difficult… (inventory demand), p. 156)</w:t>
      </w:r>
    </w:p>
    <w:p>
      <w:pPr>
        <w:spacing w:after="140"/>
        <w:ind w:left="360"/>
      </w:pPr>
      <w:r>
        <w:rPr>
          <w:b/>
          <w:bCs/>
        </w:rPr>
        <w:t xml:space="preserve">Use it for:</w:t>
      </w:r>
      <w:r>
        <w:t xml:space="preserve"> framing my aim: react quickly to crises as they appear in the news, not predict when they start.</w:t>
      </w:r>
    </w:p>
    <w:p>
      <w:pPr>
        <w:pBdr>
          <w:left w:val="single" w:color="1F4E79" w:sz="18" w:space="8"/>
        </w:pBdr>
        <w:shd w:fill="F2F6FA" w:color="auto" w:val="clear"/>
        <w:spacing w:after="40" w:before="120"/>
        <w:ind w:left="360"/>
      </w:pPr>
      <w:r>
        <w:rPr>
          <w:b/>
          <w:bCs/>
          <w:color w:val="C00000"/>
        </w:rPr>
        <w:t xml:space="preserve">★ </w:t>
      </w:r>
      <w:r>
        <w:rPr>
          <w:i/>
          <w:iCs/>
        </w:rPr>
        <w:t xml:space="preserve">“Historical evidence suggests that, in practice, shifts in inventory demand tend to arise only when geopolitical turmoil coincides with expectations of strong demand for crude oil and tight oil supplies. Geopolitical tensions alone, in contrast, will not have an effect on the price of oil as long as oil supplies are plentiful relative to expected demand (Mabro 1998).”</w:t>
      </w:r>
      <w:r>
        <w:rPr>
          <w:b/>
          <w:bCs/>
          <w:color w:val="1F4E79"/>
        </w:rPr>
        <w:t xml:space="preserve">  (Why Is It So Difficult… (inventory demand), pp. 156–157)</w:t>
      </w:r>
    </w:p>
    <w:p>
      <w:pPr>
        <w:spacing w:after="140"/>
        <w:ind w:left="360"/>
      </w:pPr>
      <w:r>
        <w:rPr>
          <w:b/>
          <w:bCs/>
        </w:rPr>
        <w:t xml:space="preserve">Use it for:</w:t>
      </w:r>
      <w:r>
        <w:t xml:space="preserve"> the most important line in the paper for me. It says when my scores should work (tight markets), and justifies tightness features and score × tightness interactions.</w:t>
      </w:r>
    </w:p>
    <w:p>
      <w:pPr>
        <w:pBdr>
          <w:left w:val="single" w:color="1F4E79" w:sz="18" w:space="8"/>
        </w:pBdr>
        <w:shd w:fill="F2F6FA" w:color="auto" w:val="clear"/>
        <w:spacing w:after="40" w:before="120"/>
        <w:ind w:left="360"/>
      </w:pPr>
      <w:r>
        <w:rPr>
          <w:b/>
          <w:bCs/>
          <w:color w:val="C00000"/>
        </w:rPr>
        <w:t xml:space="preserve">★ </w:t>
      </w:r>
      <w:r>
        <w:rPr>
          <w:i/>
          <w:iCs/>
        </w:rPr>
        <w:t xml:space="preserve">“Thus, most oil price predictions simply ignore the possibility of future political or economic crises, except to the extent that they are already priced in at the time the prediction is made. Because crises are rare, this strategy usually works, but occasionally it may result in spectacular predictive failures.”</w:t>
      </w:r>
      <w:r>
        <w:rPr>
          <w:b/>
          <w:bCs/>
          <w:color w:val="1F4E79"/>
        </w:rPr>
        <w:t xml:space="preserve">  (Why Is It So Difficult…, p. 157)</w:t>
      </w:r>
    </w:p>
    <w:p>
      <w:pPr>
        <w:spacing w:after="140"/>
        <w:ind w:left="360"/>
      </w:pPr>
      <w:r>
        <w:rPr>
          <w:b/>
          <w:bCs/>
        </w:rPr>
        <w:t xml:space="preserve">Use it for:</w:t>
      </w:r>
      <w:r>
        <w:t xml:space="preserve"> the gap my project targets: standard forecasts ignore crises, and fail badly when one hits.</w:t>
      </w:r>
    </w:p>
    <w:p>
      <w:pPr>
        <w:pStyle w:val="Heading1"/>
      </w:pPr>
      <w:r>
        <w:t xml:space="preserve">Conclusion</w:t>
      </w:r>
    </w:p>
    <w:p>
      <w:pPr>
        <w:spacing w:after="80" w:before="160"/>
      </w:pPr>
      <w:r>
        <w:rPr>
          <w:b/>
          <w:bCs/>
          <w:color w:val="1F4E79"/>
        </w:rPr>
        <w:t xml:space="preserve">What it says</w:t>
      </w:r>
    </w:p>
    <w:p>
      <w:pPr>
        <w:pStyle w:val="ListParagraph"/>
        <w:numPr>
          <w:ilvl w:val="0"/>
          <w:numId w:val="2"/>
        </w:numPr>
        <w:spacing w:after="60"/>
      </w:pPr>
      <w:r>
        <w:t xml:space="preserve">Understanding of past oil moves has improved a lot, but prices keep surprising everyone.</w:t>
      </w:r>
    </w:p>
    <w:p>
      <w:pPr>
        <w:pStyle w:val="ListParagraph"/>
        <w:numPr>
          <w:ilvl w:val="0"/>
          <w:numId w:val="2"/>
        </w:numPr>
        <w:spacing w:after="60"/>
      </w:pPr>
      <w:r>
        <w:t xml:space="preserve">How big a shock looks depends on the expectations measure.</w:t>
      </w:r>
    </w:p>
    <w:p>
      <w:pPr>
        <w:pStyle w:val="ListParagraph"/>
        <w:numPr>
          <w:ilvl w:val="0"/>
          <w:numId w:val="2"/>
        </w:numPr>
        <w:spacing w:after="60"/>
      </w:pPr>
      <w:r>
        <w:t xml:space="preserve">Shocks matter for the economy through lost spending power (fuel bills) and through investment decisions that depend on expected oil prices.</w:t>
      </w:r>
    </w:p>
    <w:p>
      <w:pPr>
        <w:pStyle w:val="ListParagraph"/>
        <w:numPr>
          <w:ilvl w:val="0"/>
          <w:numId w:val="2"/>
        </w:numPr>
        <w:spacing w:after="60"/>
      </w:pPr>
      <w:r>
        <w:t xml:space="preserve">Effects depend on the </w:t>
      </w:r>
      <w:r>
        <w:rPr>
          <w:b/>
          <w:bCs/>
        </w:rPr>
        <w:t xml:space="preserve">cause</w:t>
      </w:r>
      <w:r>
        <w:t xml:space="preserve"> of the shock. Future research: allow different agents to hold different expectations in macro models.</w:t>
      </w:r>
    </w:p>
    <w:p>
      <w:pPr>
        <w:spacing w:after="80" w:before="160"/>
      </w:pPr>
      <w:r>
        <w:rPr>
          <w:b/>
          <w:bCs/>
          <w:color w:val="1F4E79"/>
        </w:rPr>
        <w:t xml:space="preserve">What it means for my project</w:t>
      </w:r>
    </w:p>
    <w:p>
      <w:pPr>
        <w:pStyle w:val="ListParagraph"/>
        <w:numPr>
          <w:ilvl w:val="0"/>
          <w:numId w:val="2"/>
        </w:numPr>
        <w:spacing w:after="60"/>
      </w:pPr>
      <w:r>
        <w:t xml:space="preserve">“Effects depend on the cause” supports separating shock sources in my features (producer, chokepoint, demand) instead of one combined risk number.</w:t>
      </w:r>
    </w:p>
    <w:p>
      <w:pPr>
        <w:pStyle w:val="ListParagraph"/>
        <w:numPr>
          <w:ilvl w:val="0"/>
          <w:numId w:val="2"/>
        </w:numPr>
        <w:spacing w:after="60"/>
      </w:pPr>
      <w:r>
        <w:t xml:space="preserve">The heterogeneous-expectations idea is low relevance for me.</w:t>
      </w:r>
    </w:p>
    <w:p>
      <w:pPr>
        <w:pBdr>
          <w:left w:val="single" w:color="1F4E79" w:sz="18" w:space="8"/>
        </w:pBdr>
        <w:shd w:fill="F2F6FA" w:color="auto" w:val="clear"/>
        <w:spacing w:after="40" w:before="120"/>
        <w:ind w:left="360"/>
      </w:pPr>
      <w:r>
        <w:rPr>
          <w:b/>
          <w:bCs/>
          <w:color w:val="C00000"/>
        </w:rPr>
        <w:t xml:space="preserve">★ </w:t>
      </w:r>
      <w:r>
        <w:rPr>
          <w:i/>
          <w:iCs/>
        </w:rPr>
        <w:t xml:space="preserve">“Although our understanding of historical oil price fluctuations has greatly improved, oil prices keep surprising economists, policymakers, consumers, and financial market participants.”</w:t>
      </w:r>
      <w:r>
        <w:rPr>
          <w:b/>
          <w:bCs/>
          <w:color w:val="1F4E79"/>
        </w:rPr>
        <w:t xml:space="preserve">  (Conclusion, p. 157)</w:t>
      </w:r>
    </w:p>
    <w:p>
      <w:pPr>
        <w:spacing w:after="140"/>
        <w:ind w:left="360"/>
      </w:pPr>
      <w:r>
        <w:rPr>
          <w:b/>
          <w:bCs/>
        </w:rPr>
        <w:t xml:space="preserve">Use it for:</w:t>
      </w:r>
      <w:r>
        <w:t xml:space="preserve"> an opening line for my introduction or background section.</w:t>
      </w:r>
    </w:p>
    <w:p>
      <w:pPr>
        <w:pBdr>
          <w:left w:val="single" w:color="1F4E79" w:sz="18" w:space="8"/>
        </w:pBdr>
        <w:shd w:fill="F2F6FA" w:color="auto" w:val="clear"/>
        <w:spacing w:after="40" w:before="120"/>
        <w:ind w:left="360"/>
      </w:pPr>
      <w:r>
        <w:rPr>
          <w:i/>
          <w:iCs/>
        </w:rPr>
        <w:t xml:space="preserve">“One important insight of the recent literature has been that these questions cannot be answered without taking account of the underlying causes of the oil price shock.”</w:t>
      </w:r>
      <w:r>
        <w:rPr>
          <w:b/>
          <w:bCs/>
          <w:color w:val="1F4E79"/>
        </w:rPr>
        <w:t xml:space="preserve">  (Conclusion, p. 158)</w:t>
      </w:r>
    </w:p>
    <w:p>
      <w:pPr>
        <w:spacing w:after="140"/>
        <w:ind w:left="360"/>
      </w:pPr>
      <w:r>
        <w:rPr>
          <w:b/>
          <w:bCs/>
        </w:rPr>
        <w:t xml:space="preserve">Use it for:</w:t>
      </w:r>
      <w:r>
        <w:t xml:space="preserve"> why features should be separated by shock source (supply by producer, chokepoints, demand).</w:t>
      </w:r>
    </w:p>
    <w:p>
      <w:pPr>
        <w:pStyle w:val="Heading1"/>
      </w:pPr>
      <w:r>
        <w:t xml:space="preserve">References Worth Following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Alquist, Kilian &amp; Vigfusson (2013) “Forecasting the Price of Oil”, Handbook of Economic Forecasting vol. 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key reference for oil forecasting benchmarks</w:t>
            </w:r>
            <w:r>
              <w:rPr>
                <w:b w:val="false"/>
                <w:bCs w:val="false"/>
                <w:sz w:val="19"/>
                <w:szCs w:val="19"/>
              </w:rPr>
              <w:t xml:space="preserve"> (no-change forecast, futures, model comparisons). Better than this paper for justifying my baselines.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(2012) “Real-Time Forecasts of the Real Price of Oil”, JBES 30(2)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Real-time forecasting using only data available at the time. Same idea as my walk-forward setup.</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(2015b) “Forecasting the Real Price of Oil in a Changing World: A Forecast Combination Approach”, JBES 33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Combining forecasts and changing model performance over time. Supports my ensemble idea.</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(2009a) “Not All Oil Price Shocks Are Alike”, AER 99(3)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classic paper separating supply, flow demand and precautionary demand shocks. Cite for the framework.</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&amp; Murphy (2014) “The Role of Inventories and Speculative Trading…”, J. Applied Econometrics 29(3)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VAR model behind most results here. Source for the episode breakdowns.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Hamilton (2003) “What Is an Oil Shock?”, J. Econometrics 113(2)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supply-side view B&amp;K argue against. Cite for balance.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&amp; Lee (2014), J. Int. Money &amp; Finance 42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of the Libya ($3–13) and Iran 2012 ($0–9) estimates.</w:t>
            </w:r>
          </w:p>
        </w:tc>
      </w:tr>
    </w:tbl>
    <w:p>
      <w:pPr>
        <w:spacing w:after="120"/>
      </w:pPr>
    </w:p>
    <w:p>
      <w:pPr>
        <w:pStyle w:val="Heading1"/>
      </w:pPr>
      <w:r>
        <w:t xml:space="preserve">Problems and Limits of This Paper (for the critical evaluation)</w:t>
      </w:r>
    </w:p>
    <w:p>
      <w:pPr>
        <w:spacing w:after="120"/>
      </w:pPr>
      <w:r>
        <w:t xml:space="preserve">This is a respected paper by leading authors, so the critique is about its limits and how far its conclusions reach, not errors. Check each one yourself before writing it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600"/>
        <w:gridCol w:w="332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Limit</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it relates to my project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review, not a forecasting study. No out-of-sample tests of forecasting models are reported here.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Whole paper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it for background and the demand/supply framework; cite Alquist et al. (2013) and B&amp;K (2012, 2015b) for forecasting.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demand-dominates conclusion relies mainly on the authors' own structural VAR models. Results depend on identification assumptions, and the supply-vs-demand split is still debated (Hamilton's opposing view). Later work by Baumeister herself with Hamilton (2019, AER) revisits this with a different method and gives supply shocks a bigger role — worth checking and citing.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Historical Episodes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Present it as a debate, not settled fact. That leaves room for my supply-risk approach.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Geopolitical risk is never measured directly. It's inferred as “inventory demand”, a residual in the VAR.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Historical Episodes, Why Difficult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opening for my project:</w:t>
            </w:r>
            <w:r>
              <w:rPr>
                <w:b w:val="false"/>
                <w:bCs w:val="false"/>
                <w:sz w:val="19"/>
                <w:szCs w:val="19"/>
              </w:rPr>
              <w:t xml:space="preserve"> text-based measures (GPR, AI-GPR, my LLM scores) measure directly what B&amp;K can only infer.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Mostly WTI, monthly/quarterly data, US-focused.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Throughout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use Brent, weekly, and global news sources.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Ends in early 2015. Doesn't cover mature shale, OPEC+ (from 2016), COVID and negative WTI (2020), Russia–Ukraine (2022), or Hormuz 2026.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Throughout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 structure has changed since. My test period covers newer episodes.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Tanker War point (“no apparent effect”) is a single historical comparison in a period of oversupply.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pp. 146, 157</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Context matters: test in my case study whether 2026 differed because the market was tighter or the risk to flows was larger.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Event dollar estimates (Libya, Iran 2012, Iraq 2003) come from different models and have wide ranges ($0–9, $3–13).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 147</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them as rough scale checks only.</w:t>
            </w:r>
          </w:p>
        </w:tc>
      </w:tr>
    </w:tbl>
    <w:p>
      <w:pPr>
        <w:spacing w:after="120"/>
      </w:pPr>
    </w:p>
    <w:p>
      <w:pPr>
        <w:pStyle w:val="Heading1"/>
      </w:pPr>
      <w:r>
        <w:t xml:space="preserve">Summary — Key Takeaways and Checklist</w:t>
      </w:r>
    </w:p>
    <w:p>
      <w:pPr>
        <w:pStyle w:val="Heading3"/>
      </w:pPr>
      <w:r>
        <w:t xml:space="preserve">How this paper compares with my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Baumeister &amp; Kilian (2016)</w:t>
            </w:r>
          </w:p>
        </w:tc>
        <w:tc>
          <w:tcPr>
            <w:tcW w:type="dxa" w:w="3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My project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Type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 article backed by structural VAR evidence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ML forecasting system with walk-forward evaluation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Question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Why did oil prices move since 1973, and why are they still hard to predict?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 LLM supply-risk scores improve weekly Brent direction forecasts?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WTI (mostly), monthly/quarterly, real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Brent, weekly direction (buy/hold/sell, ±1.5% over 5 trading days)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Geopolitics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measured. Inferred as inventory (precautionary) demand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Measured directly: LLM scores per producer and chokepoint + Lloyd's JWC flag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Demand side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Central: global business cycle drives most big moves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Covered by Model A fundamentals (global activity, USD, inventories)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Historical decompositions and shock comparisons by episode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Walk-forward, DM test, SHAP, ablation A/B/C</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Key claim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Geopolitics matters through expectations, and only when supply is tight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 test: scores add information, especially in tight markets and crises</w:t>
            </w:r>
          </w:p>
        </w:tc>
      </w:tr>
    </w:tbl>
    <w:p>
      <w:pPr>
        <w:spacing w:after="120"/>
      </w:pPr>
    </w:p>
    <w:p>
      <w:pPr>
        <w:pStyle w:val="Heading3"/>
      </w:pPr>
      <w:r>
        <w:t xml:space="preserve">How to answer the paper's challenge (for the lit review)</w:t>
      </w:r>
    </w:p>
    <w:p>
      <w:pPr>
        <w:spacing w:after="120"/>
      </w:pPr>
      <w:r>
        <w:rPr>
          <w:b/>
          <w:bCs/>
        </w:rPr>
        <w:t xml:space="preserve">The challenge:</w:t>
      </w:r>
      <w:r>
        <w:t xml:space="preserve"> B&amp;K say most oil price moves are demand-driven and supply disruptions matter less than people think. Why build a project around supply-risk scores?</w:t>
      </w:r>
    </w:p>
    <w:p>
      <w:pPr>
        <w:spacing w:after="120"/>
      </w:pPr>
      <w:r>
        <w:rPr>
          <w:b/>
          <w:bCs/>
        </w:rPr>
        <w:t xml:space="preserve">My answer (four points):</w:t>
      </w:r>
    </w:p>
    <w:p>
      <w:pPr>
        <w:pStyle w:val="ListParagraph"/>
        <w:numPr>
          <w:ilvl w:val="0"/>
          <w:numId w:val="4"/>
        </w:numPr>
        <w:spacing w:after="80"/>
      </w:pPr>
      <w:r>
        <w:t xml:space="preserve">My scores measure </w:t>
      </w:r>
      <w:r>
        <w:rPr>
          <w:b/>
          <w:bCs/>
        </w:rPr>
        <w:t xml:space="preserve">risk and expectations</w:t>
      </w:r>
      <w:r>
        <w:t xml:space="preserve"> (threats, chokepoint danger, insurance listings), which is the precautionary/inventory-demand channel B&amp;K say geopolitics works through (1979, 1990). They're not just counting lost barrels.</w:t>
      </w:r>
    </w:p>
    <w:p>
      <w:pPr>
        <w:pStyle w:val="ListParagraph"/>
        <w:numPr>
          <w:ilvl w:val="0"/>
          <w:numId w:val="4"/>
        </w:numPr>
        <w:spacing w:after="80"/>
      </w:pPr>
      <w:r>
        <w:t xml:space="preserve">B&amp;K </w:t>
      </w:r>
      <w:r>
        <w:rPr>
          <w:b/>
          <w:bCs/>
        </w:rPr>
        <w:t xml:space="preserve">infer</w:t>
      </w:r>
      <w:r>
        <w:t xml:space="preserve"> this channel as a VAR residual. My project </w:t>
      </w:r>
      <w:r>
        <w:rPr>
          <w:b/>
          <w:bCs/>
        </w:rPr>
        <w:t xml:space="preserve">measures</w:t>
      </w:r>
      <w:r>
        <w:t xml:space="preserve"> it directly from news, weekly and per producer.</w:t>
      </w:r>
    </w:p>
    <w:p>
      <w:pPr>
        <w:pStyle w:val="ListParagraph"/>
        <w:numPr>
          <w:ilvl w:val="0"/>
          <w:numId w:val="4"/>
        </w:numPr>
        <w:spacing w:after="80"/>
      </w:pPr>
      <w:r>
        <w:t xml:space="preserve">I don't claim supply risk is everything. Model A keeps demand fundamentals, and the A → B → C ablation tests how much the scores </w:t>
      </w:r>
      <w:r>
        <w:rPr>
          <w:b/>
          <w:bCs/>
        </w:rPr>
        <w:t xml:space="preserve">add</w:t>
      </w:r>
      <w:r>
        <w:t xml:space="preserve"> on top of them.</w:t>
      </w:r>
    </w:p>
    <w:p>
      <w:pPr>
        <w:pStyle w:val="ListParagraph"/>
        <w:numPr>
          <w:ilvl w:val="0"/>
          <w:numId w:val="4"/>
        </w:numPr>
        <w:spacing w:after="80"/>
      </w:pPr>
      <w:r>
        <w:t xml:space="preserve">Following B&amp;K, I expect the scores to matter mainly when the market is tight, and I test that directly (tightness features + interaction / SHAP analysis).</w:t>
      </w:r>
    </w:p>
    <w:p>
      <w:pPr>
        <w:pStyle w:val="Heading3"/>
      </w:pPr>
      <w:r>
        <w:t xml:space="preserve">Things to take into my project</w:t>
      </w:r>
    </w:p>
    <w:p>
      <w:pPr>
        <w:pStyle w:val="ListParagraph"/>
        <w:numPr>
          <w:ilvl w:val="0"/>
          <w:numId w:val="5"/>
        </w:numPr>
        <w:spacing w:after="80"/>
      </w:pPr>
      <w:r>
        <w:rPr>
          <w:b/>
          <w:bCs/>
        </w:rPr>
        <w:t xml:space="preserve">Organise features by B&amp;K's three drivers</w:t>
      </w:r>
      <w:r>
        <w:t xml:space="preserve"> (supply, flow demand, inventory/precautionary demand) in the methodology chapter.</w:t>
      </w:r>
    </w:p>
    <w:p>
      <w:pPr>
        <w:pStyle w:val="ListParagraph"/>
        <w:numPr>
          <w:ilvl w:val="0"/>
          <w:numId w:val="5"/>
        </w:numPr>
        <w:spacing w:after="80"/>
      </w:pPr>
      <w:r>
        <w:rPr>
          <w:b/>
          <w:bCs/>
        </w:rPr>
        <w:t xml:space="preserve">Make sure Model A has the Kilian &amp; Murphy fundamentals:</w:t>
      </w:r>
      <w:r>
        <w:t xml:space="preserve"> global oil production, global real economic activity (e.g. Kilian's global real activity index), and inventories. Plus USD.</w:t>
      </w:r>
    </w:p>
    <w:p>
      <w:pPr>
        <w:pStyle w:val="ListParagraph"/>
        <w:numPr>
          <w:ilvl w:val="0"/>
          <w:numId w:val="5"/>
        </w:numPr>
        <w:spacing w:after="80"/>
      </w:pPr>
      <w:r>
        <w:rPr>
          <w:b/>
          <w:bCs/>
        </w:rPr>
        <w:t xml:space="preserve">Add tightness features:</w:t>
      </w:r>
      <w:r>
        <w:t xml:space="preserve"> OPEC spare capacity, OECD/US inventories, optionally the Brent futures-curve slope.</w:t>
      </w:r>
    </w:p>
    <w:p>
      <w:pPr>
        <w:pStyle w:val="ListParagraph"/>
        <w:numPr>
          <w:ilvl w:val="0"/>
          <w:numId w:val="5"/>
        </w:numPr>
        <w:spacing w:after="80"/>
      </w:pPr>
      <w:r>
        <w:rPr>
          <w:b/>
          <w:bCs/>
        </w:rPr>
        <w:t xml:space="preserve">Test the tightness condition:</w:t>
      </w:r>
      <w:r>
        <w:t xml:space="preserve"> SHAP dependence plots of my scores coloured by inventories/spare capacity. Expect larger effects when supply is tight.</w:t>
      </w:r>
    </w:p>
    <w:p>
      <w:pPr>
        <w:pStyle w:val="ListParagraph"/>
        <w:numPr>
          <w:ilvl w:val="0"/>
          <w:numId w:val="5"/>
        </w:numPr>
        <w:spacing w:after="80"/>
      </w:pPr>
      <w:r>
        <w:rPr>
          <w:b/>
          <w:bCs/>
        </w:rPr>
        <w:t xml:space="preserve">Cover the downside:</w:t>
      </w:r>
      <w:r>
        <w:t xml:space="preserve"> add OPEC policy/production features so the model can see supply increases and price wars (1986, 2014). My LLM scores only see disruption risk.</w:t>
      </w:r>
    </w:p>
    <w:p>
      <w:pPr>
        <w:pStyle w:val="ListParagraph"/>
        <w:numPr>
          <w:ilvl w:val="0"/>
          <w:numId w:val="5"/>
        </w:numPr>
        <w:spacing w:after="80"/>
      </w:pPr>
      <w:r>
        <w:rPr>
          <w:b/>
          <w:bCs/>
        </w:rPr>
        <w:t xml:space="preserve">Start data no earlier than 1974</w:t>
      </w:r>
      <w:r>
        <w:t xml:space="preserve"> (structural break) and justify it with the quote.</w:t>
      </w:r>
    </w:p>
    <w:p>
      <w:pPr>
        <w:pStyle w:val="ListParagraph"/>
        <w:numPr>
          <w:ilvl w:val="0"/>
          <w:numId w:val="5"/>
        </w:numPr>
        <w:spacing w:after="80"/>
      </w:pPr>
      <w:r>
        <w:rPr>
          <w:b/>
          <w:bCs/>
        </w:rPr>
        <w:t xml:space="preserve">Justify Brent</w:t>
      </w:r>
      <w:r>
        <w:t xml:space="preserve"> with the p. 148 quote.</w:t>
      </w:r>
    </w:p>
    <w:p>
      <w:pPr>
        <w:pStyle w:val="ListParagraph"/>
        <w:numPr>
          <w:ilvl w:val="0"/>
          <w:numId w:val="5"/>
        </w:numPr>
        <w:spacing w:after="80"/>
      </w:pPr>
      <w:r>
        <w:rPr>
          <w:b/>
          <w:bCs/>
        </w:rPr>
        <w:t xml:space="preserve">Use the Tanker War as a comparison in the Hormuz case study:</w:t>
      </w:r>
      <w:r>
        <w:t xml:space="preserve"> why did prices react (or not) in 2026 compared with the 1980s? Check the actual 2026 data first.</w:t>
      </w:r>
    </w:p>
    <w:p>
      <w:pPr>
        <w:pStyle w:val="ListParagraph"/>
        <w:numPr>
          <w:ilvl w:val="0"/>
          <w:numId w:val="5"/>
        </w:numPr>
        <w:spacing w:after="80"/>
      </w:pPr>
      <w:r>
        <w:rPr>
          <w:b/>
          <w:bCs/>
        </w:rPr>
        <w:t xml:space="preserve">Add a no-change (“always hold”) baseline</w:t>
      </w:r>
      <w:r>
        <w:t xml:space="preserve"> and cite Alquist, Kilian &amp; Vigfusson (2013) for it. Read that chapter next if possible.</w:t>
      </w:r>
    </w:p>
    <w:p>
      <w:pPr>
        <w:pStyle w:val="ListParagraph"/>
        <w:numPr>
          <w:ilvl w:val="0"/>
          <w:numId w:val="5"/>
        </w:numPr>
        <w:spacing w:after="80"/>
      </w:pPr>
      <w:r>
        <w:rPr>
          <w:b/>
          <w:bCs/>
        </w:rPr>
        <w:t xml:space="preserve">Frame the aim correctly:</w:t>
      </w:r>
      <w:r>
        <w:t xml:space="preserve"> reacting quickly to crises already in the news, not predicting when they start.</w:t>
      </w:r>
    </w:p>
    <w:p>
      <w:pPr>
        <w:pStyle w:val="Heading3"/>
      </w:pPr>
      <w:r>
        <w:t xml:space="preserve">Must-cite lines (shortlist)</w:t>
      </w:r>
    </w:p>
    <w:p>
      <w:pPr>
        <w:pStyle w:val="ListParagraph"/>
        <w:numPr>
          <w:ilvl w:val="0"/>
          <w:numId w:val="2"/>
        </w:numPr>
        <w:spacing w:after="60"/>
      </w:pPr>
      <w:r>
        <w:t xml:space="preserve">Introduction: the three determinants of oil prices (p. 140)</w:t>
      </w:r>
    </w:p>
    <w:p>
      <w:pPr>
        <w:pStyle w:val="ListParagraph"/>
        <w:numPr>
          <w:ilvl w:val="0"/>
          <w:numId w:val="2"/>
        </w:numPr>
        <w:spacing w:after="60"/>
      </w:pPr>
      <w:r>
        <w:t xml:space="preserve">Historical Episodes: supply disruptions “not as important as originally thought” (pp. 141–142)</w:t>
      </w:r>
    </w:p>
    <w:p>
      <w:pPr>
        <w:pStyle w:val="ListParagraph"/>
        <w:numPr>
          <w:ilvl w:val="0"/>
          <w:numId w:val="2"/>
        </w:numPr>
        <w:spacing w:after="60"/>
      </w:pPr>
      <w:r>
        <w:t xml:space="preserve">Historical Episodes: inventory demand high with Middle East tension and low spare capacity (p. 142)</w:t>
      </w:r>
    </w:p>
    <w:p>
      <w:pPr>
        <w:pStyle w:val="ListParagraph"/>
        <w:numPr>
          <w:ilvl w:val="0"/>
          <w:numId w:val="2"/>
        </w:numPr>
        <w:spacing w:after="60"/>
      </w:pPr>
      <w:r>
        <w:t xml:space="preserve">1979: Iran mattered through expectations, not production (p. 144)</w:t>
      </w:r>
    </w:p>
    <w:p>
      <w:pPr>
        <w:pStyle w:val="ListParagraph"/>
        <w:numPr>
          <w:ilvl w:val="0"/>
          <w:numId w:val="2"/>
        </w:numPr>
        <w:spacing w:after="60"/>
      </w:pPr>
      <w:r>
        <w:t xml:space="preserve">1980s: 30 tanker attacks a month, little effect on price (p. 146)</w:t>
      </w:r>
    </w:p>
    <w:p>
      <w:pPr>
        <w:pStyle w:val="ListParagraph"/>
        <w:numPr>
          <w:ilvl w:val="0"/>
          <w:numId w:val="2"/>
        </w:numPr>
        <w:spacing w:after="60"/>
      </w:pPr>
      <w:r>
        <w:t xml:space="preserve">Brent as the world benchmark (p. 148)</w:t>
      </w:r>
    </w:p>
    <w:p>
      <w:pPr>
        <w:pStyle w:val="ListParagraph"/>
        <w:numPr>
          <w:ilvl w:val="0"/>
          <w:numId w:val="2"/>
        </w:numPr>
        <w:spacing w:after="60"/>
      </w:pPr>
      <w:r>
        <w:t xml:space="preserve">Kilian &amp; Murphy VAR variables (p. 148)</w:t>
      </w:r>
    </w:p>
    <w:p>
      <w:pPr>
        <w:pStyle w:val="ListParagraph"/>
        <w:numPr>
          <w:ilvl w:val="0"/>
          <w:numId w:val="2"/>
        </w:numPr>
        <w:spacing w:after="60"/>
      </w:pPr>
      <w:r>
        <w:t xml:space="preserve">“only as predictable as its determinants” (p. 154)</w:t>
      </w:r>
    </w:p>
    <w:p>
      <w:pPr>
        <w:pStyle w:val="ListParagraph"/>
        <w:numPr>
          <w:ilvl w:val="0"/>
          <w:numId w:val="2"/>
        </w:numPr>
        <w:spacing w:after="60"/>
      </w:pPr>
      <w:r>
        <w:t xml:space="preserve">Geopolitical tensions only matter when supplies are tight (pp. 156–157)</w:t>
      </w:r>
    </w:p>
    <w:p>
      <w:pPr>
        <w:pStyle w:val="ListParagraph"/>
        <w:numPr>
          <w:ilvl w:val="0"/>
          <w:numId w:val="2"/>
        </w:numPr>
        <w:spacing w:after="60"/>
      </w:pPr>
      <w:r>
        <w:t xml:space="preserve">“spectacular predictive failures” (p. 157)</w:t>
      </w:r>
    </w:p>
    <w:p>
      <w:pPr>
        <w:pStyle w:val="Heading3"/>
      </w:pPr>
      <w:r>
        <w:t xml:space="preserve">Where it fits in my lit review</w:t>
      </w:r>
    </w:p>
    <w:p>
      <w:pPr>
        <w:spacing w:after="120"/>
      </w:pPr>
      <w:r>
        <w:t xml:space="preserve">Use it in the </w:t>
      </w:r>
      <w:r>
        <w:rPr>
          <w:b/>
          <w:bCs/>
        </w:rPr>
        <w:t xml:space="preserve">first</w:t>
      </w:r>
      <w:r>
        <w:t xml:space="preserve"> section, “What drives oil prices”, before the geopolitical-risk measurement papers. The story: Hamilton (supply shocks drive oil) → Kilian / Baumeister &amp; Kilian (demand dominates; geopolitics works through expectations, only when the market is tight) → but that channel is only inferred, never measured → Caldara &amp; Iacoviello and AI-GPR measure geopolitical risk from text → Cao et al. use LLM features for oil forecasting → my project measures oil-supply risk per producer and chokepoint and tests it in walk-forward forecasting.</w:t>
      </w:r>
    </w:p>
    <w:p>
      <w:pPr>
        <w:pStyle w:val="Heading3"/>
      </w:pPr>
      <w:r>
        <w:t xml:space="preserve">My one-line difference from this paper</w:t>
      </w:r>
    </w:p>
    <w:p>
      <w:pPr>
        <w:spacing w:after="120"/>
      </w:pPr>
      <w:r>
        <w:rPr>
          <w:b/>
          <w:bCs/>
        </w:rPr>
        <w:t xml:space="preserve">Baumeister &amp; Kilian explain past oil price moves with structural models and infer geopolitical risk as precautionary demand; my project measures that risk directly from news, per producer and chokepoint, and tests out-of-sample whether it improves weekly Brent direction forecasts — especially when the market is tight.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Baumeister &amp; Kilian (2016)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Baumeister &amp; Kilian (2016) — Paper Notes</dc:title>
  <dc:creator>Ali</dc:creator>
  <cp:lastModifiedBy>Un-named</cp:lastModifiedBy>
  <cp:revision>1</cp:revision>
  <dcterms:created xsi:type="dcterms:W3CDTF">2026-10-19T15:01:52.557Z</dcterms:created>
  <dcterms:modified xsi:type="dcterms:W3CDTF">2026-10-19T15:01:52.566Z</dcterms:modified>
</cp:coreProperties>
</file>

<file path=docProps/custom.xml><?xml version="1.0" encoding="utf-8"?>
<Properties xmlns="http://schemas.openxmlformats.org/officeDocument/2006/custom-properties" xmlns:vt="http://schemas.openxmlformats.org/officeDocument/2006/docPropsVTypes"/>
</file>