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Cao et al. (2026) — Paper Notes</w:t>
      </w:r>
    </w:p>
    <w:p>
      <w:pPr>
        <w:spacing w:after="120"/>
      </w:pPr>
      <w:r>
        <w:t xml:space="preserve">Notes on “Improving Crude Oil Price Prediction Using LLM-Based Hierarchical Semantic Extraction and Heterogeneous Graph Neural Networks” (IEEE Access, 2026). Where my project differs, what to copy, what's wrong with it, and the exact lines to quote.</w:t>
      </w:r>
    </w:p>
    <w:p>
      <w:pPr>
        <w:spacing w:after="120"/>
      </w:pPr>
      <w:r>
        <w:t xml:space="preserve">19 October 2026 · Ali</w:t>
      </w:r>
    </w:p>
    <w:p>
      <w:pPr>
        <w:pStyle w:val="Heading3"/>
      </w:pPr>
      <w:r>
        <w:t xml:space="preserve">Reference</w:t>
      </w:r>
    </w:p>
    <w:p>
      <w:pPr>
        <w:spacing w:after="120"/>
      </w:pPr>
      <w:r>
        <w:rPr>
          <w:b/>
          <w:bCs/>
        </w:rPr>
        <w:t xml:space="preserve">Harvard:</w:t>
      </w:r>
      <w:r>
        <w:t xml:space="preserve"> Cao, S., Qu, Z., Cen, C., Xu, Z. and Zou, Y. (2026) ‘Improving crude oil price prediction using LLM-based hierarchical semantic extraction and heterogeneous graph neural networks’, IEEE Access, 14, pp. 52911–52926. doi:10.1109/ACCESS.2026.3681371.</w:t>
      </w:r>
    </w:p>
    <w:p>
      <w:pPr>
        <w:spacing w:after="120"/>
      </w:pPr>
      <w:r>
        <w:rPr>
          <w:b/>
          <w:bCs/>
        </w:rPr>
        <w:t xml:space="preserve">IEEE:</w:t>
      </w:r>
      <w:r>
        <w:t xml:space="preserve"> S. Cao, Z. Qu, C. Cen, Z. Xu, and Y. Zou, “Improving crude oil price prediction using LLM-based hierarchical semantic extraction and heterogeneous graph neural networks,” IEEE Access, vol. 14, pp. 52911–52926, 2026, doi: 10.1109/ACCESS.2026.3681371.</w:t>
      </w:r>
    </w:p>
    <w:p>
      <w:pPr>
        <w:pStyle w:val="Heading3"/>
      </w:pPr>
      <w:r>
        <w:t xml:space="preserve">How to use these notes</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w:t>
      </w:r>
    </w:p>
    <w:p>
      <w:pPr>
        <w:pStyle w:val="ListParagraph"/>
        <w:numPr>
          <w:ilvl w:val="0"/>
          <w:numId w:val="2"/>
        </w:numPr>
        <w:spacing w:after="60"/>
      </w:pPr>
      <w:r>
        <w:t xml:space="preserve">Quotes are word-for-word with section and page number (pages run 52911–52926). ★ = must-cite.</w:t>
      </w:r>
    </w:p>
    <w:p>
      <w:pPr>
        <w:pStyle w:val="ListParagraph"/>
        <w:numPr>
          <w:ilvl w:val="0"/>
          <w:numId w:val="2"/>
        </w:numPr>
        <w:spacing w:after="60"/>
      </w:pPr>
      <w:r>
        <w:t xml:space="preserve">Orange boxes are problems I found in the paper. Use them in the lit review's critical evaluation, and check them yourself before writing them up.</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Cao et al. (2026)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IEEE Access, vol. 14 (open access, CC BY 4.0). Received 17 Mar 2026, accepted 30 Mar 2026.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Question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 LLM-structured news features improve Brent price forecasts, especially during geopolitical shocks?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Target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 Brent spot </w:t>
            </w:r>
            <w:r>
              <w:rPr>
                <w:b w:val="false"/>
                <w:bCs w:val="false"/>
                <w:sz w:val="19"/>
                <w:szCs w:val="19"/>
              </w:rPr>
              <w:t xml:space="preserve">price level</w:t>
            </w:r>
            <w:r>
              <w:rPr>
                <w:b w:val="false"/>
                <w:bCs w:val="false"/>
                <w:sz w:val="19"/>
                <w:szCs w:val="19"/>
              </w:rPr>
              <w:t xml:space="preserve"> (regression, $/barrel). Forecast horizon not stated.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Data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Jan 2021–Jul 2024, 870 trading days. 4,487 news articles from Reuters + Oilprice.com, filtered on Russia/Ukraine/oil/sanctions/energy keywords.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 API, ~1.5 s per article. Extracts entity stances, event types + severity, causal chains, and sentiment.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Temporal Fusion Transformer (TFT) + relational graph convolutional network (R-GCN) + LLM/HMM market-state module.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fixed chronological train/validation/test split. RMSE, MAE, MAPE, R². Diebold-Mariano tests.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Headline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RMSE $5.67 vs $6.89 for TFT (17.7% better). R² 0.903. 34.7% better in the “event-intensive” period.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Very high.</w:t>
            </w:r>
            <w:r>
              <w:rPr>
                <w:b w:val="false"/>
                <w:bCs w:val="false"/>
                <w:sz w:val="19"/>
                <w:szCs w:val="19"/>
              </w:rPr>
              <w:t xml:space="preserve"> The closest prior work: LLM-extracted geopolitical features for Brent forecasting. My main “related work” comparison.</w:t>
            </w:r>
          </w:p>
        </w:tc>
      </w:tr>
    </w:tbl>
    <w:p>
      <w:pPr>
        <w:spacing w:after="120"/>
      </w:pPr>
    </w:p>
    <w:p>
      <w:pPr>
        <w:pStyle w:val="Heading1"/>
      </w:pPr>
      <w:r>
        <w:t xml:space="preserve">Abstract</w:t>
      </w:r>
    </w:p>
    <w:p>
      <w:pPr>
        <w:spacing w:after="80" w:before="160"/>
      </w:pPr>
      <w:r>
        <w:rPr>
          <w:b/>
          <w:bCs/>
          <w:color w:val="1F4E79"/>
        </w:rPr>
        <w:t xml:space="preserve">What it says</w:t>
      </w:r>
    </w:p>
    <w:p>
      <w:pPr>
        <w:spacing w:after="120"/>
      </w:pPr>
      <w:r>
        <w:t xml:space="preserve">Deep time-series models assume history repeats and react badly to sudden events like wars. LLM approaches usually squash a news article into one vector or one sentiment score, which loses detail. The paper makes three additions on top of existing models (MAGNN-style graphs and the Temporal Fusion Transformer):</w:t>
      </w:r>
    </w:p>
    <w:p>
      <w:pPr>
        <w:pStyle w:val="ListParagraph"/>
        <w:numPr>
          <w:ilvl w:val="0"/>
          <w:numId w:val="3"/>
        </w:numPr>
        <w:spacing w:after="80"/>
      </w:pPr>
      <w:r>
        <w:rPr>
          <w:b/>
          <w:bCs/>
        </w:rPr>
        <w:t xml:space="preserve">Semantic layer:</w:t>
      </w:r>
      <w:r>
        <w:t xml:space="preserve"> a four-layer LLM “pyramid” turns each article into entity stances, event types, causal chains and market sentiment.</w:t>
      </w:r>
    </w:p>
    <w:p>
      <w:pPr>
        <w:pStyle w:val="ListParagraph"/>
        <w:numPr>
          <w:ilvl w:val="0"/>
          <w:numId w:val="3"/>
        </w:numPr>
        <w:spacing w:after="80"/>
      </w:pPr>
      <w:r>
        <w:rPr>
          <w:b/>
          <w:bCs/>
        </w:rPr>
        <w:t xml:space="preserve">Graph layer:</w:t>
      </w:r>
      <w:r>
        <w:t xml:space="preserve"> a graph of news, countries, organisations and events with causal and temporal links, not just fixed relationships.</w:t>
      </w:r>
    </w:p>
    <w:p>
      <w:pPr>
        <w:pStyle w:val="ListParagraph"/>
        <w:numPr>
          <w:ilvl w:val="0"/>
          <w:numId w:val="3"/>
        </w:numPr>
        <w:spacing w:after="80"/>
      </w:pPr>
      <w:r>
        <w:rPr>
          <w:b/>
          <w:bCs/>
        </w:rPr>
        <w:t xml:space="preserve">Fusion layer:</w:t>
      </w:r>
      <w:r>
        <w:t xml:space="preserve"> the LLM reads the news to decide the current market state (calm / conflict / stalemate), then picks which features matter most.</w:t>
      </w:r>
    </w:p>
    <w:p>
      <w:pPr>
        <w:spacing w:after="120"/>
      </w:pPr>
      <w:r>
        <w:t xml:space="preserve">Result on Brent: 17.7% lower RMSE than TFT, 34.7% lower in event-heavy periods, R² 0.903.</w:t>
      </w:r>
    </w:p>
    <w:p>
      <w:pPr>
        <w:spacing w:after="80" w:before="160"/>
      </w:pPr>
      <w:r>
        <w:rPr>
          <w:b/>
          <w:bCs/>
          <w:color w:val="1F4E79"/>
        </w:rPr>
        <w:t xml:space="preserve">What it means for my project</w:t>
      </w:r>
    </w:p>
    <w:p>
      <w:pPr>
        <w:spacing w:after="120"/>
      </w:pPr>
      <w:r>
        <w:t xml:space="preserve">This is the paper that most directly backs the idea that </w:t>
      </w:r>
      <w:r>
        <w:rPr>
          <w:b/>
          <w:bCs/>
        </w:rPr>
        <w:t xml:space="preserve">structured LLM outputs beat a single sentiment score</w:t>
      </w:r>
      <w:r>
        <w:t xml:space="preserve"> for oil. My per-producer and per-chokepoint scores are a structured output too, just a different structure (organised by supply source, not by article).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“Mainstream large language model approaches encode news as single vectors, and fine-grained semantic information is compressed and lost in this process.”</w:t>
      </w:r>
      <w:r>
        <w:rPr>
          <w:b/>
          <w:bCs/>
          <w:color w:val="1F4E79"/>
        </w:rPr>
        <w:t xml:space="preserve">  (Abstract, p. 52911)</w:t>
      </w:r>
    </w:p>
    <w:p>
      <w:pPr>
        <w:spacing w:after="140"/>
        <w:ind w:left="360"/>
      </w:pPr>
      <w:r>
        <w:rPr>
          <w:b/>
          <w:bCs/>
        </w:rPr>
        <w:t xml:space="preserve">Use it for:</w:t>
      </w:r>
      <w:r>
        <w:t xml:space="preserve"> the gap that structured LLM features fill. Pairs well with my argument for per-producer scores instead of one overall score.</w:t>
      </w:r>
    </w:p>
    <w:p>
      <w:pPr>
        <w:pBdr>
          <w:left w:val="single" w:color="1F4E79" w:sz="18" w:space="8"/>
        </w:pBdr>
        <w:shd w:fill="F2F6FA" w:color="auto" w:val="clear"/>
        <w:spacing w:after="40" w:before="120"/>
        <w:ind w:left="360"/>
      </w:pPr>
      <w:r>
        <w:rPr>
          <w:i/>
          <w:iCs/>
        </w:rPr>
        <w:t xml:space="preserve">“Existing deep temporal models rely on the assumption of historical pattern continuity and respond insufficiently to exogenous events such as geopolitical conflicts.”</w:t>
      </w:r>
      <w:r>
        <w:rPr>
          <w:b/>
          <w:bCs/>
          <w:color w:val="1F4E79"/>
        </w:rPr>
        <w:t xml:space="preserve">  (Abstract, p. 52911)</w:t>
      </w:r>
    </w:p>
    <w:p>
      <w:pPr>
        <w:spacing w:after="140"/>
        <w:ind w:left="360"/>
      </w:pPr>
      <w:r>
        <w:rPr>
          <w:b/>
          <w:bCs/>
        </w:rPr>
        <w:t xml:space="preserve">Use it for:</w:t>
      </w:r>
      <w:r>
        <w:t xml:space="preserve"> motivating why price-only models need outside information during crises like Hormuz 2026.</w:t>
      </w:r>
    </w:p>
    <w:p>
      <w:pPr>
        <w:pStyle w:val="Heading1"/>
      </w:pPr>
      <w:r>
        <w:t xml:space="preserve">Section I — Introduction</w:t>
      </w:r>
    </w:p>
    <w:p>
      <w:pPr>
        <w:spacing w:after="80" w:before="160"/>
      </w:pPr>
      <w:r>
        <w:rPr>
          <w:b/>
          <w:bCs/>
          <w:color w:val="1F4E79"/>
        </w:rPr>
        <w:t xml:space="preserve">What it says</w:t>
      </w:r>
    </w:p>
    <w:p>
      <w:pPr>
        <w:pStyle w:val="ListParagraph"/>
        <w:numPr>
          <w:ilvl w:val="0"/>
          <w:numId w:val="2"/>
        </w:numPr>
        <w:spacing w:after="60"/>
      </w:pPr>
      <w:r>
        <w:t xml:space="preserve">Oil prices come from a nonlinear mix of supply/demand, geopolitics, speculation and macro policy. Prices are non-stationary and volatility clusters (p. 52911).</w:t>
      </w:r>
    </w:p>
    <w:p>
      <w:pPr>
        <w:pStyle w:val="ListParagraph"/>
        <w:numPr>
          <w:ilvl w:val="0"/>
          <w:numId w:val="2"/>
        </w:numPr>
        <w:spacing w:after="60"/>
      </w:pPr>
      <w:r>
        <w:t xml:space="preserve">ARIMA and GARCH assume stationarity, so they fail when markets are volatile. LSTM, GRU and Transformers do better but still assume historical patterns continue (p. 52912).</w:t>
      </w:r>
    </w:p>
    <w:p>
      <w:pPr>
        <w:pStyle w:val="ListParagraph"/>
        <w:numPr>
          <w:ilvl w:val="0"/>
          <w:numId w:val="2"/>
        </w:numPr>
        <w:spacing w:after="60"/>
      </w:pPr>
      <w:r>
        <w:t xml:space="preserve">Text history: Loughran-McDonald word lists and SVMs, then FinBERT and GPT models. LLM sentiment has produced excess returns in stock prediction (Lopez-Lira &amp; Tang, their ref [10]).</w:t>
      </w:r>
    </w:p>
    <w:p>
      <w:pPr>
        <w:pStyle w:val="ListParagraph"/>
        <w:numPr>
          <w:ilvl w:val="0"/>
          <w:numId w:val="2"/>
        </w:numPr>
        <w:spacing w:after="60"/>
      </w:pPr>
      <w:r>
        <w:t xml:space="preserve">Three gaps they identify: (1) one-vector encoding loses who did what to whom; (2) causal chains (conflict → supply fears → hoarding → price) are not modelled; (3) different events hit prices with different delays.</w:t>
      </w:r>
    </w:p>
    <w:p>
      <w:pPr>
        <w:pStyle w:val="ListParagraph"/>
        <w:numPr>
          <w:ilvl w:val="0"/>
          <w:numId w:val="2"/>
        </w:numPr>
        <w:spacing w:after="60"/>
      </w:pPr>
      <w:r>
        <w:t xml:space="preserve">Contributions: the four-layer pyramid, causal/temporal graph edges, and LLM-driven market-state detection.</w:t>
      </w:r>
    </w:p>
    <w:p>
      <w:pPr>
        <w:spacing w:after="80" w:before="160"/>
      </w:pPr>
      <w:r>
        <w:rPr>
          <w:b/>
          <w:bCs/>
          <w:color w:val="1F4E79"/>
        </w:rPr>
        <w:t xml:space="preserve">What it means for my project</w:t>
      </w:r>
    </w:p>
    <w:p>
      <w:pPr>
        <w:spacing w:after="120"/>
      </w:pPr>
      <w:r>
        <w:t xml:space="preserve">Gap (3) matters to me. They say supply shocks act fast and demand shocks act slowly. My features are mostly </w:t>
      </w:r>
      <w:r>
        <w:rPr>
          <w:b/>
          <w:bCs/>
        </w:rPr>
        <w:t xml:space="preserve">supply-side</w:t>
      </w:r>
      <w:r>
        <w:t xml:space="preserve">, which supports a short horizon (5 trading days) for my target.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“However, the common limitation of these methods lies in the fact that their prediction logic relies on the assumption of historical price pattern continuity, with insufficient responsiveness to exogenous shock events such as geopolitical conflicts, extreme weather disasters, and abrupt policy shifts.”</w:t>
      </w:r>
      <w:r>
        <w:rPr>
          <w:b/>
          <w:bCs/>
          <w:color w:val="1F4E79"/>
        </w:rPr>
        <w:t xml:space="preserve">  (Section I, p. 52912)</w:t>
      </w:r>
    </w:p>
    <w:p>
      <w:pPr>
        <w:spacing w:after="140"/>
        <w:ind w:left="360"/>
      </w:pPr>
      <w:r>
        <w:rPr>
          <w:b/>
          <w:bCs/>
        </w:rPr>
        <w:t xml:space="preserve">Use it for:</w:t>
      </w:r>
      <w:r>
        <w:t xml:space="preserve"> the motivation paragraph for adding geopolitical features to a price model.</w:t>
      </w:r>
    </w:p>
    <w:p>
      <w:pPr>
        <w:pBdr>
          <w:left w:val="single" w:color="1F4E79" w:sz="18" w:space="8"/>
        </w:pBdr>
        <w:shd w:fill="F2F6FA" w:color="auto" w:val="clear"/>
        <w:spacing w:after="40" w:before="120"/>
        <w:ind w:left="360"/>
      </w:pPr>
      <w:r>
        <w:rPr>
          <w:b/>
          <w:bCs/>
          <w:color w:val="C00000"/>
        </w:rPr>
        <w:t xml:space="preserve">★ </w:t>
      </w:r>
      <w:r>
        <w:rPr>
          <w:i/>
          <w:iCs/>
        </w:rPr>
        <w:t xml:space="preserve">“Supply-side shocks tend to elicit immediate price responses, while the impacts of demand-side structural changes may persist for several weeks.”</w:t>
      </w:r>
      <w:r>
        <w:rPr>
          <w:b/>
          <w:bCs/>
          <w:color w:val="1F4E79"/>
        </w:rPr>
        <w:t xml:space="preserve">  (Section I, p. 52912)</w:t>
      </w:r>
    </w:p>
    <w:p>
      <w:pPr>
        <w:spacing w:after="140"/>
        <w:ind w:left="360"/>
      </w:pPr>
      <w:r>
        <w:rPr>
          <w:b/>
          <w:bCs/>
        </w:rPr>
        <w:t xml:space="preserve">Use it for:</w:t>
      </w:r>
      <w:r>
        <w:t xml:space="preserve"> justifying a short (5-day) horizon for supply-disruption features. Note they cite Caldara &amp; Iacoviello for this.</w:t>
      </w:r>
    </w:p>
    <w:p>
      <w:pPr>
        <w:pBdr>
          <w:left w:val="single" w:color="1F4E79" w:sz="18" w:space="8"/>
        </w:pBdr>
        <w:shd w:fill="F2F6FA" w:color="auto" w:val="clear"/>
        <w:spacing w:after="40" w:before="120"/>
        <w:ind w:left="360"/>
      </w:pPr>
      <w:r>
        <w:rPr>
          <w:i/>
          <w:iCs/>
        </w:rPr>
        <w:t xml:space="preserve">“Models struggle to distinguish event types that are semantically similar yet differ substantially in their impacts.”</w:t>
      </w:r>
      <w:r>
        <w:rPr>
          <w:b/>
          <w:bCs/>
          <w:color w:val="1F4E79"/>
        </w:rPr>
        <w:t xml:space="preserve">  (Section I, p. 52912)</w:t>
      </w:r>
    </w:p>
    <w:p>
      <w:pPr>
        <w:spacing w:after="140"/>
        <w:ind w:left="360"/>
      </w:pPr>
      <w:r>
        <w:rPr>
          <w:b/>
          <w:bCs/>
        </w:rPr>
        <w:t xml:space="preserve">Use it for:</w:t>
      </w:r>
      <w:r>
        <w:t xml:space="preserve"> why a generic score isn't enough. Careful: the reference they give for this ([11]) is a stock-prediction paper, so cite Cao et al. for the claim, not [11].</w:t>
      </w:r>
    </w:p>
    <w:p>
      <w:pPr>
        <w:pStyle w:val="Heading1"/>
      </w:pPr>
      <w:r>
        <w:t xml:space="preserve">Section II — Related Work</w:t>
      </w:r>
    </w:p>
    <w:p>
      <w:pPr>
        <w:pStyle w:val="Heading2"/>
      </w:pPr>
      <w:r>
        <w:t xml:space="preserve">II.A Financial text semantic representation</w:t>
      </w:r>
    </w:p>
    <w:p>
      <w:pPr>
        <w:spacing w:after="80" w:before="160"/>
      </w:pPr>
      <w:r>
        <w:rPr>
          <w:b/>
          <w:bCs/>
          <w:color w:val="1F4E79"/>
        </w:rPr>
        <w:t xml:space="preserve">What it says</w:t>
      </w:r>
    </w:p>
    <w:p>
      <w:pPr>
        <w:spacing w:after="120"/>
      </w:pPr>
      <w:r>
        <w:t xml:space="preserve">A short history of text features for finance: Loughran-McDonald lexicon + SVM → BERT (masked language modelling) → FinBERT (finance-tuned) → LLMs that can output structured information. Most methods still turn a whole document into one dense vector, which compresses away stance and event severity.</w:t>
      </w:r>
    </w:p>
    <w:p>
      <w:pPr>
        <w:spacing w:after="80" w:before="160"/>
      </w:pPr>
      <w:r>
        <w:rPr>
          <w:b/>
          <w:bCs/>
          <w:color w:val="1F4E79"/>
        </w:rPr>
        <w:t xml:space="preserve">What it means for my project</w:t>
      </w:r>
    </w:p>
    <w:p>
      <w:pPr>
        <w:spacing w:after="120"/>
      </w:pPr>
      <w:r>
        <w:t xml:space="preserve">This is a ready-made structure for the “text features” part of my lit review: lexicon → BERT/FinBERT → LLM structured extraction (Cao) → my supply-source scores. The references worth following are listed at the end of these notes.</w:t>
      </w:r>
    </w:p>
    <w:p>
      <w:pPr>
        <w:pBdr>
          <w:left w:val="single" w:color="1F4E79" w:sz="18" w:space="8"/>
        </w:pBdr>
        <w:shd w:fill="F2F6FA" w:color="auto" w:val="clear"/>
        <w:spacing w:after="40" w:before="120"/>
        <w:ind w:left="360"/>
      </w:pPr>
      <w:r>
        <w:rPr>
          <w:i/>
          <w:iCs/>
        </w:rPr>
        <w:t xml:space="preserve">“Existing methods predominantly adopt document-level vectorization strategies when transforming news texts into predictive features, encoding entire reports as single dense vectors before inputting them into downstream models, and while this approach offers computational efficiency advantages, fine-grained semantic information such as the stance orientations of involved entities and the types and severity levels of events is compressed during the encoding process.”</w:t>
      </w:r>
      <w:r>
        <w:rPr>
          <w:b/>
          <w:bCs/>
          <w:color w:val="1F4E79"/>
        </w:rPr>
        <w:t xml:space="preserve">  (Section II.A, p. 52913)</w:t>
      </w:r>
    </w:p>
    <w:p>
      <w:pPr>
        <w:spacing w:after="140"/>
        <w:ind w:left="360"/>
      </w:pPr>
      <w:r>
        <w:rPr>
          <w:b/>
          <w:bCs/>
        </w:rPr>
        <w:t xml:space="preserve">Use it for:</w:t>
      </w:r>
      <w:r>
        <w:t xml:space="preserve"> describing the standard approach my project moves away from.</w:t>
      </w:r>
    </w:p>
    <w:p>
      <w:pPr>
        <w:pStyle w:val="Heading2"/>
      </w:pPr>
      <w:r>
        <w:t xml:space="preserve">II.B Multimodal graph neural network methods</w:t>
      </w:r>
    </w:p>
    <w:p>
      <w:pPr>
        <w:spacing w:after="80" w:before="160"/>
      </w:pPr>
      <w:r>
        <w:rPr>
          <w:b/>
          <w:bCs/>
          <w:color w:val="1F4E79"/>
        </w:rPr>
        <w:t xml:space="preserve">What it says</w:t>
      </w:r>
    </w:p>
    <w:p>
      <w:pPr>
        <w:spacing w:after="120"/>
      </w:pPr>
      <w:r>
        <w:t xml:space="preserve">Knowledge graphs store entities as nodes and relationships as edges. GNNs, GCNs and graph attention networks pass information along those edges. MAGNN combines price series, news embeddings and entity graphs. Existing graphs mostly use fixed links (supply chains, industry membership), not causal links between events.</w:t>
      </w:r>
    </w:p>
    <w:p>
      <w:pPr>
        <w:spacing w:after="80" w:before="160"/>
      </w:pPr>
      <w:r>
        <w:rPr>
          <w:b/>
          <w:bCs/>
          <w:color w:val="1F4E79"/>
        </w:rPr>
        <w:t xml:space="preserve">What it means for my project</w:t>
      </w:r>
    </w:p>
    <w:p>
      <w:pPr>
        <w:spacing w:after="120"/>
      </w:pPr>
      <w:r>
        <w:t xml:space="preserve">Low direct relevance. I'm not building a graph. But it's worth one sentence in my lit review as a more complex alternative, and a reason I chose not to: tree ensembles on tabular features are simpler, faster and easier to explain, and my data is weekly and fairly small.</w:t>
      </w:r>
    </w:p>
    <w:p>
      <w:pPr>
        <w:pStyle w:val="Heading2"/>
      </w:pPr>
      <w:r>
        <w:t xml:space="preserve">II.C Non-stationary market adaptive prediction</w:t>
      </w:r>
    </w:p>
    <w:p>
      <w:pPr>
        <w:spacing w:after="80" w:before="160"/>
      </w:pPr>
      <w:r>
        <w:rPr>
          <w:b/>
          <w:bCs/>
          <w:color w:val="1F4E79"/>
        </w:rPr>
        <w:t xml:space="preserve">What it says</w:t>
      </w:r>
    </w:p>
    <w:p>
      <w:pPr>
        <w:spacing w:after="120"/>
      </w:pPr>
      <w:r>
        <w:t xml:space="preserve">Markets switch between regimes. Markov regime-switching models allow parameters to change by state (calm vs volatile). TFT selects features through “variable selection networks” and gives quantile forecasts, but it detects regime changes from numbers like volatility, which lag behind sudden geopolitical events. Using text could catch changes earlier. They justify GNN + Transformer over CNNs because event data is graph-shaped, not grid-shaped.</w:t>
      </w:r>
    </w:p>
    <w:p>
      <w:pPr>
        <w:spacing w:after="80" w:before="160"/>
      </w:pPr>
      <w:r>
        <w:rPr>
          <w:b/>
          <w:bCs/>
          <w:color w:val="1F4E79"/>
        </w:rPr>
        <w:t xml:space="preserve">What it means for my project</w:t>
      </w:r>
    </w:p>
    <w:p>
      <w:pPr>
        <w:spacing w:after="120"/>
      </w:pPr>
      <w:r>
        <w:t xml:space="preserve">Connects to the </w:t>
      </w:r>
      <w:r>
        <w:rPr>
          <w:b/>
          <w:bCs/>
        </w:rPr>
        <w:t xml:space="preserve">regime detection</w:t>
      </w:r>
      <w:r>
        <w:t xml:space="preserve"> part of my project. Their point: news reacts before volatility does. My LLM scores could act as an early regime signal. Worth testing whether my scores move before Brent volatility does in the 2026 Hormuz case.</w:t>
      </w:r>
    </w:p>
    <w:p>
      <w:pPr>
        <w:pBdr>
          <w:left w:val="single" w:color="1F4E79" w:sz="18" w:space="8"/>
        </w:pBdr>
        <w:shd w:fill="F2F6FA" w:color="auto" w:val="clear"/>
        <w:spacing w:after="40" w:before="120"/>
        <w:ind w:left="360"/>
      </w:pPr>
      <w:r>
        <w:rPr>
          <w:i/>
          <w:iCs/>
        </w:rPr>
        <w:t xml:space="preserve">“The variable selection network of TFT performs screening based on numerical statistical properties of input features, with market state determination relying on cumulative computation of derived indicators such as volatility, resulting in certain response latency for state transitions triggered by sudden geopolitical events.”</w:t>
      </w:r>
      <w:r>
        <w:rPr>
          <w:b/>
          <w:bCs/>
          <w:color w:val="1F4E79"/>
        </w:rPr>
        <w:t xml:space="preserve">  (Section II.C, p. 52914)</w:t>
      </w:r>
    </w:p>
    <w:p>
      <w:pPr>
        <w:spacing w:after="140"/>
        <w:ind w:left="360"/>
      </w:pPr>
      <w:r>
        <w:rPr>
          <w:b/>
          <w:bCs/>
        </w:rPr>
        <w:t xml:space="preserve">Use it for:</w:t>
      </w:r>
      <w:r>
        <w:t xml:space="preserve"> arguing that text-based signals can spot a regime change faster than price-based indicators.</w:t>
      </w:r>
    </w:p>
    <w:p>
      <w:pPr>
        <w:pBdr>
          <w:left w:val="single" w:color="1F4E79" w:sz="18" w:space="8"/>
        </w:pBdr>
        <w:shd w:fill="F2F6FA" w:color="auto" w:val="clear"/>
        <w:spacing w:after="40" w:before="120"/>
        <w:ind w:left="360"/>
      </w:pPr>
      <w:r>
        <w:rPr>
          <w:i/>
          <w:iCs/>
        </w:rPr>
        <w:t xml:space="preserve">“…aiming to further exploit the predictive potential of existing frameworks rather than fundamentally reconstructing them.”</w:t>
      </w:r>
      <w:r>
        <w:rPr>
          <w:b/>
          <w:bCs/>
          <w:color w:val="1F4E79"/>
        </w:rPr>
        <w:t xml:space="preserve">  (Section II.C, p. 52914)</w:t>
      </w:r>
    </w:p>
    <w:p>
      <w:pPr>
        <w:spacing w:after="140"/>
        <w:ind w:left="360"/>
      </w:pPr>
      <w:r>
        <w:rPr>
          <w:b/>
          <w:bCs/>
        </w:rPr>
        <w:t xml:space="preserve">Use it for:</w:t>
      </w:r>
      <w:r>
        <w:t xml:space="preserve"> showing the field builds on existing models. Supports my framing that my novelty is the feature design, not a brand-new model.</w:t>
      </w:r>
    </w:p>
    <w:p>
      <w:pPr>
        <w:pStyle w:val="Heading1"/>
      </w:pPr>
      <w:r>
        <w:t xml:space="preserve">Section III.A — LLM-Based Hierarchical Semantic Extraction</w:t>
      </w:r>
    </w:p>
    <w:p>
      <w:pPr>
        <w:spacing w:after="80" w:before="160"/>
      </w:pPr>
      <w:r>
        <w:rPr>
          <w:b/>
          <w:bCs/>
          <w:color w:val="1F4E79"/>
        </w:rPr>
        <w:t xml:space="preserve">What it says</w:t>
      </w:r>
    </w:p>
    <w:p>
      <w:pPr>
        <w:spacing w:after="120"/>
      </w:pPr>
      <w:r>
        <w:t xml:space="preserve">The core idea. Each article goes through four LLM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Output</w:t>
            </w:r>
          </w:p>
        </w:tc>
        <w:tc>
          <w:tcPr>
            <w:tcW w:type="dxa" w:w="3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Oil example (from the paper)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Entity stance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Stance score in [−1, 1] and relevance weight in [0, 1] for each entity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Policy stance of oil producers, international bodies, energy companies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Event type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Event type + severity in [0, 1], from a fixed event ontology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Military actions, economic sanctions, diplomatic negotiations, supply changes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Causal chain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Graph of causal links between events, each with a time lag τ</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Conflict → sanctions → supply fears → panic</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Sentiment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Vector of market-psychology indicators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Fear index, uncertainty index, bullish ratio</w:t>
            </w:r>
          </w:p>
        </w:tc>
      </w:tr>
    </w:tbl>
    <w:p>
      <w:pPr>
        <w:spacing w:after="120"/>
      </w:pPr>
    </w:p>
    <w:p>
      <w:pPr>
        <w:spacing w:after="120"/>
      </w:pPr>
      <w:r>
        <w:t xml:space="preserve">The four outputs are combined into one document vector with learned weights (Eq. 4). Entity embeddings are pooled by relevance-weighted attention, and the causal graph is embedded with a GCN.</w:t>
      </w:r>
    </w:p>
    <w:p>
      <w:pPr>
        <w:spacing w:after="120"/>
      </w:pPr>
      <w:r>
        <w:t xml:space="preserve">They justify it with information theory (Eqs. 1–2): four sub-representations carry at least as much information about the target as one scalar. They say the same pipeline would work for epidemics or supply-chain risk.</w:t>
      </w:r>
    </w:p>
    <w:p>
      <w:pPr>
        <w:spacing w:after="80" w:before="160"/>
      </w:pPr>
      <w:r>
        <w:rPr>
          <w:b/>
          <w:bCs/>
          <w:color w:val="1F4E79"/>
        </w:rPr>
        <w:t xml:space="preserve">What it means for my project</w:t>
      </w:r>
    </w:p>
    <w:p>
      <w:pPr>
        <w:pStyle w:val="ListParagraph"/>
        <w:numPr>
          <w:ilvl w:val="0"/>
          <w:numId w:val="2"/>
        </w:numPr>
        <w:spacing w:after="60"/>
      </w:pPr>
      <w:r>
        <w:t xml:space="preserve">The </w:t>
      </w:r>
      <w:r>
        <w:rPr>
          <w:b/>
          <w:bCs/>
        </w:rPr>
        <w:t xml:space="preserve">Saudi vs Venezuela</w:t>
      </w:r>
      <w:r>
        <w:t xml:space="preserve"> line below is the best quote in the paper for me. It says, in their words, that the same event type from different producers has very different market impact. That's exactly why I score each producer separately.</w:t>
      </w:r>
    </w:p>
    <w:p>
      <w:pPr>
        <w:pStyle w:val="ListParagraph"/>
        <w:numPr>
          <w:ilvl w:val="0"/>
          <w:numId w:val="2"/>
        </w:numPr>
        <w:spacing w:after="60"/>
      </w:pPr>
      <w:r>
        <w:t xml:space="preserve">The </w:t>
      </w:r>
      <w:r>
        <w:rPr>
          <w:b/>
          <w:bCs/>
        </w:rPr>
        <w:t xml:space="preserve">lag</w:t>
      </w:r>
      <w:r>
        <w:t xml:space="preserve"> point (sanctions take days, military action under 24 hours) suggests I could build lagged versions of my scores, or separate features by event type.</w:t>
      </w:r>
    </w:p>
    <w:p>
      <w:pPr>
        <w:pStyle w:val="ListParagraph"/>
        <w:numPr>
          <w:ilvl w:val="0"/>
          <w:numId w:val="2"/>
        </w:numPr>
        <w:spacing w:after="60"/>
      </w:pPr>
      <w:r>
        <w:t xml:space="preserve">Their score design (stance −1 to 1, severity 0 to 1, relevance 0 to 1) is a good precedent for my 0–1 supply-risk scale. Cite it when explaining my score format.</w:t>
      </w:r>
    </w:p>
    <w:p>
      <w:pPr>
        <w:pStyle w:val="ListParagraph"/>
        <w:numPr>
          <w:ilvl w:val="0"/>
          <w:numId w:val="2"/>
        </w:numPr>
        <w:spacing w:after="60"/>
      </w:pPr>
      <w:r>
        <w:t xml:space="preserve">The information-theory argument is weak: more information doesn't guarantee better forecasts (more features can overfit). Don't copy it as proof. My ablation (A/B/C) is the real test.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“Taking oil price prediction as an example, in geopolitical news, production cut announcements from Saudi Arabia and Venezuela have order-of-magnitude differences in their marginal market impacts.”</w:t>
      </w:r>
      <w:r>
        <w:rPr>
          <w:b/>
          <w:bCs/>
          <w:color w:val="1F4E79"/>
        </w:rPr>
        <w:t xml:space="preserve">  (Section III.A, p. 52915)</w:t>
      </w:r>
    </w:p>
    <w:p>
      <w:pPr>
        <w:spacing w:after="140"/>
        <w:ind w:left="360"/>
      </w:pPr>
      <w:r>
        <w:rPr>
          <w:b/>
          <w:bCs/>
        </w:rPr>
        <w:t xml:space="preserve">Use it for:</w:t>
      </w:r>
      <w:r>
        <w:t xml:space="preserve"> the main justification for per-producer scores instead of one global score.</w:t>
      </w:r>
    </w:p>
    <w:p>
      <w:pPr>
        <w:pBdr>
          <w:left w:val="single" w:color="1F4E79" w:sz="18" w:space="8"/>
        </w:pBdr>
        <w:shd w:fill="F2F6FA" w:color="auto" w:val="clear"/>
        <w:spacing w:after="40" w:before="120"/>
        <w:ind w:left="360"/>
      </w:pPr>
      <w:r>
        <w:rPr>
          <w:b/>
          <w:bCs/>
          <w:color w:val="C00000"/>
        </w:rPr>
        <w:t xml:space="preserve">★ </w:t>
      </w:r>
      <w:r>
        <w:rPr>
          <w:i/>
          <w:iCs/>
        </w:rPr>
        <w:t xml:space="preserve">“Economic sanctions typically involve supply chain adjustment lags of several days, while military conflicts often trigger panic buying that drives sharp price movements within 24 hours.”</w:t>
      </w:r>
      <w:r>
        <w:rPr>
          <w:b/>
          <w:bCs/>
          <w:color w:val="1F4E79"/>
        </w:rPr>
        <w:t xml:space="preserve">  (Section III.A, p. 52915)</w:t>
      </w:r>
    </w:p>
    <w:p>
      <w:pPr>
        <w:spacing w:after="140"/>
        <w:ind w:left="360"/>
      </w:pPr>
      <w:r>
        <w:rPr>
          <w:b/>
          <w:bCs/>
        </w:rPr>
        <w:t xml:space="preserve">Use it for:</w:t>
      </w:r>
      <w:r>
        <w:t xml:space="preserve"> justifying event-specific lags, and a weekly horizon that captures both.</w:t>
      </w:r>
    </w:p>
    <w:p>
      <w:pPr>
        <w:pBdr>
          <w:left w:val="single" w:color="1F4E79" w:sz="18" w:space="8"/>
        </w:pBdr>
        <w:shd w:fill="F2F6FA" w:color="auto" w:val="clear"/>
        <w:spacing w:after="40" w:before="120"/>
        <w:ind w:left="360"/>
      </w:pPr>
      <w:r>
        <w:rPr>
          <w:i/>
          <w:iCs/>
        </w:rPr>
        <w:t xml:space="preserve">“Traditional BERT-based sentiment analysis compresses these differentiated pieces of information into a single scalar, resulting in reduced model responsiveness to complex events.”</w:t>
      </w:r>
      <w:r>
        <w:rPr>
          <w:b/>
          <w:bCs/>
          <w:color w:val="1F4E79"/>
        </w:rPr>
        <w:t xml:space="preserve">  (Section III.A, p. 52915)</w:t>
      </w:r>
    </w:p>
    <w:p>
      <w:pPr>
        <w:spacing w:after="140"/>
        <w:ind w:left="360"/>
      </w:pPr>
      <w:r>
        <w:rPr>
          <w:b/>
          <w:bCs/>
        </w:rPr>
        <w:t xml:space="preserve">Use it for:</w:t>
      </w:r>
      <w:r>
        <w:t xml:space="preserve"> the case against one sentiment score.</w:t>
      </w:r>
    </w:p>
    <w:p>
      <w:pPr>
        <w:pBdr>
          <w:left w:val="single" w:color="1F4E79" w:sz="18" w:space="8"/>
        </w:pBdr>
        <w:shd w:fill="F2F6FA" w:color="auto" w:val="clear"/>
        <w:spacing w:after="40" w:before="120"/>
        <w:ind w:left="360"/>
      </w:pPr>
      <w:r>
        <w:rPr>
          <w:i/>
          <w:iCs/>
        </w:rPr>
        <w:t xml:space="preserve">“More critically, large language models possess few-shot learning capabilities. Even when facing event types with sparse samples in training data, they can still provide reasonable semantic parsing through contextual reasoning and knowledge transfer.”</w:t>
      </w:r>
      <w:r>
        <w:rPr>
          <w:b/>
          <w:bCs/>
          <w:color w:val="1F4E79"/>
        </w:rPr>
        <w:t xml:space="preserve">  (Section III.A, p. 52915)</w:t>
      </w:r>
    </w:p>
    <w:p>
      <w:pPr>
        <w:spacing w:after="140"/>
        <w:ind w:left="360"/>
      </w:pPr>
      <w:r>
        <w:rPr>
          <w:b/>
          <w:bCs/>
        </w:rPr>
        <w:t xml:space="preserve">Use it for:</w:t>
      </w:r>
      <w:r>
        <w:t xml:space="preserve"> why an LLM can score a rare event like a Hormuz closure that has few historical examples.</w:t>
      </w:r>
    </w:p>
    <w:p>
      <w:pPr>
        <w:pStyle w:val="Heading1"/>
      </w:pPr>
      <w:r>
        <w:t xml:space="preserve">Section III.B — Heterogeneous Information Graph and Neural Propagation</w:t>
      </w:r>
    </w:p>
    <w:p>
      <w:pPr>
        <w:spacing w:after="80" w:before="160"/>
      </w:pPr>
      <w:r>
        <w:rPr>
          <w:b/>
          <w:bCs/>
          <w:color w:val="1F4E79"/>
        </w:rPr>
        <w:t xml:space="preserve">What it says</w:t>
      </w:r>
    </w:p>
    <w:p>
      <w:pPr>
        <w:pStyle w:val="ListParagraph"/>
        <w:numPr>
          <w:ilvl w:val="0"/>
          <w:numId w:val="2"/>
        </w:numPr>
        <w:spacing w:after="60"/>
      </w:pPr>
      <w:r>
        <w:t xml:space="preserve">Events interact in three ways: </w:t>
      </w:r>
      <w:r>
        <w:rPr>
          <w:b/>
          <w:bCs/>
        </w:rPr>
        <w:t xml:space="preserve">cumulative</w:t>
      </w:r>
      <w:r>
        <w:t xml:space="preserve"> (similar events pile up nonlinearly), </w:t>
      </w:r>
      <w:r>
        <w:rPr>
          <w:b/>
          <w:bCs/>
        </w:rPr>
        <w:t xml:space="preserve">propagation</w:t>
      </w:r>
      <w:r>
        <w:t xml:space="preserve"> (local events spread), and </w:t>
      </w:r>
      <w:r>
        <w:rPr>
          <w:b/>
          <w:bCs/>
        </w:rPr>
        <w:t xml:space="preserve">synergistic</w:t>
      </w:r>
      <w:r>
        <w:t xml:space="preserve"> (actors amplify or cancel each other). Eq. 5 adds pairwise interaction terms to a simple sum of impacts.</w:t>
      </w:r>
    </w:p>
    <w:p>
      <w:pPr>
        <w:pStyle w:val="ListParagraph"/>
        <w:numPr>
          <w:ilvl w:val="0"/>
          <w:numId w:val="2"/>
        </w:numPr>
        <w:spacing w:after="60"/>
      </w:pPr>
      <w:r>
        <w:t xml:space="preserve">Graph G = (V, E, X, R). Node types: news, countries/organisations, events. Edge types: temporal (same entity, decaying weight exp(−λΔt)), causal (from the LLM, including zero-shot cross-article reasoning), and structural (OPEC membership, alliances, bilateral oil trade).</w:t>
      </w:r>
    </w:p>
    <w:p>
      <w:pPr>
        <w:pStyle w:val="ListParagraph"/>
        <w:numPr>
          <w:ilvl w:val="0"/>
          <w:numId w:val="2"/>
        </w:numPr>
        <w:spacing w:after="60"/>
      </w:pPr>
      <w:r>
        <w:t xml:space="preserve">R-GCN with separate weights per edge type, plus relation-aware attention, a second-order interaction layer, residual connections and layer norm. The final graph embedding joins pooled news, entity and event vectors (Eq. 7).</w:t>
      </w:r>
    </w:p>
    <w:p>
      <w:pPr>
        <w:pStyle w:val="ListParagraph"/>
        <w:numPr>
          <w:ilvl w:val="0"/>
          <w:numId w:val="2"/>
        </w:numPr>
        <w:spacing w:after="60"/>
      </w:pPr>
      <w:r>
        <w:t xml:space="preserve">Russia–Ukraine example: military action → financial sanctions → pipeline suspensions → reserve releases.</w:t>
      </w:r>
    </w:p>
    <w:p>
      <w:pPr>
        <w:spacing w:after="80" w:before="160"/>
      </w:pPr>
      <w:r>
        <w:rPr>
          <w:b/>
          <w:bCs/>
          <w:color w:val="1F4E79"/>
        </w:rPr>
        <w:t xml:space="preserve">What it means for my project</w:t>
      </w:r>
    </w:p>
    <w:p>
      <w:pPr>
        <w:spacing w:after="120"/>
      </w:pPr>
      <w:r>
        <w:t xml:space="preserve">I don't need a graph, but the </w:t>
      </w:r>
      <w:r>
        <w:rPr>
          <w:b/>
          <w:bCs/>
        </w:rPr>
        <w:t xml:space="preserve">interaction</w:t>
      </w:r>
      <w:r>
        <w:t xml:space="preserve"> idea is useful. Tree models (RF, XGBoost, LightGBM) learn interactions between features automatically, e.g. Iran risk × Hormuz risk. That's a good point for justifying tree ensembles to my supervisor: they capture the “synergy” this paper needs a GNN for.</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network effect manifests in three forms: cumulative effects where consecutively occurring similar events produce nonlinearly growing impacts; propagation effects where local events spread to broader ranges through dependency networks; and synergistic effects arising from mutual enhancement or offset when multiple actors act simultaneously.”</w:t>
      </w:r>
      <w:r>
        <w:rPr>
          <w:b/>
          <w:bCs/>
          <w:color w:val="1F4E79"/>
        </w:rPr>
        <w:t xml:space="preserve">  (Section III.B, p. 52916)</w:t>
      </w:r>
    </w:p>
    <w:p>
      <w:pPr>
        <w:spacing w:after="140"/>
        <w:ind w:left="360"/>
      </w:pPr>
      <w:r>
        <w:rPr>
          <w:b/>
          <w:bCs/>
        </w:rPr>
        <w:t xml:space="preserve">Use it for:</w:t>
      </w:r>
      <w:r>
        <w:t xml:space="preserve"> explaining why producer and chokepoint risks should be modelled together, and why non-linear models suit this.</w:t>
      </w:r>
    </w:p>
    <w:p>
      <w:pPr>
        <w:pBdr>
          <w:left w:val="single" w:color="1F4E79" w:sz="18" w:space="8"/>
        </w:pBdr>
        <w:shd w:fill="F2F6FA" w:color="auto" w:val="clear"/>
        <w:spacing w:after="40" w:before="120"/>
        <w:ind w:left="360"/>
      </w:pPr>
      <w:r>
        <w:rPr>
          <w:i/>
          <w:iCs/>
        </w:rPr>
        <w:t xml:space="preserve">“The Russia-Ukraine conflict case shows that after military actions were triggered, financial sanctions, pipeline suspensions, and reserve adjustments formed cascading reactions within a short period, ultimately driving substantial price increases.”</w:t>
      </w:r>
      <w:r>
        <w:rPr>
          <w:b/>
          <w:bCs/>
          <w:color w:val="1F4E79"/>
        </w:rPr>
        <w:t xml:space="preserve">  (Section III.B, p. 52916)</w:t>
      </w:r>
    </w:p>
    <w:p>
      <w:pPr>
        <w:spacing w:after="140"/>
        <w:ind w:left="360"/>
      </w:pPr>
      <w:r>
        <w:rPr>
          <w:b/>
          <w:bCs/>
        </w:rPr>
        <w:t xml:space="preserve">Use it for:</w:t>
      </w:r>
      <w:r>
        <w:t xml:space="preserve"> a parallel to the 2026 Hormuz crisis cascade (Iran tensions → JWC listing → shipping insurance → supply).</w:t>
      </w:r>
    </w:p>
    <w:p>
      <w:pPr>
        <w:pStyle w:val="Heading1"/>
      </w:pPr>
      <w:r>
        <w:t xml:space="preserve">Section III.C — Semantic-Driven Dynamic Feature Selection</w:t>
      </w:r>
    </w:p>
    <w:p>
      <w:pPr>
        <w:spacing w:after="80" w:before="160"/>
      </w:pPr>
      <w:r>
        <w:rPr>
          <w:b/>
          <w:bCs/>
          <w:color w:val="1F4E79"/>
        </w:rPr>
        <w:t xml:space="preserve">What it says</w:t>
      </w:r>
    </w:p>
    <w:p>
      <w:pPr>
        <w:pStyle w:val="ListParagraph"/>
        <w:numPr>
          <w:ilvl w:val="0"/>
          <w:numId w:val="2"/>
        </w:numPr>
        <w:spacing w:after="60"/>
      </w:pPr>
      <w:r>
        <w:t xml:space="preserve">Three oil market states: </w:t>
      </w:r>
      <w:r>
        <w:rPr>
          <w:b/>
          <w:bCs/>
        </w:rPr>
        <w:t xml:space="preserve">calm</w:t>
      </w:r>
      <w:r>
        <w:t xml:space="preserve">, </w:t>
      </w:r>
      <w:r>
        <w:rPr>
          <w:b/>
          <w:bCs/>
        </w:rPr>
        <w:t xml:space="preserve">conflict outbreak</w:t>
      </w:r>
      <w:r>
        <w:t xml:space="preserve">, </w:t>
      </w:r>
      <w:r>
        <w:rPr>
          <w:b/>
          <w:bCs/>
        </w:rPr>
        <w:t xml:space="preserve">stalemate/transition</w:t>
      </w:r>
      <w:r>
        <w:t xml:space="preserve">. Different features matter in each: technical indicators in calm periods, geopolitical risk and news sentiment in conflict, transport costs and inventories in stalemate.</w:t>
      </w:r>
    </w:p>
    <w:p>
      <w:pPr>
        <w:pStyle w:val="ListParagraph"/>
        <w:numPr>
          <w:ilvl w:val="0"/>
          <w:numId w:val="2"/>
        </w:numPr>
        <w:spacing w:after="60"/>
      </w:pPr>
      <w:r>
        <w:t xml:space="preserve">State detection mixes two probabilities (Eq. 9): the LLM reading today's news (few-shot prompt) and a hidden Markov model on recent numbers. Weight α goes up when there's more text.</w:t>
      </w:r>
    </w:p>
    <w:p>
      <w:pPr>
        <w:pStyle w:val="ListParagraph"/>
        <w:numPr>
          <w:ilvl w:val="0"/>
          <w:numId w:val="2"/>
        </w:numPr>
        <w:spacing w:after="60"/>
      </w:pPr>
      <w:r>
        <w:t xml:space="preserve">Feature importance mixes gradient-based importance with LLM “prior knowledge” (Eq. 10). The top-k features are used.</w:t>
      </w:r>
    </w:p>
    <w:p>
      <w:pPr>
        <w:pStyle w:val="ListParagraph"/>
        <w:numPr>
          <w:ilvl w:val="0"/>
          <w:numId w:val="2"/>
        </w:numPr>
        <w:spacing w:after="60"/>
      </w:pPr>
      <w:r>
        <w:t xml:space="preserve">TFT input = selected numeric features + document vector + graph vector + state embedding (Eq. 11). Output = multi-quantile forecast.</w:t>
      </w:r>
    </w:p>
    <w:p>
      <w:pPr>
        <w:pStyle w:val="ListParagraph"/>
        <w:numPr>
          <w:ilvl w:val="0"/>
          <w:numId w:val="2"/>
        </w:numPr>
        <w:spacing w:after="60"/>
      </w:pPr>
      <w:r>
        <w:t xml:space="preserve">Claim: the LLM detects a regime change “within a short time”, while volatility-based methods need several days.</w:t>
      </w:r>
    </w:p>
    <w:p>
      <w:pPr>
        <w:spacing w:after="80" w:before="160"/>
      </w:pPr>
      <w:r>
        <w:rPr>
          <w:b/>
          <w:bCs/>
          <w:color w:val="1F4E79"/>
        </w:rPr>
        <w:t xml:space="preserve">What it means for my project</w:t>
      </w:r>
    </w:p>
    <w:p>
      <w:pPr>
        <w:pStyle w:val="ListParagraph"/>
        <w:numPr>
          <w:ilvl w:val="0"/>
          <w:numId w:val="2"/>
        </w:numPr>
        <w:spacing w:after="60"/>
      </w:pPr>
      <w:r>
        <w:t xml:space="preserve">My tree models already reweight features automatically through splits. A regime feature (e.g. a “crisis” flag from my scores or from JWC listing) lets a tree model behave differently in crisis vs calm, which is a simpler version of what they do.</w:t>
      </w:r>
    </w:p>
    <w:p>
      <w:pPr>
        <w:pStyle w:val="ListParagraph"/>
        <w:numPr>
          <w:ilvl w:val="0"/>
          <w:numId w:val="2"/>
        </w:numPr>
        <w:spacing w:after="60"/>
      </w:pPr>
      <w:r>
        <w:t xml:space="preserve">Their calm/conflict/stalemate split is a good template for </w:t>
      </w:r>
      <w:r>
        <w:rPr>
          <w:b/>
          <w:bCs/>
        </w:rPr>
        <w:t xml:space="preserve">reporting my results by regime</w:t>
      </w:r>
      <w:r>
        <w:t xml:space="preserve">.</w:t>
      </w:r>
    </w:p>
    <w:p>
      <w:pPr>
        <w:pStyle w:val="ListParagraph"/>
        <w:numPr>
          <w:ilvl w:val="0"/>
          <w:numId w:val="2"/>
        </w:numPr>
        <w:spacing w:after="60"/>
      </w:pPr>
      <w:r>
        <w:t xml:space="preserve">Transport costs matter in stalemates. That supports my tanker-rate and chokepoint features.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“Empirical analysis shows that technical indicators dominate during calm periods, geopolitical risk indices and news sentiment become the most important factors during conflict outbreaks, and the predictive value of transportation costs and inventory levels increases during stalemate periods.”</w:t>
      </w:r>
      <w:r>
        <w:rPr>
          <w:b/>
          <w:bCs/>
          <w:color w:val="1F4E79"/>
        </w:rPr>
        <w:t xml:space="preserve">  (Section III.C, p. 52917)</w:t>
      </w:r>
    </w:p>
    <w:p>
      <w:pPr>
        <w:spacing w:after="140"/>
        <w:ind w:left="360"/>
      </w:pPr>
      <w:r>
        <w:rPr>
          <w:b/>
          <w:bCs/>
        </w:rPr>
        <w:t xml:space="preserve">Use it for:</w:t>
      </w:r>
      <w:r>
        <w:t xml:space="preserve"> arguing that geopolitical features matter most during crises. Expect my SHAP values to show the same in 2026.</w:t>
      </w:r>
    </w:p>
    <w:p>
      <w:pPr>
        <w:pBdr>
          <w:left w:val="single" w:color="1F4E79" w:sz="18" w:space="8"/>
        </w:pBdr>
        <w:shd w:fill="F2F6FA" w:color="auto" w:val="clear"/>
        <w:spacing w:after="40" w:before="120"/>
        <w:ind w:left="360"/>
      </w:pPr>
      <w:r>
        <w:rPr>
          <w:i/>
          <w:iCs/>
        </w:rPr>
        <w:t xml:space="preserve">“Static feature selection methods are essentially compromises across all states and are suboptimal in any single state.”</w:t>
      </w:r>
      <w:r>
        <w:rPr>
          <w:b/>
          <w:bCs/>
          <w:color w:val="1F4E79"/>
        </w:rPr>
        <w:t xml:space="preserve">  (Section III.C, p. 52917)</w:t>
      </w:r>
    </w:p>
    <w:p>
      <w:pPr>
        <w:spacing w:after="140"/>
        <w:ind w:left="360"/>
      </w:pPr>
      <w:r>
        <w:rPr>
          <w:b/>
          <w:bCs/>
        </w:rPr>
        <w:t xml:space="preserve">Use it for:</w:t>
      </w:r>
      <w:r>
        <w:t xml:space="preserve"> justifying a regime feature or regime-specific evaluation.</w:t>
      </w:r>
    </w:p>
    <w:p>
      <w:pPr>
        <w:pBdr>
          <w:left w:val="single" w:color="1F4E79" w:sz="18" w:space="8"/>
        </w:pBdr>
        <w:shd w:fill="F2F6FA" w:color="auto" w:val="clear"/>
        <w:spacing w:after="40" w:before="120"/>
        <w:ind w:left="360"/>
      </w:pPr>
      <w:r>
        <w:rPr>
          <w:i/>
          <w:iCs/>
        </w:rPr>
        <w:t xml:space="preserve">“Large language models can identify state transitions within a short time by analyzing key textual content, while numerical statistical methods based on volatility typically require several days of accumulation to achieve statistical significance.”</w:t>
      </w:r>
      <w:r>
        <w:rPr>
          <w:b/>
          <w:bCs/>
          <w:color w:val="1F4E79"/>
        </w:rPr>
        <w:t xml:space="preserve">  (Section III.C, p. 52918)</w:t>
      </w:r>
    </w:p>
    <w:p>
      <w:pPr>
        <w:spacing w:after="140"/>
        <w:ind w:left="360"/>
      </w:pPr>
      <w:r>
        <w:rPr>
          <w:b/>
          <w:bCs/>
        </w:rPr>
        <w:t xml:space="preserve">Use it for:</w:t>
      </w:r>
      <w:r>
        <w:t xml:space="preserve"> the lead-time advantage of text over price data.</w:t>
      </w:r>
    </w:p>
    <w:p>
      <w:pPr>
        <w:pStyle w:val="Heading1"/>
      </w:pPr>
      <w:r>
        <w:t xml:space="preserve">Section III.D — Joint Training Strategy and Interpretability</w:t>
      </w:r>
    </w:p>
    <w:p>
      <w:pPr>
        <w:spacing w:after="80" w:before="160"/>
      </w:pPr>
      <w:r>
        <w:rPr>
          <w:b/>
          <w:bCs/>
          <w:color w:val="1F4E79"/>
        </w:rPr>
        <w:t xml:space="preserve">What it says</w:t>
      </w:r>
    </w:p>
    <w:p>
      <w:pPr>
        <w:pStyle w:val="ListParagraph"/>
        <w:numPr>
          <w:ilvl w:val="0"/>
          <w:numId w:val="2"/>
        </w:numPr>
        <w:spacing w:after="60"/>
      </w:pPr>
      <w:r>
        <w:t xml:space="preserve">Loss = point loss (MSE) + interval loss (quantile) + regularisation (Eq. 12). Interval weight goes up in uncertain periods.</w:t>
      </w:r>
    </w:p>
    <w:p>
      <w:pPr>
        <w:pStyle w:val="ListParagraph"/>
        <w:numPr>
          <w:ilvl w:val="0"/>
          <w:numId w:val="2"/>
        </w:numPr>
        <w:spacing w:after="60"/>
      </w:pPr>
      <w:r>
        <w:t xml:space="preserve">Three-stage training: (1) freeze the LLM and train low-rank adapter layers on event classification, stance and sentiment tasks; (2) pre-train the graph with self-supervised tasks; (3) fine-tune everything end-to-end with layer-specific learning rates and gradient clipping.</w:t>
      </w:r>
    </w:p>
    <w:p>
      <w:pPr>
        <w:pStyle w:val="ListParagraph"/>
        <w:numPr>
          <w:ilvl w:val="0"/>
          <w:numId w:val="2"/>
        </w:numPr>
        <w:spacing w:after="60"/>
      </w:pPr>
      <w:r>
        <w:t xml:space="preserve">Interpretability: TFT's variable-selection weights and attention (internal) and Shapley values (external). They say they compare the two with rank correlation.</w:t>
      </w:r>
    </w:p>
    <w:p>
      <w:pPr>
        <w:pStyle w:val="ListParagraph"/>
        <w:numPr>
          <w:ilvl w:val="0"/>
          <w:numId w:val="2"/>
        </w:numPr>
        <w:spacing w:after="60"/>
      </w:pPr>
      <w:r>
        <w:t xml:space="preserve">Counterfactuals: remove some nodes or edges (e.g. all military events), recompute, and measure the change in prediction. Shapley interaction indices measure pairwise effects.</w:t>
      </w:r>
    </w:p>
    <w:p>
      <w:pPr>
        <w:pStyle w:val="ListParagraph"/>
        <w:numPr>
          <w:ilvl w:val="0"/>
          <w:numId w:val="2"/>
        </w:numPr>
        <w:spacing w:after="60"/>
      </w:pPr>
      <w:r>
        <w:t xml:space="preserve">They admit the causal reading relies on unconfoundedness and positivity, and positivity fails for events that have never happened.</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Copy the rank-correlation check:</w:t>
      </w:r>
      <w:r>
        <w:t xml:space="preserve"> compare my tree models' built-in feature importance with SHAP importance using Spearman correlation. Cheap, and shows the explanations are consistent.</w:t>
      </w:r>
    </w:p>
    <w:p>
      <w:pPr>
        <w:pStyle w:val="ListParagraph"/>
        <w:numPr>
          <w:ilvl w:val="0"/>
          <w:numId w:val="2"/>
        </w:numPr>
        <w:spacing w:after="60"/>
      </w:pPr>
      <w:r>
        <w:rPr>
          <w:b/>
          <w:bCs/>
        </w:rPr>
        <w:t xml:space="preserve">Copy the counterfactual idea in a simple form:</w:t>
      </w:r>
      <w:r>
        <w:t xml:space="preserve"> set my Iran/Hormuz scores to their pre-crisis level for the 2026 weeks and see how the predicted signal changes. That's a strong case-study result.</w:t>
      </w:r>
    </w:p>
    <w:p>
      <w:pPr>
        <w:pStyle w:val="ListParagraph"/>
        <w:numPr>
          <w:ilvl w:val="0"/>
          <w:numId w:val="2"/>
        </w:numPr>
        <w:spacing w:after="60"/>
      </w:pPr>
      <w:r>
        <w:t xml:space="preserve">The </w:t>
      </w:r>
      <w:r>
        <w:rPr>
          <w:b/>
          <w:bCs/>
        </w:rPr>
        <w:t xml:space="preserve">positivity</w:t>
      </w:r>
      <w:r>
        <w:t xml:space="preserve"> caveat applies to me too: there's never been a full Hormuz closure in the training data.</w:t>
      </w:r>
    </w:p>
    <w:p>
      <w:pPr>
        <w:pBdr>
          <w:left w:val="single" w:color="C55A11" w:sz="18" w:space="8"/>
        </w:pBdr>
        <w:shd w:fill="FDF3E7" w:color="auto" w:val="clear"/>
        <w:spacing w:after="120" w:before="100"/>
        <w:ind w:left="360"/>
      </w:pPr>
      <w:r>
        <w:rPr>
          <w:b/>
          <w:bCs/>
        </w:rPr>
        <w:t xml:space="preserve">Problem:</w:t>
      </w:r>
      <w:r>
        <w:t xml:space="preserve"> Stage 1 trains adapter layers inside the LLM, but Section IV.A.4 says the LLM is accessed through the GPT-4 API. You can't attach adapter layers to GPT-4 through the API. The paper doesn't explain this, so it's unclear what was actually trained.</w:t>
      </w:r>
    </w:p>
    <w:p>
      <w:pPr>
        <w:pBdr>
          <w:left w:val="single" w:color="1F4E79" w:sz="18" w:space="8"/>
        </w:pBdr>
        <w:shd w:fill="F2F6FA" w:color="auto" w:val="clear"/>
        <w:spacing w:after="40" w:before="120"/>
        <w:ind w:left="360"/>
      </w:pPr>
      <w:r>
        <w:rPr>
          <w:i/>
          <w:iCs/>
        </w:rPr>
        <w:t xml:space="preserve">“Positivity is difficult to satisfy when certain event configurations have not historically occurred.”</w:t>
      </w:r>
      <w:r>
        <w:rPr>
          <w:b/>
          <w:bCs/>
          <w:color w:val="1F4E79"/>
        </w:rPr>
        <w:t xml:space="preserve">  (Section III.D, p. 52919)</w:t>
      </w:r>
    </w:p>
    <w:p>
      <w:pPr>
        <w:spacing w:after="140"/>
        <w:ind w:left="360"/>
      </w:pPr>
      <w:r>
        <w:rPr>
          <w:b/>
          <w:bCs/>
        </w:rPr>
        <w:t xml:space="preserve">Use it for:</w:t>
      </w:r>
      <w:r>
        <w:t xml:space="preserve"> my limitations section: the model hasn't seen a full Hormuz closure, so the 2026 case is partly out-of-distribution.</w:t>
      </w:r>
    </w:p>
    <w:p>
      <w:pPr>
        <w:pStyle w:val="Heading1"/>
      </w:pPr>
      <w:r>
        <w:t xml:space="preserve">Section IV.A — Experimental Setup</w:t>
      </w:r>
    </w:p>
    <w:p>
      <w:pPr>
        <w:pStyle w:val="Heading2"/>
      </w:pPr>
      <w:r>
        <w:t xml:space="preserve">IV.A.1 Dataset</w:t>
      </w:r>
    </w:p>
    <w:p>
      <w:pPr>
        <w:pStyle w:val="ListParagraph"/>
        <w:numPr>
          <w:ilvl w:val="0"/>
          <w:numId w:val="2"/>
        </w:numPr>
        <w:spacing w:after="60"/>
      </w:pPr>
      <w:r>
        <w:t xml:space="preserve">Brent spot price from the US EIA, daily, Jan 2021–Jul 2024 (870 trading days).</w:t>
      </w:r>
    </w:p>
    <w:p>
      <w:pPr>
        <w:pStyle w:val="ListParagraph"/>
        <w:numPr>
          <w:ilvl w:val="0"/>
          <w:numId w:val="2"/>
        </w:numPr>
        <w:spacing w:after="60"/>
      </w:pPr>
      <w:r>
        <w:t xml:space="preserve">News: scraped from Reuters and Oilprice.com, filtered with keywords Russia, Ukraine, oil, sanctions, energy. About 4,500 articles (4,487 after cleaning, Appendix).</w:t>
      </w:r>
    </w:p>
    <w:p>
      <w:pPr>
        <w:pStyle w:val="ListParagraph"/>
        <w:numPr>
          <w:ilvl w:val="0"/>
          <w:numId w:val="2"/>
        </w:numPr>
        <w:spacing w:after="60"/>
      </w:pPr>
      <w:r>
        <w:t xml:space="preserve">Extra variables: Caldara &amp; Iacoviello GPR index, Economic Policy Uncertainty index, US Dollar Index, S&amp;P 500, crude inventories, OPEC production.</w:t>
      </w:r>
    </w:p>
    <w:p>
      <w:pPr>
        <w:pStyle w:val="ListParagraph"/>
        <w:numPr>
          <w:ilvl w:val="0"/>
          <w:numId w:val="2"/>
        </w:numPr>
        <w:spacing w:after="60"/>
      </w:pPr>
      <w:r>
        <w:t xml:space="preserve">Split: train Jan 2021–Dec 2022 (stated 70%), validation Jan–Jun 2023 (15%), test Jul 2023–Jul 2024 (15%).</w:t>
      </w:r>
    </w:p>
    <w:p>
      <w:pPr>
        <w:pBdr>
          <w:left w:val="single" w:color="C55A11" w:sz="18" w:space="8"/>
        </w:pBdr>
        <w:shd w:fill="FDF3E7" w:color="auto" w:val="clear"/>
        <w:spacing w:after="120" w:before="100"/>
        <w:ind w:left="360"/>
      </w:pPr>
      <w:r>
        <w:rPr>
          <w:b/>
          <w:bCs/>
        </w:rPr>
        <w:t xml:space="preserve">Problem:</w:t>
      </w:r>
      <w:r>
        <w:t xml:space="preserve"> the dates don't match the percentages. Jan 2021–Dec 2022 is about 24 of 43 months (~56%), and the test period is 13 months (~30%). Their own Table 7 puts 30.9% of the news in the test period. Either the dates or the 70/15/15 split is wrong.</w:t>
      </w:r>
    </w:p>
    <w:p>
      <w:pPr>
        <w:pBdr>
          <w:left w:val="single" w:color="C55A11" w:sz="18" w:space="8"/>
        </w:pBdr>
        <w:shd w:fill="FDF3E7" w:color="auto" w:val="clear"/>
        <w:spacing w:after="120" w:before="100"/>
        <w:ind w:left="360"/>
      </w:pPr>
      <w:r>
        <w:rPr>
          <w:b/>
          <w:bCs/>
        </w:rPr>
        <w:t xml:space="preserve">Problem:</w:t>
      </w:r>
      <w:r>
        <w:t xml:space="preserve"> the news was filtered with Russia/Ukraine keywords, so the corpus is built around one conflict. The method isn't tested on news about other producers or chokepoints. My GDELT scores cover 8 producers and 3 chokepoints.</w:t>
      </w:r>
    </w:p>
    <w:p>
      <w:pPr>
        <w:pStyle w:val="Heading2"/>
      </w:pPr>
      <w:r>
        <w:t xml:space="preserve">IV.A.2 Metrics</w:t>
      </w:r>
    </w:p>
    <w:p>
      <w:pPr>
        <w:spacing w:after="120"/>
      </w:pPr>
      <w:r>
        <w:t xml:space="preserve">RMSE, MAE, MAPE and R², all on the test set. These are price-level regression metrics. My target is direction (buy/hold/sell), so my main metrics differ (accuracy, F1, plus a trading-style return), but I still use the DM test like they do.</w:t>
      </w:r>
    </w:p>
    <w:p>
      <w:pPr>
        <w:pStyle w:val="Heading2"/>
      </w:pPr>
      <w:r>
        <w:t xml:space="preserve">IV.A.3 Baselines</w:t>
      </w:r>
    </w:p>
    <w:p>
      <w:pPr>
        <w:spacing w:after="120"/>
      </w:pPr>
      <w:r>
        <w:t xml:space="preserve">Six baselines: ARIMA, LSTM, Informer, Autoformer, BERT-sentiment + LSTM, and TFT without news. Informer and Autoformer get the same numeric inputs as TFT.</w:t>
      </w:r>
    </w:p>
    <w:p>
      <w:pPr>
        <w:pBdr>
          <w:left w:val="single" w:color="C55A11" w:sz="18" w:space="8"/>
        </w:pBdr>
        <w:shd w:fill="FDF3E7" w:color="auto" w:val="clear"/>
        <w:spacing w:after="120" w:before="100"/>
        <w:ind w:left="360"/>
      </w:pPr>
      <w:r>
        <w:rPr>
          <w:b/>
          <w:bCs/>
        </w:rPr>
        <w:t xml:space="preserve">Problem:</w:t>
      </w:r>
      <w:r>
        <w:t xml:space="preserve"> no </w:t>
      </w:r>
      <w:r>
        <w:rPr>
          <w:b/>
          <w:bCs/>
        </w:rPr>
        <w:t xml:space="preserve">no-change (random walk) forecast</w:t>
      </w:r>
      <w:r>
        <w:t xml:space="preserve">. Oil prices are very persistent, so “tomorrow = today” is hard to beat, and gets a high R² by default. Without it, R² = 0.903 isn't impressive by itself. The forecast horizon (1 day? 5 days?) is also never stated. Baumeister &amp; Kilian (next paper) make the no-change benchmark the standard test.</w:t>
      </w:r>
    </w:p>
    <w:p>
      <w:pPr>
        <w:pStyle w:val="Heading2"/>
      </w:pPr>
      <w:r>
        <w:t xml:space="preserve">IV.A.4 Implementation</w:t>
      </w:r>
    </w:p>
    <w:p>
      <w:pPr>
        <w:spacing w:after="120"/>
      </w:pPr>
      <w:r>
        <w:t xml:space="preserve">RTX 3090 GPU, PyTorch 2.0, Python 3.9. GPT-4 API at ~1.5 s per article. R-GCN with 3 layers, hidden size 256. Adam, learning rate 1e-4, batch 32, up to 50 epochs, early stopping. Grid search on validation. Results averaged over 5 runs (std within 5%).</w:t>
      </w:r>
    </w:p>
    <w:p>
      <w:pPr>
        <w:spacing w:after="80" w:before="160"/>
      </w:pPr>
      <w:r>
        <w:rPr>
          <w:b/>
          <w:bCs/>
          <w:color w:val="1F4E79"/>
        </w:rPr>
        <w:t xml:space="preserve">What it means for my project</w:t>
      </w:r>
    </w:p>
    <w:p>
      <w:pPr>
        <w:pStyle w:val="ListParagraph"/>
        <w:numPr>
          <w:ilvl w:val="0"/>
          <w:numId w:val="2"/>
        </w:numPr>
        <w:spacing w:after="60"/>
      </w:pPr>
      <w:r>
        <w:t xml:space="preserve">Their extra variables (GPR, EPU, USD, S&amp;P 500, inventories, OPEC production) overlap a lot with mine. Cite this to show my baseline feature set follows the literature.</w:t>
      </w:r>
    </w:p>
    <w:p>
      <w:pPr>
        <w:pStyle w:val="ListParagraph"/>
        <w:numPr>
          <w:ilvl w:val="0"/>
          <w:numId w:val="2"/>
        </w:numPr>
        <w:spacing w:after="60"/>
      </w:pPr>
      <w:r>
        <w:t xml:space="preserve">1.5 s per article with GPT-4 is a useful cost/latency reference when I justify </w:t>
      </w:r>
      <w:r>
        <w:rPr>
          <w:b/>
          <w:bCs/>
        </w:rPr>
        <w:t xml:space="preserve">GPT-4o mini</w:t>
      </w:r>
      <w:r>
        <w:t xml:space="preserve"> (cheaper and faster, fine for structured scoring).</w:t>
      </w:r>
    </w:p>
    <w:p>
      <w:pPr>
        <w:pStyle w:val="ListParagraph"/>
        <w:numPr>
          <w:ilvl w:val="0"/>
          <w:numId w:val="2"/>
        </w:numPr>
        <w:spacing w:after="60"/>
      </w:pPr>
      <w:r>
        <w:rPr>
          <w:b/>
          <w:bCs/>
        </w:rPr>
        <w:t xml:space="preserve">Add a no-change / “always hold” baseline</w:t>
      </w:r>
      <w:r>
        <w:t xml:space="preserve"> to my evaluation. Their paper is the counter-example.</w:t>
      </w:r>
    </w:p>
    <w:p>
      <w:pPr>
        <w:pBdr>
          <w:left w:val="single" w:color="1F4E79" w:sz="18" w:space="8"/>
        </w:pBdr>
        <w:shd w:fill="F2F6FA" w:color="auto" w:val="clear"/>
        <w:spacing w:after="40" w:before="120"/>
        <w:ind w:left="360"/>
      </w:pPr>
      <w:r>
        <w:rPr>
          <w:i/>
          <w:iCs/>
        </w:rPr>
        <w:t xml:space="preserve">“Auxiliary economic variables include the Geopolitical Risk Index, Economic Policy Uncertainty Index, U.S. Dollar Index, S&amp;P 500 Index, crude oil inventory, and OPEC production data, all sourced from publicly available databases.”</w:t>
      </w:r>
      <w:r>
        <w:rPr>
          <w:b/>
          <w:bCs/>
          <w:color w:val="1F4E79"/>
        </w:rPr>
        <w:t xml:space="preserve">  (Section IV.A.1, p. 52919)</w:t>
      </w:r>
    </w:p>
    <w:p>
      <w:pPr>
        <w:spacing w:after="140"/>
        <w:ind w:left="360"/>
      </w:pPr>
      <w:r>
        <w:rPr>
          <w:b/>
          <w:bCs/>
        </w:rPr>
        <w:t xml:space="preserve">Use it for:</w:t>
      </w:r>
      <w:r>
        <w:t xml:space="preserve"> backing my baseline (Model A) feature set with a recent oil-forecasting paper.</w:t>
      </w:r>
    </w:p>
    <w:p>
      <w:pPr>
        <w:pBdr>
          <w:left w:val="single" w:color="1F4E79" w:sz="18" w:space="8"/>
        </w:pBdr>
        <w:shd w:fill="F2F6FA" w:color="auto" w:val="clear"/>
        <w:spacing w:after="40" w:before="120"/>
        <w:ind w:left="360"/>
      </w:pPr>
      <w:r>
        <w:rPr>
          <w:b/>
          <w:bCs/>
          <w:color w:val="C00000"/>
        </w:rPr>
        <w:t xml:space="preserve">★ </w:t>
      </w:r>
      <w:r>
        <w:rPr>
          <w:i/>
          <w:iCs/>
        </w:rPr>
        <w:t xml:space="preserve">“The large language model uses the GPT-4 API for hierarchical semantic extraction, with processing time of approximately 1.5 seconds per news article.”</w:t>
      </w:r>
      <w:r>
        <w:rPr>
          <w:b/>
          <w:bCs/>
          <w:color w:val="1F4E79"/>
        </w:rPr>
        <w:t xml:space="preserve">  (Section IV.A.4, p. 52920)</w:t>
      </w:r>
    </w:p>
    <w:p>
      <w:pPr>
        <w:spacing w:after="140"/>
        <w:ind w:left="360"/>
      </w:pPr>
      <w:r>
        <w:rPr>
          <w:b/>
          <w:bCs/>
        </w:rPr>
        <w:t xml:space="preserve">Use it for:</w:t>
      </w:r>
      <w:r>
        <w:t xml:space="preserve"> precedent for using a commercial LLM API (not training one) to build features — the same approach as my project.</w:t>
      </w:r>
    </w:p>
    <w:p>
      <w:pPr>
        <w:pStyle w:val="Heading1"/>
      </w:pPr>
      <w:r>
        <w:t xml:space="preserve">Section IV.B — Overall Performance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Model</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RMSE ($)</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MAE ($)</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MAPE</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R²</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ARIMA</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12.34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9.87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11.43%</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0.623</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LSTM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8.76</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6.89</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8.12%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0.782</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Informer</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6.14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7.23%</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0.812</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Autoformer</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7.23</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6.71%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0.843</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BERT-Sent + LSTM</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7.54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6.98%</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0.836</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TFT (no news)</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6.89</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6.27%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0.861</w:t>
            </w:r>
          </w:p>
        </w:tc>
      </w:tr>
      <w:tr>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Proposed</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5.67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4.38</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5.13%</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0.903</w:t>
            </w:r>
          </w:p>
        </w:tc>
      </w:tr>
    </w:tbl>
    <w:p>
      <w:pPr>
        <w:spacing w:after="120"/>
      </w:pPr>
    </w:p>
    <w:p>
      <w:pPr>
        <w:pStyle w:val="ListParagraph"/>
        <w:numPr>
          <w:ilvl w:val="0"/>
          <w:numId w:val="2"/>
        </w:numPr>
        <w:spacing w:after="60"/>
      </w:pPr>
      <w:r>
        <w:t xml:space="preserve">Proposed beats TFT by 17.7%, Autoformer by 21.6%, Informer by 27.5%.</w:t>
      </w:r>
    </w:p>
    <w:p>
      <w:pPr>
        <w:pStyle w:val="ListParagraph"/>
        <w:numPr>
          <w:ilvl w:val="0"/>
          <w:numId w:val="2"/>
        </w:numPr>
        <w:spacing w:after="60"/>
      </w:pPr>
      <w:r>
        <w:t xml:space="preserve">Diebold-Mariano statistics vs the proposed model: TFT −3.42, BERT-Sent+LSTM −4.17, Autoformer −3.89, Informer −4.53, LSTM −5.83 (all p &lt; 0.001).</w:t>
      </w:r>
    </w:p>
    <w:p>
      <w:pPr>
        <w:pStyle w:val="ListParagraph"/>
        <w:numPr>
          <w:ilvl w:val="0"/>
          <w:numId w:val="2"/>
        </w:numPr>
        <w:spacing w:after="60"/>
      </w:pPr>
      <w:r>
        <w:t xml:space="preserve">Interesting detail: Autoformer (better architecture, no text) ≈ BERT-Sent+LSTM (simpler model, with text). Better models and adding text give gains of similar size.</w:t>
      </w:r>
    </w:p>
    <w:p>
      <w:pPr>
        <w:pStyle w:val="ListParagraph"/>
        <w:numPr>
          <w:ilvl w:val="0"/>
          <w:numId w:val="2"/>
        </w:numPr>
        <w:spacing w:after="60"/>
      </w:pPr>
      <w:r>
        <w:t xml:space="preserve">MAE $4.38 ≈ 5.2% error, which they call “below the industry-acceptable threshold of 6%” (no source given for that threshold).</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Precedent for the DM test</w:t>
      </w:r>
      <w:r>
        <w:t xml:space="preserve"> in LLM-based oil forecasting. Cite it when I explain why I use DM.</w:t>
      </w:r>
    </w:p>
    <w:p>
      <w:pPr>
        <w:pStyle w:val="ListParagraph"/>
        <w:numPr>
          <w:ilvl w:val="0"/>
          <w:numId w:val="2"/>
        </w:numPr>
        <w:spacing w:after="60"/>
      </w:pPr>
      <w:r>
        <w:t xml:space="preserve">They don't say which loss function or horizon the DM test uses. I should state both in my write-up.</w:t>
      </w:r>
    </w:p>
    <w:p>
      <w:pPr>
        <w:pBdr>
          <w:left w:val="single" w:color="1F4E79" w:sz="18" w:space="8"/>
        </w:pBdr>
        <w:shd w:fill="F2F6FA" w:color="auto" w:val="clear"/>
        <w:spacing w:after="40" w:before="120"/>
        <w:ind w:left="360"/>
      </w:pPr>
      <w:r>
        <w:rPr>
          <w:i/>
          <w:iCs/>
        </w:rPr>
        <w:t xml:space="preserve">“The BERT-Sent plus LSTM model incorporating news sentiment reduces error to $7.54, validating the predictive value of textual information, but flattened sentiment loses fine-grained information such as entity stances, event types, and causal chains.”</w:t>
      </w:r>
      <w:r>
        <w:rPr>
          <w:b/>
          <w:bCs/>
          <w:color w:val="1F4E79"/>
        </w:rPr>
        <w:t xml:space="preserve">  (Section IV.B, p. 52921)</w:t>
      </w:r>
    </w:p>
    <w:p>
      <w:pPr>
        <w:spacing w:after="140"/>
        <w:ind w:left="360"/>
      </w:pPr>
      <w:r>
        <w:rPr>
          <w:b/>
          <w:bCs/>
        </w:rPr>
        <w:t xml:space="preserve">Use it for:</w:t>
      </w:r>
      <w:r>
        <w:t xml:space="preserve"> evidence that even simple text features add value over price-only models.</w:t>
      </w:r>
    </w:p>
    <w:p>
      <w:pPr>
        <w:pBdr>
          <w:left w:val="single" w:color="1F4E79" w:sz="18" w:space="8"/>
        </w:pBdr>
        <w:shd w:fill="F2F6FA" w:color="auto" w:val="clear"/>
        <w:spacing w:after="40" w:before="120"/>
        <w:ind w:left="360"/>
      </w:pPr>
      <w:r>
        <w:rPr>
          <w:i/>
          <w:iCs/>
        </w:rPr>
        <w:t xml:space="preserve">“To verify the statistical significance of performance differences, Diebold-Mariano tests were conducted for all model pairs.”</w:t>
      </w:r>
      <w:r>
        <w:rPr>
          <w:b/>
          <w:bCs/>
          <w:color w:val="1F4E79"/>
        </w:rPr>
        <w:t xml:space="preserve">  (Section IV.B, p. 52921)</w:t>
      </w:r>
    </w:p>
    <w:p>
      <w:pPr>
        <w:spacing w:after="140"/>
        <w:ind w:left="360"/>
      </w:pPr>
      <w:r>
        <w:rPr>
          <w:b/>
          <w:bCs/>
        </w:rPr>
        <w:t xml:space="preserve">Use it for:</w:t>
      </w:r>
      <w:r>
        <w:t xml:space="preserve"> precedent for my DM tests between Models A, B and C.</w:t>
      </w:r>
    </w:p>
    <w:p>
      <w:pPr>
        <w:pStyle w:val="Heading1"/>
      </w:pPr>
      <w:r>
        <w:t xml:space="preserve">Section IV.C — Ablation Study (Tables 2 and 3)</w:t>
      </w:r>
    </w:p>
    <w:p>
      <w:pPr>
        <w:pStyle w:val="Heading3"/>
      </w:pPr>
      <w:r>
        <w:t xml:space="preserve">Table 2 — adding one module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100"/>
        <w:gridCol w:w="1100"/>
        <w:gridCol w:w="1100"/>
        <w:gridCol w:w="1900"/>
      </w:tblGrid>
      <w:tr>
        <w:trPr>
          <w:tblHeader/>
        </w:trPr>
        <w:tc>
          <w:tcPr>
            <w:tcW w:type="dxa" w:w="3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Variant</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RMSE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R²</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Gain vs row above</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Baseline TFT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BERT flattened sentiment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6.54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LLM hierarchical semantics (replaces BERT)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4.76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6.4%</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Heterogeneous graph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3.8%</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Dynamic feature selection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3.7%</w:t>
            </w:r>
          </w:p>
        </w:tc>
      </w:tr>
    </w:tbl>
    <w:p>
      <w:pPr>
        <w:spacing w:after="120"/>
      </w:pPr>
    </w:p>
    <w:p>
      <w:pPr>
        <w:spacing w:after="120"/>
      </w:pPr>
      <w:r>
        <w:t xml:space="preserve">I checked the arithmetic: each % matches the RMSE drop, and 6.89 → 5.67 is 17.7%. The sum of the steps is 19.0%, so the modules overlap a little.</w:t>
      </w:r>
    </w:p>
    <w:p>
      <w:pPr>
        <w:pStyle w:val="Heading3"/>
      </w:pPr>
      <w:r>
        <w:t xml:space="preserve">Table 3 — removing one LLM layer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100"/>
        <w:gridCol w:w="1100"/>
        <w:gridCol w:w="1100"/>
        <w:gridCol w:w="1900"/>
      </w:tblGrid>
      <w:tr>
        <w:trPr>
          <w:tblHeader/>
        </w:trPr>
        <w:tc>
          <w:tcPr>
            <w:tcW w:type="dxa" w:w="3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Variant</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RMSE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MAE</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R²</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RMSE change</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 model (all 4 layers)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entity stance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+4.2%</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event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causal chain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0.889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sentiment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4.48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+2.1%</w:t>
            </w:r>
          </w:p>
        </w:tc>
      </w:tr>
      <w:t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Sentiment layer only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4.98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+13.1%</w:t>
            </w:r>
          </w:p>
        </w:tc>
      </w:tr>
    </w:tbl>
    <w:p>
      <w:pPr>
        <w:spacing w:after="120"/>
      </w:pPr>
    </w:p>
    <w:p>
      <w:pPr>
        <w:spacing w:after="80" w:before="160"/>
      </w:pPr>
      <w:r>
        <w:rPr>
          <w:b/>
          <w:bCs/>
          <w:color w:val="1F4E79"/>
        </w:rPr>
        <w:t xml:space="preserve">What it means for my project</w:t>
      </w:r>
    </w:p>
    <w:p>
      <w:pPr>
        <w:pStyle w:val="ListParagraph"/>
        <w:numPr>
          <w:ilvl w:val="0"/>
          <w:numId w:val="2"/>
        </w:numPr>
        <w:spacing w:after="60"/>
      </w:pPr>
      <w:r>
        <w:rPr>
          <w:b/>
          <w:bCs/>
        </w:rPr>
        <w:t xml:space="preserve">Table 2 is the template for my A/B/C ablation:</w:t>
      </w:r>
      <w:r>
        <w:t xml:space="preserve"> one row per block of features added, the change at each step, and a DM test for each step.</w:t>
      </w:r>
    </w:p>
    <w:p>
      <w:pPr>
        <w:pStyle w:val="ListParagraph"/>
        <w:numPr>
          <w:ilvl w:val="0"/>
          <w:numId w:val="2"/>
        </w:numPr>
        <w:spacing w:after="60"/>
      </w:pPr>
      <w:r>
        <w:rPr>
          <w:b/>
          <w:bCs/>
        </w:rPr>
        <w:t xml:space="preserve">Biggest takeaway:</w:t>
      </w:r>
      <w:r>
        <w:t xml:space="preserve"> keeping only sentiment (RMSE 6.41) performs about as badly as BERT sentiment (6.54). The gain comes from the structured, multi-part output, not from “using an LLM”. That's a strong argument that </w:t>
      </w:r>
      <w:r>
        <w:rPr>
          <w:b/>
          <w:bCs/>
        </w:rPr>
        <w:t xml:space="preserve">what you ask the LLM for</w:t>
      </w:r>
      <w:r>
        <w:t xml:space="preserve"> matters, which is my prompt and schema design.</w:t>
      </w:r>
    </w:p>
    <w:p>
      <w:pPr>
        <w:pStyle w:val="ListParagraph"/>
        <w:numPr>
          <w:ilvl w:val="0"/>
          <w:numId w:val="2"/>
        </w:numPr>
        <w:spacing w:after="60"/>
      </w:pPr>
      <w:r>
        <w:rPr>
          <w:b/>
          <w:bCs/>
        </w:rPr>
        <w:t xml:space="preserve">Idea to add:</w:t>
      </w:r>
      <w:r>
        <w:t xml:space="preserve"> a variant with one overall LLM “oil risk” score vs my per-producer/per-chokepoint scores. If per-producer wins, that proves granularity matters, the same way their Table 3 does.</w:t>
      </w:r>
    </w:p>
    <w:p>
      <w:pPr>
        <w:pStyle w:val="ListParagraph"/>
        <w:numPr>
          <w:ilvl w:val="0"/>
          <w:numId w:val="2"/>
        </w:numPr>
        <w:spacing w:after="60"/>
      </w:pPr>
      <w:r>
        <w:t xml:space="preserve">Entity stance is the second most useful layer (+4.2% when removed). That supports scoring </w:t>
      </w:r>
      <w:r>
        <w:rPr>
          <w:b/>
          <w:bCs/>
        </w:rPr>
        <w:t xml:space="preserve">by actor</w:t>
      </w:r>
      <w:r>
        <w:t xml:space="preserve"> (producer).</w:t>
      </w:r>
    </w:p>
    <w:p>
      <w:pPr>
        <w:pBdr>
          <w:left w:val="single" w:color="C55A11" w:sz="18" w:space="8"/>
        </w:pBdr>
        <w:shd w:fill="FDF3E7" w:color="auto" w:val="clear"/>
        <w:spacing w:after="120" w:before="100"/>
        <w:ind w:left="360"/>
      </w:pPr>
      <w:r>
        <w:rPr>
          <w:b/>
          <w:bCs/>
        </w:rPr>
        <w:t xml:space="preserve">Problem:</w:t>
      </w:r>
      <w:r>
        <w:t xml:space="preserve"> Section IV.C says the total (17.7%) is less than the sum of the parts (19.0%) because modules overlap. Section V then says synergy makes the total “exceed the simple sum of individual module contributions”. Those two claims contradict each other.</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“Replacing it with LLM hierarchical semantics yields a single-step improvement of 6.4%, the largest contribution among all modules.”</w:t>
      </w:r>
      <w:r>
        <w:rPr>
          <w:b/>
          <w:bCs/>
          <w:color w:val="1F4E79"/>
        </w:rPr>
        <w:t xml:space="preserve">  (Section IV.C, p. 52921)</w:t>
      </w:r>
    </w:p>
    <w:p>
      <w:pPr>
        <w:spacing w:after="140"/>
        <w:ind w:left="360"/>
      </w:pPr>
      <w:r>
        <w:rPr>
          <w:b/>
          <w:bCs/>
        </w:rPr>
        <w:t xml:space="preserve">Use it for:</w:t>
      </w:r>
      <w:r>
        <w:t xml:space="preserve"> evidence that LLM features give the biggest single gain, more than model architecture changes.</w:t>
      </w:r>
    </w:p>
    <w:p>
      <w:pPr>
        <w:pBdr>
          <w:left w:val="single" w:color="1F4E79" w:sz="18" w:space="8"/>
        </w:pBdr>
        <w:shd w:fill="F2F6FA" w:color="auto" w:val="clear"/>
        <w:spacing w:after="40" w:before="120"/>
        <w:ind w:left="360"/>
      </w:pPr>
      <w:r>
        <w:rPr>
          <w:b/>
          <w:bCs/>
          <w:color w:val="C00000"/>
        </w:rPr>
        <w:t xml:space="preserve">★ </w:t>
      </w:r>
      <w:r>
        <w:rPr>
          <w:i/>
          <w:iCs/>
        </w:rPr>
        <w:t xml:space="preserve">“When only the sentiment indicator layer is retained, RMSE rises to 6.41, close to the 6.54 of BERT flattened sentiment. This result indicates that a single sentiment dimension has similar information content to flattened methods, and that the advantage of the hierarchical architecture stems from the joint encoding of multi-dimensional information.”</w:t>
      </w:r>
      <w:r>
        <w:rPr>
          <w:b/>
          <w:bCs/>
          <w:color w:val="1F4E79"/>
        </w:rPr>
        <w:t xml:space="preserve">  (Section IV.C, p. 52921)</w:t>
      </w:r>
    </w:p>
    <w:p>
      <w:pPr>
        <w:spacing w:after="140"/>
        <w:ind w:left="360"/>
      </w:pPr>
      <w:r>
        <w:rPr>
          <w:b/>
          <w:bCs/>
        </w:rPr>
        <w:t xml:space="preserve">Use it for:</w:t>
      </w:r>
      <w:r>
        <w:t xml:space="preserve"> the strongest evidence that structured, multi-dimensional LLM outputs beat a single score. Core support for my per-producer design.</w:t>
      </w:r>
    </w:p>
    <w:p>
      <w:pPr>
        <w:pStyle w:val="Heading1"/>
      </w:pPr>
      <w:r>
        <w:t xml:space="preserve">Section IV.D — Performance by Period (Table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800"/>
        <w:gridCol w:w="1800"/>
        <w:gridCol w:w="1700"/>
        <w:gridCol w:w="1700"/>
      </w:tblGrid>
      <w:tr>
        <w:trPr>
          <w:tblHeader/>
        </w:trPr>
        <w:tc>
          <w:tcPr>
            <w:tcW w:type="dxa" w:w="2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Baseline (Jan 21–Feb 22)</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Event-intensive (Mar–Jun 22)</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Stable (Jul 23–Jul 24)</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Overall</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LSTM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5.23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18.45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8.76</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BERT-Sent + LSTM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4.87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15.32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6.98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7.54</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TFT (no news)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4.56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13.67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6.89</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Proposed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8.92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5.67</w:t>
            </w:r>
          </w:p>
        </w:tc>
      </w:tr>
      <w:t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Proposed vs TFT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34.7%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17.7%</w:t>
            </w:r>
          </w:p>
        </w:tc>
      </w:tr>
    </w:tbl>
    <w:p>
      <w:pPr>
        <w:spacing w:after="120"/>
      </w:pPr>
    </w:p>
    <w:p>
      <w:pPr>
        <w:spacing w:after="120"/>
      </w:pPr>
      <w:r>
        <w:t xml:space="preserve">All values are RMSE in $/barrel. Volatility rose from 8% to 35% in the event period and fell back to 18% in the stable period. LSTM's error ratio (event vs baseline) is 3.53×, the proposed model's is 2.12×.</w:t>
      </w:r>
    </w:p>
    <w:p>
      <w:pPr>
        <w:spacing w:after="80" w:before="160"/>
      </w:pPr>
      <w:r>
        <w:rPr>
          <w:b/>
          <w:bCs/>
          <w:color w:val="1F4E79"/>
        </w:rPr>
        <w:t xml:space="preserve">What it means for my project</w:t>
      </w:r>
    </w:p>
    <w:p>
      <w:pPr>
        <w:pStyle w:val="ListParagraph"/>
        <w:numPr>
          <w:ilvl w:val="0"/>
          <w:numId w:val="2"/>
        </w:numPr>
        <w:spacing w:after="60"/>
      </w:pPr>
      <w:r>
        <w:t xml:space="preserve">Report my results </w:t>
      </w:r>
      <w:r>
        <w:rPr>
          <w:b/>
          <w:bCs/>
        </w:rPr>
        <w:t xml:space="preserve">split by regime</w:t>
      </w:r>
      <w:r>
        <w:t xml:space="preserve">: normal weeks vs the 2026 Hormuz crisis weeks. Model C should beat A by most in the crisis, as theirs does.</w:t>
      </w:r>
    </w:p>
    <w:p>
      <w:pPr>
        <w:pStyle w:val="ListParagraph"/>
        <w:numPr>
          <w:ilvl w:val="0"/>
          <w:numId w:val="2"/>
        </w:numPr>
        <w:spacing w:after="60"/>
      </w:pPr>
      <w:r>
        <w:t xml:space="preserve">The error-ratio idea (crisis error ÷ calm error) is a simple robustness measure I can use.</w:t>
      </w:r>
    </w:p>
    <w:p>
      <w:pPr>
        <w:pBdr>
          <w:left w:val="single" w:color="C55A11" w:sz="18" w:space="8"/>
        </w:pBdr>
        <w:shd w:fill="FDF3E7" w:color="auto" w:val="clear"/>
        <w:spacing w:after="120" w:before="100"/>
        <w:ind w:left="360"/>
      </w:pPr>
      <w:r>
        <w:rPr>
          <w:b/>
          <w:bCs/>
        </w:rPr>
        <w:t xml:space="preserve">Biggest problem in the paper:</w:t>
      </w:r>
      <w:r>
        <w:t xml:space="preserve"> by their own dates, the baseline period (Jan 2021–Feb 2022) and the event-intensive period (Mar–Jun 2022) are </w:t>
      </w:r>
      <w:r>
        <w:rPr>
          <w:b/>
          <w:bCs/>
        </w:rPr>
        <w:t xml:space="preserve">inside the training set</w:t>
      </w:r>
      <w:r>
        <w:t xml:space="preserve"> (Jan 2021–Dec 2022). The paper doesn't explain how these were scored out of sample. So the headline “34.7% better during conflict” may be measured on data the model trained on. My walk-forward setup avoids this: every crisis week is predicted by a model that hasn't seen it.</w:t>
      </w:r>
    </w:p>
    <w:p>
      <w:pPr>
        <w:pBdr>
          <w:left w:val="single" w:color="C55A11" w:sz="18" w:space="8"/>
        </w:pBdr>
        <w:shd w:fill="FDF3E7" w:color="auto" w:val="clear"/>
        <w:spacing w:after="120" w:before="100"/>
        <w:ind w:left="360"/>
      </w:pPr>
      <w:r>
        <w:rPr>
          <w:b/>
          <w:bCs/>
        </w:rPr>
        <w:t xml:space="preserve">Problem:</w:t>
      </w:r>
      <w:r>
        <w:t xml:space="preserve"> the table doesn't add up. The stable period (Jul 2023–Jul 2024) is the test set, and Table 1 also reports the test set, so the stable and overall columns should match. They match only for the proposed model (5.67). LSTM (7.89 vs 8.76), BERT (6.98 vs 7.54) and TFT (6.34 vs 6.89) all differ. So it's unclear what “overall” covers, and the 17.7% and 10.6% gains can't both be test-set results. Treat the period-level numbers with caution.</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“During the event-intensive period, all model errors increase substantially, but our method shows the most significant advantage.”</w:t>
      </w:r>
      <w:r>
        <w:rPr>
          <w:b/>
          <w:bCs/>
          <w:color w:val="1F4E79"/>
        </w:rPr>
        <w:t xml:space="preserve">  (Section IV.D, p. 52922)</w:t>
      </w:r>
    </w:p>
    <w:p>
      <w:pPr>
        <w:spacing w:after="140"/>
        <w:ind w:left="360"/>
      </w:pPr>
      <w:r>
        <w:rPr>
          <w:b/>
          <w:bCs/>
        </w:rPr>
        <w:t xml:space="preserve">Use it for:</w:t>
      </w:r>
      <w:r>
        <w:t xml:space="preserve"> evidence that text features help most during geopolitical shocks (but see the problem above).</w:t>
      </w:r>
    </w:p>
    <w:p>
      <w:pPr>
        <w:pBdr>
          <w:left w:val="single" w:color="1F4E79" w:sz="18" w:space="8"/>
        </w:pBdr>
        <w:shd w:fill="F2F6FA" w:color="auto" w:val="clear"/>
        <w:spacing w:after="40" w:before="120"/>
        <w:ind w:left="360"/>
      </w:pPr>
      <w:r>
        <w:rPr>
          <w:i/>
          <w:iCs/>
        </w:rPr>
        <w:t xml:space="preserve">“From a prediction stability perspective, the error ratio between event-intensive and baseline periods is 3.53 times for LSTM but only 2.12 times for our method, indicating that the proposed improvements can effectively reduce the impact of extreme market environments on prediction performance.”</w:t>
      </w:r>
      <w:r>
        <w:rPr>
          <w:b/>
          <w:bCs/>
          <w:color w:val="1F4E79"/>
        </w:rPr>
        <w:t xml:space="preserve">  (Section IV.D, pp. 52922)</w:t>
      </w:r>
    </w:p>
    <w:p>
      <w:pPr>
        <w:spacing w:after="140"/>
        <w:ind w:left="360"/>
      </w:pPr>
      <w:r>
        <w:rPr>
          <w:b/>
          <w:bCs/>
        </w:rPr>
        <w:t xml:space="preserve">Use it for:</w:t>
      </w:r>
      <w:r>
        <w:t xml:space="preserve"> the robustness measure I can reuse for the Hormuz case study.</w:t>
      </w:r>
    </w:p>
    <w:p>
      <w:pPr>
        <w:pStyle w:val="Heading1"/>
      </w:pPr>
      <w:r>
        <w:t xml:space="preserve">Section IV.E — Dynamic Feature Selection Effect (Table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Feature</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Calm</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Event-intensive</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Stable</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Geopolitical Risk Index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0.45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0.18</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Hierarchical news sentiment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5-day moving average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0.28</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Crude oil inventory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0.24</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USD index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0.17</w:t>
            </w:r>
          </w:p>
        </w:tc>
      </w:tr>
    </w:tbl>
    <w:p>
      <w:pPr>
        <w:spacing w:after="120"/>
      </w:pPr>
    </w:p>
    <w:p>
      <w:pPr>
        <w:pStyle w:val="ListParagraph"/>
        <w:numPr>
          <w:ilvl w:val="0"/>
          <w:numId w:val="2"/>
        </w:numPr>
        <w:spacing w:after="60"/>
      </w:pPr>
      <w:r>
        <w:t xml:space="preserve">GPR weight goes from 0.08 to 0.45 in the conflict period (+462%, Fig. 6) and stays higher than before (0.18) afterwards.</w:t>
      </w:r>
    </w:p>
    <w:p>
      <w:pPr>
        <w:pStyle w:val="ListParagraph"/>
        <w:numPr>
          <w:ilvl w:val="0"/>
          <w:numId w:val="2"/>
        </w:numPr>
        <w:spacing w:after="60"/>
      </w:pPr>
      <w:r>
        <w:t xml:space="preserve">Technical indicators lose weight in the crisis: “jump-like price movements break the continuity of technical patterns”.</w:t>
      </w:r>
    </w:p>
    <w:p>
      <w:pPr>
        <w:pStyle w:val="ListParagraph"/>
        <w:numPr>
          <w:ilvl w:val="0"/>
          <w:numId w:val="2"/>
        </w:numPr>
        <w:spacing w:after="60"/>
      </w:pPr>
      <w:r>
        <w:t xml:space="preserve">Static models use about 0.24 for everything, so they underweight risk in crises and overreact to noise in calm periods.</w:t>
      </w:r>
    </w:p>
    <w:p>
      <w:pPr>
        <w:pStyle w:val="ListParagraph"/>
        <w:numPr>
          <w:ilvl w:val="0"/>
          <w:numId w:val="2"/>
        </w:numPr>
        <w:spacing w:after="60"/>
      </w:pPr>
      <w:r>
        <w:t xml:space="preserve">Market state identification accuracy: 91.3% (Table 5 note). They don't say what the “true” states were checked against.</w:t>
      </w:r>
    </w:p>
    <w:p>
      <w:pPr>
        <w:spacing w:after="80" w:before="160"/>
      </w:pPr>
      <w:r>
        <w:rPr>
          <w:b/>
          <w:bCs/>
          <w:color w:val="1F4E79"/>
        </w:rPr>
        <w:t xml:space="preserve">What it means for my project</w:t>
      </w:r>
    </w:p>
    <w:p>
      <w:pPr>
        <w:pStyle w:val="ListParagraph"/>
        <w:numPr>
          <w:ilvl w:val="0"/>
          <w:numId w:val="2"/>
        </w:numPr>
        <w:spacing w:after="60"/>
      </w:pPr>
      <w:r>
        <w:t xml:space="preserve">This is what I expect my </w:t>
      </w:r>
      <w:r>
        <w:rPr>
          <w:b/>
          <w:bCs/>
        </w:rPr>
        <w:t xml:space="preserve">SHAP</w:t>
      </w:r>
      <w:r>
        <w:t xml:space="preserve"> results to show: geopolitical/LLM features matter much more in 2026 crisis weeks than in normal weeks. Plot SHAP over time like their Fig. 6(b).</w:t>
      </w:r>
    </w:p>
    <w:p>
      <w:pPr>
        <w:pStyle w:val="ListParagraph"/>
        <w:numPr>
          <w:ilvl w:val="0"/>
          <w:numId w:val="2"/>
        </w:numPr>
        <w:spacing w:after="60"/>
      </w:pPr>
      <w:r>
        <w:t xml:space="preserve">Note that they use the general GPR index (from my last paper) as a feature, and it's the top feature in conflict. My question is whether oil-specific supply scores do even better.</w:t>
      </w:r>
    </w:p>
    <w:p>
      <w:pPr>
        <w:pBdr>
          <w:left w:val="single" w:color="C55A11" w:sz="18" w:space="8"/>
        </w:pBdr>
        <w:shd w:fill="FDF3E7" w:color="auto" w:val="clear"/>
        <w:spacing w:after="120" w:before="100"/>
        <w:ind w:left="360"/>
      </w:pPr>
      <w:r>
        <w:rPr>
          <w:b/>
          <w:bCs/>
        </w:rPr>
        <w:t xml:space="preserve">Problem:</w:t>
      </w:r>
      <w:r>
        <w:t xml:space="preserve"> the Table 5 note says each column sums to 1. The calm column does (1.00), but the event-intensive column sums to 1.28 and the stable column to 1.09.</w:t>
      </w:r>
    </w:p>
    <w:p>
      <w:pPr>
        <w:pBdr>
          <w:left w:val="single" w:color="1F4E79" w:sz="18" w:space="8"/>
        </w:pBdr>
        <w:shd w:fill="F2F6FA" w:color="auto" w:val="clear"/>
        <w:spacing w:after="40" w:before="120"/>
        <w:ind w:left="360"/>
      </w:pPr>
      <w:r>
        <w:rPr>
          <w:b/>
          <w:bCs/>
          <w:color w:val="C00000"/>
        </w:rPr>
        <w:t xml:space="preserve">★ </w:t>
      </w:r>
      <w:r>
        <w:rPr>
          <w:i/>
          <w:iCs/>
        </w:rPr>
        <w:t xml:space="preserve">“During event-intensive periods, weight structure undergoes significant restructuring: the Geopolitical Risk Index rises from 0.08 to 0.45, hierarchical news sentiment rises to 0.38, while technical indicator weights drop substantially with the 5-day moving average falling to 0.09.”</w:t>
      </w:r>
      <w:r>
        <w:rPr>
          <w:b/>
          <w:bCs/>
          <w:color w:val="1F4E79"/>
        </w:rPr>
        <w:t xml:space="preserve">  (Section IV.E, p. 52922)</w:t>
      </w:r>
    </w:p>
    <w:p>
      <w:pPr>
        <w:spacing w:after="140"/>
        <w:ind w:left="360"/>
      </w:pPr>
      <w:r>
        <w:rPr>
          <w:b/>
          <w:bCs/>
        </w:rPr>
        <w:t xml:space="preserve">Use it for:</w:t>
      </w:r>
      <w:r>
        <w:t xml:space="preserve"> evidence that feature importance shifts towards geopolitical risk during crises. Compare with my SHAP results.</w:t>
      </w:r>
    </w:p>
    <w:p>
      <w:pPr>
        <w:pBdr>
          <w:left w:val="single" w:color="1F4E79" w:sz="18" w:space="8"/>
        </w:pBdr>
        <w:shd w:fill="F2F6FA" w:color="auto" w:val="clear"/>
        <w:spacing w:after="40" w:before="120"/>
        <w:ind w:left="360"/>
      </w:pPr>
      <w:r>
        <w:rPr>
          <w:i/>
          <w:iCs/>
        </w:rPr>
        <w:t xml:space="preserve">“This reflects how jump-like price movements break the continuity of technical patterns.”</w:t>
      </w:r>
      <w:r>
        <w:rPr>
          <w:b/>
          <w:bCs/>
          <w:color w:val="1F4E79"/>
        </w:rPr>
        <w:t xml:space="preserve">  (Section IV.E, p. 52922)</w:t>
      </w:r>
    </w:p>
    <w:p>
      <w:pPr>
        <w:spacing w:after="140"/>
        <w:ind w:left="360"/>
      </w:pPr>
      <w:r>
        <w:rPr>
          <w:b/>
          <w:bCs/>
        </w:rPr>
        <w:t xml:space="preserve">Use it for:</w:t>
      </w:r>
      <w:r>
        <w:t xml:space="preserve"> why technical indicators alone fail during supply shocks.</w:t>
      </w:r>
    </w:p>
    <w:p>
      <w:pPr>
        <w:pStyle w:val="Heading1"/>
      </w:pPr>
      <w:r>
        <w:t xml:space="preserve">Section IV.F — Interpretability and Counterfactuals (Table 6)</w:t>
      </w:r>
    </w:p>
    <w:p>
      <w:pPr>
        <w:spacing w:after="120"/>
      </w:pPr>
      <w:r>
        <w:t xml:space="preserve">They break down the Brent rise “from $54.3 to $127.8 in March 2022” ($73.5 total) into five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200"/>
        <w:gridCol w:w="3500"/>
      </w:tblGrid>
      <w:tr>
        <w:trPr>
          <w:tblHeader/>
        </w:trPr>
        <w:tc>
          <w:tcPr>
            <w:tcW w:type="dxa" w:w="2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Driver</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Contribution</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Share</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Counterfactual</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Military conflict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+$28.7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39.1%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military action nodes → ~$99.1</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Economic sanctions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 sanction edges → $110.9</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 chain concerns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 normal supply</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 panic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Reduce fear index</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Production cut expectations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Assume maintained production</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+$73.5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spacing w:after="120"/>
      </w:pPr>
      <w:r>
        <w:t xml:space="preserve">Chain: military conflict → sanctions → supply fears → panic. They say the graph captures this cascade.</w:t>
      </w:r>
    </w:p>
    <w:p>
      <w:pPr>
        <w:spacing w:after="80" w:before="160"/>
      </w:pPr>
      <w:r>
        <w:rPr>
          <w:b/>
          <w:bCs/>
          <w:color w:val="1F4E79"/>
        </w:rPr>
        <w:t xml:space="preserve">What it means for my project</w:t>
      </w:r>
    </w:p>
    <w:p>
      <w:pPr>
        <w:pStyle w:val="ListParagraph"/>
        <w:numPr>
          <w:ilvl w:val="0"/>
          <w:numId w:val="2"/>
        </w:numPr>
        <w:spacing w:after="60"/>
      </w:pPr>
      <w:r>
        <w:t xml:space="preserve">A good model for my </w:t>
      </w:r>
      <w:r>
        <w:rPr>
          <w:b/>
          <w:bCs/>
        </w:rPr>
        <w:t xml:space="preserve">case study chapter</w:t>
      </w:r>
      <w:r>
        <w:t xml:space="preserve">: explain the 2026 Hormuz signal by showing which features (Iran score, Hormuz score, JWC flag) drove it, using SHAP. Then run a counterfactual (set those features to pre-crisis values).</w:t>
      </w:r>
    </w:p>
    <w:p>
      <w:pPr>
        <w:pBdr>
          <w:left w:val="single" w:color="C55A11" w:sz="18" w:space="8"/>
        </w:pBdr>
        <w:shd w:fill="FDF3E7" w:color="auto" w:val="clear"/>
        <w:spacing w:after="120" w:before="100"/>
        <w:ind w:left="360"/>
      </w:pPr>
      <w:r>
        <w:rPr>
          <w:b/>
          <w:bCs/>
        </w:rPr>
        <w:t xml:space="preserve">Problem:</w:t>
      </w:r>
      <w:r>
        <w:t xml:space="preserve"> Brent was already well above $54 before March 2022 (around $54 is closer to early-2021 levels). A rise from $54.3 to $127.8 covers much more than one month. Check against EIA daily Brent data before quoting these numbers. Also, the breakdown adding up exactly to the total is a property of the attribution method, not evidence the attribution is right.</w:t>
      </w:r>
    </w:p>
    <w:p>
      <w:pPr>
        <w:pBdr>
          <w:left w:val="single" w:color="1F4E79" w:sz="18" w:space="8"/>
        </w:pBdr>
        <w:shd w:fill="F2F6FA" w:color="auto" w:val="clear"/>
        <w:spacing w:after="40" w:before="120"/>
        <w:ind w:left="360"/>
      </w:pPr>
      <w:r>
        <w:rPr>
          <w:i/>
          <w:iCs/>
        </w:rPr>
        <w:t xml:space="preserve">“These factors are interconnected through causal chains: military conflict triggers sanctions, sanctions exacerbate supply concerns, and supply concerns stimulate market panic.”</w:t>
      </w:r>
      <w:r>
        <w:rPr>
          <w:b/>
          <w:bCs/>
          <w:color w:val="1F4E79"/>
        </w:rPr>
        <w:t xml:space="preserve">  (Section IV.F, p. 52923)</w:t>
      </w:r>
    </w:p>
    <w:p>
      <w:pPr>
        <w:spacing w:after="140"/>
        <w:ind w:left="360"/>
      </w:pPr>
      <w:r>
        <w:rPr>
          <w:b/>
          <w:bCs/>
        </w:rPr>
        <w:t xml:space="preserve">Use it for:</w:t>
      </w:r>
      <w:r>
        <w:t xml:space="preserve"> describing how a geopolitical shock passes through to oil prices. Useful framing for the Hormuz case study.</w:t>
      </w:r>
    </w:p>
    <w:p>
      <w:pPr>
        <w:pStyle w:val="Heading1"/>
      </w:pPr>
      <w:r>
        <w:t xml:space="preserve">Section V — Discussion</w:t>
      </w:r>
    </w:p>
    <w:p>
      <w:pPr>
        <w:spacing w:after="80" w:before="160"/>
      </w:pPr>
      <w:r>
        <w:rPr>
          <w:b/>
          <w:bCs/>
          <w:color w:val="1F4E79"/>
        </w:rPr>
        <w:t xml:space="preserve">What it says</w:t>
      </w:r>
    </w:p>
    <w:p>
      <w:pPr>
        <w:pStyle w:val="ListParagraph"/>
        <w:numPr>
          <w:ilvl w:val="0"/>
          <w:numId w:val="2"/>
        </w:numPr>
        <w:spacing w:after="60"/>
      </w:pPr>
      <w:r>
        <w:t xml:space="preserve">Why each part works: hierarchical extraction keeps detail; the graph captures network effects; dynamic selection handles changing regimes.</w:t>
      </w:r>
    </w:p>
    <w:p>
      <w:pPr>
        <w:pStyle w:val="ListParagraph"/>
        <w:numPr>
          <w:ilvl w:val="0"/>
          <w:numId w:val="2"/>
        </w:numPr>
        <w:spacing w:after="60"/>
      </w:pPr>
      <w:r>
        <w:t xml:space="preserve">Claims the methods transfer to epidemics, supply-chain risk and finance.</w:t>
      </w:r>
    </w:p>
    <w:p>
      <w:pPr>
        <w:pStyle w:val="ListParagraph"/>
        <w:numPr>
          <w:ilvl w:val="0"/>
          <w:numId w:val="2"/>
        </w:numPr>
        <w:spacing w:after="60"/>
      </w:pPr>
      <w:r>
        <w:rPr>
          <w:b/>
          <w:bCs/>
        </w:rPr>
        <w:t xml:space="preserve">Limitations they admit:</w:t>
      </w:r>
      <w:r>
        <w:t xml:space="preserve"> (1) LLM API cost and latency; (2) automatically extracted causal links may be noisy, and structural edges are rarely updated; (3) discrete states miss gradual transitions; (4) tested on </w:t>
      </w:r>
      <w:r>
        <w:rPr>
          <w:b/>
          <w:bCs/>
        </w:rPr>
        <w:t xml:space="preserve">one asset only</w:t>
      </w:r>
      <w:r>
        <w:t xml:space="preserve">.</w:t>
      </w:r>
    </w:p>
    <w:p>
      <w:pPr>
        <w:spacing w:after="80" w:before="160"/>
      </w:pPr>
      <w:r>
        <w:rPr>
          <w:b/>
          <w:bCs/>
          <w:color w:val="1F4E79"/>
        </w:rPr>
        <w:t xml:space="preserve">What it means for my project</w:t>
      </w:r>
    </w:p>
    <w:p>
      <w:pPr>
        <w:pStyle w:val="ListParagraph"/>
        <w:numPr>
          <w:ilvl w:val="0"/>
          <w:numId w:val="2"/>
        </w:numPr>
        <w:spacing w:after="60"/>
      </w:pPr>
      <w:r>
        <w:t xml:space="preserve">Their limitation (1) supports my use of a small, cheap model (GPT-4o mini) and weekly batch scoring.</w:t>
      </w:r>
    </w:p>
    <w:p>
      <w:pPr>
        <w:pStyle w:val="ListParagraph"/>
        <w:numPr>
          <w:ilvl w:val="0"/>
          <w:numId w:val="2"/>
        </w:numPr>
        <w:spacing w:after="60"/>
      </w:pPr>
      <w:r>
        <w:t xml:space="preserve">Limitation (3): soft, continuous scores (like my 0–1 scores) avoid hard state boundaries. Point this out.</w:t>
      </w:r>
    </w:p>
    <w:p>
      <w:pPr>
        <w:pStyle w:val="ListParagraph"/>
        <w:numPr>
          <w:ilvl w:val="0"/>
          <w:numId w:val="2"/>
        </w:numPr>
        <w:spacing w:after="60"/>
      </w:pPr>
      <w:r>
        <w:t xml:space="preserve">Limitation (4): they only test one asset and one conflict. My project covers several producers and chokepoints, and a different crisis (Hormuz 2026).</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“Regarding computational efficiency, reliance on large language model APIs for semantic extraction poses cost and latency constraints. Future work may explore domain-specific lightweight language models or hybrid architectures to reduce computational overhead.”</w:t>
      </w:r>
      <w:r>
        <w:rPr>
          <w:b/>
          <w:bCs/>
          <w:color w:val="1F4E79"/>
        </w:rPr>
        <w:t xml:space="preserve">  (Section V, p. 52924)</w:t>
      </w:r>
    </w:p>
    <w:p>
      <w:pPr>
        <w:spacing w:after="140"/>
        <w:ind w:left="360"/>
      </w:pPr>
      <w:r>
        <w:rPr>
          <w:b/>
          <w:bCs/>
        </w:rPr>
        <w:t xml:space="preserve">Use it for:</w:t>
      </w:r>
      <w:r>
        <w:t xml:space="preserve"> justifying GPT-4o mini as a lighter, cheaper option, following their suggested future work.</w:t>
      </w:r>
    </w:p>
    <w:p>
      <w:pPr>
        <w:pBdr>
          <w:left w:val="single" w:color="1F4E79" w:sz="18" w:space="8"/>
        </w:pBdr>
        <w:shd w:fill="F2F6FA" w:color="auto" w:val="clear"/>
        <w:spacing w:after="40" w:before="120"/>
        <w:ind w:left="360"/>
      </w:pPr>
      <w:r>
        <w:rPr>
          <w:i/>
          <w:iCs/>
        </w:rPr>
        <w:t xml:space="preserve">“Regarding graph construction, automatically extracted causal relationships may contain noise…”</w:t>
      </w:r>
      <w:r>
        <w:rPr>
          <w:b/>
          <w:bCs/>
          <w:color w:val="1F4E79"/>
        </w:rPr>
        <w:t xml:space="preserve">  (Section V, p. 52924)</w:t>
      </w:r>
    </w:p>
    <w:p>
      <w:pPr>
        <w:spacing w:after="140"/>
        <w:ind w:left="360"/>
      </w:pPr>
      <w:r>
        <w:rPr>
          <w:b/>
          <w:bCs/>
        </w:rPr>
        <w:t xml:space="preserve">Use it for:</w:t>
      </w:r>
      <w:r>
        <w:t xml:space="preserve"> acknowledging LLM output noise. In my limitations, mention that I check score consistency (e.g. re-scoring a sample).</w:t>
      </w:r>
    </w:p>
    <w:p>
      <w:pPr>
        <w:pBdr>
          <w:left w:val="single" w:color="1F4E79" w:sz="18" w:space="8"/>
        </w:pBdr>
        <w:shd w:fill="F2F6FA" w:color="auto" w:val="clear"/>
        <w:spacing w:after="40" w:before="120"/>
        <w:ind w:left="360"/>
      </w:pPr>
      <w:r>
        <w:rPr>
          <w:i/>
          <w:iCs/>
        </w:rPr>
        <w:t xml:space="preserve">“Regarding validation scope, current experiments are conducted on a single asset only, and method effectiveness in other assets and domains awaits further verification.”</w:t>
      </w:r>
      <w:r>
        <w:rPr>
          <w:b/>
          <w:bCs/>
          <w:color w:val="1F4E79"/>
        </w:rPr>
        <w:t xml:space="preserve">  (Section V, p. 52924)</w:t>
      </w:r>
    </w:p>
    <w:p>
      <w:pPr>
        <w:spacing w:after="140"/>
        <w:ind w:left="360"/>
      </w:pPr>
      <w:r>
        <w:rPr>
          <w:b/>
          <w:bCs/>
        </w:rPr>
        <w:t xml:space="preserve">Use it for:</w:t>
      </w:r>
      <w:r>
        <w:t xml:space="preserve"> a gap my project partly fills: a different crisis, and supply-source-level scores.</w:t>
      </w:r>
    </w:p>
    <w:p>
      <w:pPr>
        <w:pBdr>
          <w:left w:val="single" w:color="1F4E79" w:sz="18" w:space="8"/>
        </w:pBdr>
        <w:shd w:fill="F2F6FA" w:color="auto" w:val="clear"/>
        <w:spacing w:after="40" w:before="120"/>
        <w:ind w:left="360"/>
      </w:pPr>
      <w:r>
        <w:rPr>
          <w:i/>
          <w:iCs/>
        </w:rPr>
        <w:t xml:space="preserve">“Regarding state modeling, discrete state space partitioning may lose information about gradual transitions between states. Future work may explore continuous state spaces or soft state assignment methods.”</w:t>
      </w:r>
      <w:r>
        <w:rPr>
          <w:b/>
          <w:bCs/>
          <w:color w:val="1F4E79"/>
        </w:rPr>
        <w:t xml:space="preserve">  (Section V, p. 52924)</w:t>
      </w:r>
    </w:p>
    <w:p>
      <w:pPr>
        <w:spacing w:after="140"/>
        <w:ind w:left="360"/>
      </w:pPr>
      <w:r>
        <w:rPr>
          <w:b/>
          <w:bCs/>
        </w:rPr>
        <w:t xml:space="preserve">Use it for:</w:t>
      </w:r>
      <w:r>
        <w:t xml:space="preserve"> supporting continuous 0–1 risk scores over hard regime labels.</w:t>
      </w:r>
    </w:p>
    <w:p>
      <w:pPr>
        <w:pStyle w:val="Heading1"/>
      </w:pPr>
      <w:r>
        <w:t xml:space="preserve">Section VI — Conclusion</w:t>
      </w:r>
    </w:p>
    <w:p>
      <w:pPr>
        <w:spacing w:after="120"/>
      </w:pPr>
      <w:r>
        <w:t xml:space="preserve">Repeats the three contributions and results: 17.7% better than TFT, 34.7% in event-heavy periods, module gains of 6.4% / 3.8% / 3.7%. Future work: efficiency, dynamic graphs, continuous states, other domains.</w:t>
      </w:r>
    </w:p>
    <w:p>
      <w:pPr>
        <w:pBdr>
          <w:left w:val="single" w:color="1F4E79" w:sz="18" w:space="8"/>
        </w:pBdr>
        <w:shd w:fill="F2F6FA" w:color="auto" w:val="clear"/>
        <w:spacing w:after="40" w:before="120"/>
        <w:ind w:left="360"/>
      </w:pPr>
      <w:r>
        <w:rPr>
          <w:i/>
          <w:iCs/>
        </w:rPr>
        <w:t xml:space="preserve">“This study provides an effective approach for multimodal information fusion in event-driven time series forecasting.”</w:t>
      </w:r>
      <w:r>
        <w:rPr>
          <w:b/>
          <w:bCs/>
          <w:color w:val="1F4E79"/>
        </w:rPr>
        <w:t xml:space="preserve">  (Section VI, p. 52925)</w:t>
      </w:r>
    </w:p>
    <w:p>
      <w:pPr>
        <w:spacing w:after="140"/>
        <w:ind w:left="360"/>
      </w:pPr>
      <w:r>
        <w:rPr>
          <w:b/>
          <w:bCs/>
        </w:rPr>
        <w:t xml:space="preserve">Use it for:</w:t>
      </w:r>
      <w:r>
        <w:t xml:space="preserve"> a one-line summary of the paper if needed. Usually cite a specific result instead.</w:t>
      </w:r>
    </w:p>
    <w:p>
      <w:pPr>
        <w:pStyle w:val="Heading1"/>
      </w:pPr>
      <w:r>
        <w:t xml:space="preserve">Appendix — Dataset Details (Tables 7–10)</w:t>
      </w:r>
    </w:p>
    <w:p>
      <w:pPr>
        <w:pStyle w:val="Heading3"/>
      </w:pPr>
      <w:r>
        <w:t xml:space="preserve">Table 7 — news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900"/>
        <w:gridCol w:w="1500"/>
        <w:gridCol w:w="1500"/>
        <w:gridCol w:w="1700"/>
      </w:tblGrid>
      <w:tr>
        <w:trPr>
          <w:tblHeader/>
        </w:trPr>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Period</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Range</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Reports</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Daily avg</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Share</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Pre-conflict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2021.1–2022.2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876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19.5%</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Conflict outbreak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2022.3–2022.6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22.9%</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Conflict continuation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2022.7–2022.12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13.6%</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2023.1–2023.6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589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13.1%</w:t>
            </w:r>
          </w:p>
        </w:tc>
      </w:tr>
      <w:t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2023.7–2024.7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1,382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30.9%</w:t>
            </w:r>
          </w:p>
        </w:tc>
      </w:tr>
    </w:tbl>
    <w:p>
      <w:pPr>
        <w:spacing w:after="120"/>
      </w:pPr>
    </w:p>
    <w:p>
      <w:pPr>
        <w:pStyle w:val="Heading3"/>
      </w:pPr>
      <w:r>
        <w:t xml:space="preserve">Tables 8–9 — entities and events</w:t>
      </w:r>
    </w:p>
    <w:p>
      <w:pPr>
        <w:pStyle w:val="ListParagraph"/>
        <w:numPr>
          <w:ilvl w:val="0"/>
          <w:numId w:val="2"/>
        </w:numPr>
        <w:spacing w:after="60"/>
      </w:pPr>
      <w:r>
        <w:t xml:space="preserve">183 entities: 21 state actors (Russia, Saudi Arabia, USA), 12 international organisations (OPEC, EU, NATO), 150 energy companies and institutions (Gazprom, Shell, IEA).</w:t>
      </w:r>
    </w:p>
    <w:p>
      <w:pPr>
        <w:pStyle w:val="ListParagraph"/>
        <w:numPr>
          <w:ilvl w:val="0"/>
          <w:numId w:val="2"/>
        </w:numPr>
        <w:spacing w:after="60"/>
      </w:pPr>
      <w:r>
        <w:t xml:space="preserve">Event types: economic sanctions 1,059 (23.6%), supply changes 991 (22.1%), military actions 839 (18.7%), diplomatic negotiations 727 (16.2%), other 871 (19.4%).</w:t>
      </w:r>
    </w:p>
    <w:p>
      <w:pPr>
        <w:pStyle w:val="Heading3"/>
      </w:pPr>
      <w:r>
        <w:t xml:space="preserve">Table 10 — extra variable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3500"/>
        <w:gridCol w:w="1300"/>
        <w:gridCol w:w="1700"/>
      </w:tblGrid>
      <w:tr>
        <w:trPr>
          <w:tblHeader/>
        </w:trPr>
        <w:tc>
          <w:tcPr>
            <w:tcW w:type="dxa" w:w="2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Variable</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Frequency</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Alignment</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Geopolitical Risk Index</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Caldara and Iacoviello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match</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Economic Policy Uncertainty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Baker, Bloom and Davis (FRED: USEPUINDXD)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match</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 Dollar Index</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match</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S&amp;P 500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match</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Crude oil inventory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EIA Weekly Petroleum Status Report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Forward fill</w:t>
            </w:r>
          </w:p>
        </w:tc>
      </w:tr>
      <w:t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OPEC production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OPEC Monthly Oil Market Report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Forward fill</w:t>
            </w:r>
          </w:p>
        </w:tc>
      </w:tr>
    </w:tbl>
    <w:p>
      <w:pPr>
        <w:spacing w:after="120"/>
      </w:pPr>
    </w:p>
    <w:p>
      <w:pPr>
        <w:spacing w:after="80" w:before="160"/>
      </w:pPr>
      <w:r>
        <w:rPr>
          <w:b/>
          <w:bCs/>
          <w:color w:val="1F4E79"/>
        </w:rPr>
        <w:t xml:space="preserve">What it means for my project</w:t>
      </w:r>
    </w:p>
    <w:p>
      <w:pPr>
        <w:pStyle w:val="ListParagraph"/>
        <w:numPr>
          <w:ilvl w:val="0"/>
          <w:numId w:val="2"/>
        </w:numPr>
        <w:spacing w:after="60"/>
      </w:pPr>
      <w:r>
        <w:rPr>
          <w:b/>
          <w:bCs/>
        </w:rPr>
        <w:t xml:space="preserve">Copy the data rules:</w:t>
      </w:r>
      <w:r>
        <w:t xml:space="preserve"> news on non-trading days goes to the next trading day; weekly and monthly data are forward-filled.</w:t>
      </w:r>
    </w:p>
    <w:p>
      <w:pPr>
        <w:pStyle w:val="ListParagraph"/>
        <w:numPr>
          <w:ilvl w:val="0"/>
          <w:numId w:val="2"/>
        </w:numPr>
        <w:spacing w:after="60"/>
      </w:pPr>
      <w:r>
        <w:rPr>
          <w:b/>
          <w:bCs/>
        </w:rPr>
        <w:t xml:space="preserve">Improve on them:</w:t>
      </w:r>
      <w:r>
        <w:t xml:space="preserve"> forward-fill from the </w:t>
      </w:r>
      <w:r>
        <w:rPr>
          <w:b/>
          <w:bCs/>
        </w:rPr>
        <w:t xml:space="preserve">release date</w:t>
      </w:r>
      <w:r>
        <w:t xml:space="preserve">, not the reference date. EIA weekly data comes out days after the week it covers, and OPEC's monthly report comes out mid-month. Using the reference date leaks future information. They don't say which they used.</w:t>
      </w:r>
    </w:p>
    <w:p>
      <w:pPr>
        <w:pStyle w:val="ListParagraph"/>
        <w:numPr>
          <w:ilvl w:val="0"/>
          <w:numId w:val="2"/>
        </w:numPr>
        <w:spacing w:after="60"/>
      </w:pPr>
      <w:r>
        <w:t xml:space="preserve">Their event list (sanctions, supply changes, military, diplomacy) is close to my event types. Mention the overlap when describing my schema.</w:t>
      </w:r>
    </w:p>
    <w:p>
      <w:pPr>
        <w:pStyle w:val="ListParagraph"/>
        <w:numPr>
          <w:ilvl w:val="0"/>
          <w:numId w:val="2"/>
        </w:numPr>
        <w:spacing w:after="60"/>
      </w:pPr>
      <w:r>
        <w:t xml:space="preserve">Table 10 gives sources for EPU and the USD index (FRED codes) I can use directly.</w:t>
      </w:r>
    </w:p>
    <w:p>
      <w:pPr>
        <w:pBdr>
          <w:left w:val="single" w:color="1F4E79" w:sz="18" w:space="8"/>
        </w:pBdr>
        <w:shd w:fill="F2F6FA" w:color="auto" w:val="clear"/>
        <w:spacing w:after="40" w:before="120"/>
        <w:ind w:left="360"/>
      </w:pPr>
      <w:r>
        <w:rPr>
          <w:i/>
          <w:iCs/>
        </w:rPr>
        <w:t xml:space="preserve">“News published on non-trading days is assigned to the next trading day. Weekly and monthly data are aligned to trading day frequency through forward filling, whereby the most recent observation is carried forward until new data are released.”</w:t>
      </w:r>
      <w:r>
        <w:rPr>
          <w:b/>
          <w:bCs/>
          <w:color w:val="1F4E79"/>
        </w:rPr>
        <w:t xml:space="preserve">  (Appendix, p. 52925)</w:t>
      </w:r>
    </w:p>
    <w:p>
      <w:pPr>
        <w:spacing w:after="140"/>
        <w:ind w:left="360"/>
      </w:pPr>
      <w:r>
        <w:rPr>
          <w:b/>
          <w:bCs/>
        </w:rPr>
        <w:t xml:space="preserve">Use it for:</w:t>
      </w:r>
      <w:r>
        <w:t xml:space="preserve"> precedent for my data alignment rules in the methodology chapter.</w:t>
      </w:r>
    </w:p>
    <w:p>
      <w:pPr>
        <w:pStyle w:val="Heading1"/>
      </w:pPr>
      <w:r>
        <w:t xml:space="preserve">References Worth Following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4126"/>
      </w:tblGrid>
      <w:tr>
        <w:trPr>
          <w:tblHeader/>
        </w:trPr>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Ref</w:t>
            </w:r>
          </w:p>
        </w:tc>
        <w:tc>
          <w:tcPr>
            <w:tcW w:type="dxa" w:w="4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Caldara &amp; Iacoviello (2022), AER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Already done. Note Cao et al. use the GPR index as a feature.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Cai, Mignon &amp; Saadaoui (2022), Energy Economics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US–China tensions and oil. Shows different political shocks affect oil differently.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Huang, Wang &amp; Yang (2023), FinBERT</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standard finance text model. Cite in the text-features history.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Lopez-Lira &amp; Tang (2023), Can ChatGPT forecast stock price movements?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Key LLM-for-finance paper. Good for justifying LLM scoring.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Lim et al. (2021), Temporal Fusion Transformers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Their main baseline. One line on deep models I chose not to use.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Loughran &amp; McDonald (2020), Textual analysis in finance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Survey for the lexicon-based approach (my keyword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Segnon, Gupta &amp; Wilfling (2024), GARCH-MIDAS and geopolitical risks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Regime switching + GPR. Links to my regime detection.</w:t>
            </w:r>
          </w:p>
        </w:tc>
      </w:tr>
    </w:tbl>
    <w:p>
      <w:pPr>
        <w:spacing w:after="120"/>
      </w:pPr>
    </w:p>
    <w:p>
      <w:pPr>
        <w:pBdr>
          <w:left w:val="single" w:color="C55A11" w:sz="18" w:space="8"/>
        </w:pBdr>
        <w:shd w:fill="FDF3E7" w:color="auto" w:val="clear"/>
        <w:spacing w:after="120" w:before="100"/>
        <w:ind w:left="360"/>
      </w:pPr>
      <w:r>
        <w:rPr>
          <w:b/>
          <w:bCs/>
        </w:rPr>
        <w:t xml:space="preserve">Reference quality warning:</w:t>
      </w:r>
      <w:r>
        <w:t xml:space="preserve"> several references don't fit the claims they support, e.g. medical imaging ([18], [20]), Turkish image captioning ([27]), question answering ([29]), battery management ([33], [34]), and [10] and [11] are the same paper. Cite Cao et al. for its own results, not for background claims that rely on these references.</w:t>
      </w:r>
    </w:p>
    <w:p>
      <w:pPr>
        <w:pStyle w:val="Heading1"/>
      </w:pPr>
      <w:r>
        <w:t xml:space="preserve">Problems With This Paper (for the critical evaluation)</w:t>
      </w:r>
    </w:p>
    <w:p>
      <w:pPr>
        <w:spacing w:after="120"/>
      </w:pPr>
      <w:r>
        <w:t xml:space="preserve">All of these are things I can say in the lit review to show critical reading. Each also points to something my project does better. Check each one yourself before writing it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500"/>
        <w:gridCol w:w="352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Problem</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my project does instead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fixed train/validation/test split, no walk-forward or rolling retraining.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Walk-forward backtesting: retrain and test week by week.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crisis-period results (Mar–Jun 2022) fall inside the training dates, so the 34.7% headline may be in-sample.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IV.A.1 vs IV.D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2026 Hormuz weeks are always out of sample.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 look-ahead risk: depending on the GPT-4 version, its training data may cover part of 2021–2024, so it may “know” what happened after each article. Not discussed.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2026 crisis is after GPT-4o mini's knowledge cutoff, so it's a clean test. Note the same risk for my historical scores in limitations.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no-change or random-walk baseline; forecast horizon not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IV.A.3</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 naive and “always hold” baselines; horizon fixed at 5 trading days.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Split dates don't match the stated 70/15/15.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IV.A.1, Table 7</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State exact dates and sample counts.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4 numbers inconsistent (stable vs overall columns).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5 columns said to sum to 1 but sum to 1.28 and 1.09.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Table 5</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Contradiction on whether modules add up to more or less than the 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IV.C vs V</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Says it trains adapter layers on the LLM but uses the GPT-4 API.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III.D vs IV.A.4</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Clear: LLM used through the API with a fixed prompt, no fine-tuning.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Prompts, event ontology details and code not given; 91.3% state accuracy has no stated ground truth; promised SHAP-vs-TFT rank correlation not reported.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III, IV.E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Publish prompts, the score schema and code.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News filtered on Russia/Ukraine keywords; one asset, one conflict.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IV.A.1, V</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GDELT across 8 producers and 3 chokepoints.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Possible factual error: “$54.3 to $127.8 in March 2022”.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IV.F</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Weak reference list; 13-day review period.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References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120"/>
      </w:pPr>
    </w:p>
    <w:p>
      <w:pPr>
        <w:pStyle w:val="Heading1"/>
      </w:pPr>
      <w:r>
        <w:t xml:space="preserve">Summary — Key Takeaways and Checklist</w:t>
      </w:r>
    </w:p>
    <w:p>
      <w:pPr>
        <w:pStyle w:val="Heading3"/>
      </w:pPr>
      <w:r>
        <w:t xml:space="preserve">How this paper compares with my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Cao et al. (2026)</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My project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Target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Daily Brent price level (regression)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Weekly Brent direction: buy / hold / sell (±1.5% over 5 trading days)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News source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Reuters + Oilprice.com, ~4,500 articles, Russia/Ukraine keyword filter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GDELT (global, multilingual)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 API</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GPT-4o mini API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 output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 article: entity stance, event type + severity, causal chain, sentiment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 producer (8) and chokepoint (3): oil-supply risk score 0–1, plus Lloyd's JWC flag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TFT + relational GCN + LLM/HMM state module (deep learning, GPU)</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RF + XGBoost + LightGBM ensemble (tabular, CPU)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fixed split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Walk-forward, out-of-sample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Significance test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Diebold-Mariano</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Diebold-Mariano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Explainability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TFT weights, Shapley values, counterfactuals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SHAP (plus counterfactual case study)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Ablation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module per row (Table 2), remove LLM layer (Table 3)</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Models A → B → 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Crisis case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Russia–Ukraine 2022 (inside training dates)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Iran/Hormuz 2026 (out of sample, after LLM cutoff)</w:t>
            </w:r>
          </w:p>
        </w:tc>
      </w:tr>
    </w:tbl>
    <w:p>
      <w:pPr>
        <w:spacing w:after="120"/>
      </w:pPr>
    </w:p>
    <w:p>
      <w:pPr>
        <w:pStyle w:val="Heading3"/>
      </w:pPr>
      <w:r>
        <w:t xml:space="preserve">Things to take into my project</w:t>
      </w:r>
    </w:p>
    <w:p>
      <w:pPr>
        <w:pStyle w:val="ListParagraph"/>
        <w:numPr>
          <w:ilvl w:val="0"/>
          <w:numId w:val="4"/>
        </w:numPr>
        <w:spacing w:after="80"/>
      </w:pPr>
      <w:r>
        <w:rPr>
          <w:b/>
          <w:bCs/>
        </w:rPr>
        <w:t xml:space="preserve">Use Table 2's format for my A/B/C ablation:</w:t>
      </w:r>
      <w:r>
        <w:t xml:space="preserve"> one row per feature block added, the change at each step, and a DM test per step.</w:t>
      </w:r>
    </w:p>
    <w:p>
      <w:pPr>
        <w:pStyle w:val="ListParagraph"/>
        <w:numPr>
          <w:ilvl w:val="0"/>
          <w:numId w:val="4"/>
        </w:numPr>
        <w:spacing w:after="80"/>
      </w:pPr>
      <w:r>
        <w:rPr>
          <w:b/>
          <w:bCs/>
        </w:rPr>
        <w:t xml:space="preserve">Add a single-score variant:</w:t>
      </w:r>
      <w:r>
        <w:t xml:space="preserve"> one overall LLM oil-risk score vs per-producer/per-chokepoint scores. If per-producer wins, it proves granularity matters (mirrors their Table 3).</w:t>
      </w:r>
    </w:p>
    <w:p>
      <w:pPr>
        <w:pStyle w:val="ListParagraph"/>
        <w:numPr>
          <w:ilvl w:val="0"/>
          <w:numId w:val="4"/>
        </w:numPr>
        <w:spacing w:after="80"/>
      </w:pPr>
      <w:r>
        <w:rPr>
          <w:b/>
          <w:bCs/>
        </w:rPr>
        <w:t xml:space="preserve">Report results by regime</w:t>
      </w:r>
      <w:r>
        <w:t xml:space="preserve"> (normal vs 2026 crisis) and the crisis-to-calm error ratio (IV.D).</w:t>
      </w:r>
    </w:p>
    <w:p>
      <w:pPr>
        <w:pStyle w:val="ListParagraph"/>
        <w:numPr>
          <w:ilvl w:val="0"/>
          <w:numId w:val="4"/>
        </w:numPr>
        <w:spacing w:after="80"/>
      </w:pPr>
      <w:r>
        <w:rPr>
          <w:b/>
          <w:bCs/>
        </w:rPr>
        <w:t xml:space="preserve">Add naive baselines:</w:t>
      </w:r>
      <w:r>
        <w:t xml:space="preserve"> no-change and “always hold”. Their paper skips this.</w:t>
      </w:r>
    </w:p>
    <w:p>
      <w:pPr>
        <w:pStyle w:val="ListParagraph"/>
        <w:numPr>
          <w:ilvl w:val="0"/>
          <w:numId w:val="4"/>
        </w:numPr>
        <w:spacing w:after="80"/>
      </w:pPr>
      <w:r>
        <w:rPr>
          <w:b/>
          <w:bCs/>
        </w:rPr>
        <w:t xml:space="preserve">Data alignment:</w:t>
      </w:r>
      <w:r>
        <w:t xml:space="preserve"> weekend news → next trading day; forward-fill EIA/OPEC data from the release date, not the reference date (Appendix).</w:t>
      </w:r>
    </w:p>
    <w:p>
      <w:pPr>
        <w:pStyle w:val="ListParagraph"/>
        <w:numPr>
          <w:ilvl w:val="0"/>
          <w:numId w:val="4"/>
        </w:numPr>
        <w:spacing w:after="80"/>
      </w:pPr>
      <w:r>
        <w:rPr>
          <w:b/>
          <w:bCs/>
        </w:rPr>
        <w:t xml:space="preserve">Explanations:</w:t>
      </w:r>
      <w:r>
        <w:t xml:space="preserve"> compare tree feature importance with SHAP using Spearman rank correlation (III.D). Plot SHAP over time for GPR/LLM features (IV.E, Fig. 6b).</w:t>
      </w:r>
    </w:p>
    <w:p>
      <w:pPr>
        <w:pStyle w:val="ListParagraph"/>
        <w:numPr>
          <w:ilvl w:val="0"/>
          <w:numId w:val="4"/>
        </w:numPr>
        <w:spacing w:after="80"/>
      </w:pPr>
      <w:r>
        <w:rPr>
          <w:b/>
          <w:bCs/>
        </w:rPr>
        <w:t xml:space="preserve">Counterfactual for the case study:</w:t>
      </w:r>
      <w:r>
        <w:t xml:space="preserve"> reset Iran/Hormuz scores to pre-crisis values and show how the signal changes (IV.F).</w:t>
      </w:r>
    </w:p>
    <w:p>
      <w:pPr>
        <w:pStyle w:val="ListParagraph"/>
        <w:numPr>
          <w:ilvl w:val="0"/>
          <w:numId w:val="4"/>
        </w:numPr>
        <w:spacing w:after="80"/>
      </w:pPr>
      <w:r>
        <w:rPr>
          <w:b/>
          <w:bCs/>
        </w:rPr>
        <w:t xml:space="preserve">Limitations to state:</w:t>
      </w:r>
      <w:r>
        <w:t xml:space="preserve"> LLM look-ahead for historical scores, LLM output noise, and no full Hormuz closure in training data (positivity, III.D).</w:t>
      </w:r>
    </w:p>
    <w:p>
      <w:pPr>
        <w:pStyle w:val="ListParagraph"/>
        <w:numPr>
          <w:ilvl w:val="0"/>
          <w:numId w:val="4"/>
        </w:numPr>
        <w:spacing w:after="80"/>
      </w:pPr>
      <w:r>
        <w:rPr>
          <w:b/>
          <w:bCs/>
        </w:rPr>
        <w:t xml:space="preserve">Publish prompts and score schema</w:t>
      </w:r>
      <w:r>
        <w:t xml:space="preserve"> for reproducibility — something this paper doesn't do.</w:t>
      </w:r>
    </w:p>
    <w:p>
      <w:pPr>
        <w:pStyle w:val="ListParagraph"/>
        <w:numPr>
          <w:ilvl w:val="0"/>
          <w:numId w:val="4"/>
        </w:numPr>
        <w:spacing w:after="80"/>
      </w:pPr>
      <w:r>
        <w:rPr>
          <w:b/>
          <w:bCs/>
        </w:rPr>
        <w:t xml:space="preserve">Consider lag features by event type:</w:t>
      </w:r>
      <w:r>
        <w:t xml:space="preserve"> they say sanctions act over days and military action within 24 hours (III.A).</w:t>
      </w:r>
    </w:p>
    <w:p>
      <w:pPr>
        <w:pStyle w:val="Heading3"/>
      </w:pPr>
      <w:r>
        <w:t xml:space="preserve">Must-cite lines (shortlist)</w:t>
      </w:r>
    </w:p>
    <w:p>
      <w:pPr>
        <w:pStyle w:val="ListParagraph"/>
        <w:numPr>
          <w:ilvl w:val="0"/>
          <w:numId w:val="2"/>
        </w:numPr>
        <w:spacing w:after="60"/>
      </w:pPr>
      <w:r>
        <w:t xml:space="preserve">Abstract: “…encode news as single vectors, and fine-grained semantic information is compressed and lost…”</w:t>
      </w:r>
    </w:p>
    <w:p>
      <w:pPr>
        <w:pStyle w:val="ListParagraph"/>
        <w:numPr>
          <w:ilvl w:val="0"/>
          <w:numId w:val="2"/>
        </w:numPr>
        <w:spacing w:after="60"/>
      </w:pPr>
      <w:r>
        <w:t xml:space="preserve">Section I: “Supply-side shocks tend to elicit immediate price responses…”</w:t>
      </w:r>
    </w:p>
    <w:p>
      <w:pPr>
        <w:pStyle w:val="ListParagraph"/>
        <w:numPr>
          <w:ilvl w:val="0"/>
          <w:numId w:val="2"/>
        </w:numPr>
        <w:spacing w:after="60"/>
      </w:pPr>
      <w:r>
        <w:t xml:space="preserve">Section III.A: Saudi Arabia vs Venezuela “order-of-magnitude differences”</w:t>
      </w:r>
    </w:p>
    <w:p>
      <w:pPr>
        <w:pStyle w:val="ListParagraph"/>
        <w:numPr>
          <w:ilvl w:val="0"/>
          <w:numId w:val="2"/>
        </w:numPr>
        <w:spacing w:after="60"/>
      </w:pPr>
      <w:r>
        <w:t xml:space="preserve">Section III.A: sanctions lag several days, military conflict within 24 hours</w:t>
      </w:r>
    </w:p>
    <w:p>
      <w:pPr>
        <w:pStyle w:val="ListParagraph"/>
        <w:numPr>
          <w:ilvl w:val="0"/>
          <w:numId w:val="2"/>
        </w:numPr>
        <w:spacing w:after="60"/>
      </w:pPr>
      <w:r>
        <w:t xml:space="preserve">Section III.C: technical indicators dominate when calm, geopolitical risk in conflict</w:t>
      </w:r>
    </w:p>
    <w:p>
      <w:pPr>
        <w:pStyle w:val="ListParagraph"/>
        <w:numPr>
          <w:ilvl w:val="0"/>
          <w:numId w:val="2"/>
        </w:numPr>
        <w:spacing w:after="60"/>
      </w:pPr>
      <w:r>
        <w:t xml:space="preserve">Section IV.A.4: GPT-4 API, ~1.5 s per article</w:t>
      </w:r>
    </w:p>
    <w:p>
      <w:pPr>
        <w:pStyle w:val="ListParagraph"/>
        <w:numPr>
          <w:ilvl w:val="0"/>
          <w:numId w:val="2"/>
        </w:numPr>
        <w:spacing w:after="60"/>
      </w:pPr>
      <w:r>
        <w:t xml:space="preserve">Section IV.C: LLM semantics is the largest single gain (6.4%)</w:t>
      </w:r>
    </w:p>
    <w:p>
      <w:pPr>
        <w:pStyle w:val="ListParagraph"/>
        <w:numPr>
          <w:ilvl w:val="0"/>
          <w:numId w:val="2"/>
        </w:numPr>
        <w:spacing w:after="60"/>
      </w:pPr>
      <w:r>
        <w:t xml:space="preserve">Section IV.C: sentiment-only ≈ BERT flat sentiment (6.41 vs 6.54)</w:t>
      </w:r>
    </w:p>
    <w:p>
      <w:pPr>
        <w:pStyle w:val="ListParagraph"/>
        <w:numPr>
          <w:ilvl w:val="0"/>
          <w:numId w:val="2"/>
        </w:numPr>
        <w:spacing w:after="60"/>
      </w:pPr>
      <w:r>
        <w:t xml:space="preserve">Section IV.E: GPR weight 0.08 → 0.45 in conflict</w:t>
      </w:r>
    </w:p>
    <w:p>
      <w:pPr>
        <w:pStyle w:val="ListParagraph"/>
        <w:numPr>
          <w:ilvl w:val="0"/>
          <w:numId w:val="2"/>
        </w:numPr>
        <w:spacing w:after="60"/>
      </w:pPr>
      <w:r>
        <w:t xml:space="preserve">Section V: API cost/latency limitation and single-asset limitation</w:t>
      </w:r>
    </w:p>
    <w:p>
      <w:pPr>
        <w:pStyle w:val="Heading3"/>
      </w:pPr>
      <w:r>
        <w:t xml:space="preserve">Where it fits in my lit review</w:t>
      </w:r>
    </w:p>
    <w:p>
      <w:pPr>
        <w:spacing w:after="120"/>
      </w:pPr>
      <w:r>
        <w:t xml:space="preserve">Put it in the “text and LLM features for oil forecasting” section, after Caldara &amp; Iacoviello. The story: keyword indices (Caldara &amp; Iacoviello) → LLM-scored indices (Iacoviello &amp; Tong, AI-GPR) → LLM-structured features inside a forecasting model (Cao et al.) → my per-producer, per-chokepoint supply scores evaluated walk-forward.</w:t>
      </w:r>
    </w:p>
    <w:p>
      <w:pPr>
        <w:pStyle w:val="Heading3"/>
      </w:pPr>
      <w:r>
        <w:t xml:space="preserve">My one-line difference from this paper</w:t>
      </w:r>
    </w:p>
    <w:p>
      <w:pPr>
        <w:spacing w:after="120"/>
      </w:pPr>
      <w:r>
        <w:rPr>
          <w:b/>
          <w:bCs/>
        </w:rPr>
        <w:t xml:space="preserve">Cao et al. use GPT-4 to turn Russia–Ukraine news into article-level features for a deep model forecasting daily Brent prices on one fixed split; my project uses GPT-4o mini to score oil-supply risk per producer and chokepoint, feeds those scores to a tree ensemble predicting weekly Brent direction, and evaluates it walk-forward on a crisis the LLM has never seen.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Cao et al. (2026)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Cao et al. (2026) — Paper Notes</dc:title>
  <dc:creator>Ali</dc:creator>
  <cp:lastModifiedBy>Un-named</cp:lastModifiedBy>
  <cp:revision>1</cp:revision>
  <dcterms:created xsi:type="dcterms:W3CDTF">2026-10-19T14:54:34.678Z</dcterms:created>
  <dcterms:modified xsi:type="dcterms:W3CDTF">2026-10-19T14:54:34.685Z</dcterms:modified>
</cp:coreProperties>
</file>

<file path=docProps/custom.xml><?xml version="1.0" encoding="utf-8"?>
<Properties xmlns="http://schemas.openxmlformats.org/officeDocument/2006/custom-properties" xmlns:vt="http://schemas.openxmlformats.org/officeDocument/2006/docPropsVTypes"/>
</file>