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AE49CD" w14:textId="77777777" w:rsidR="00CA7430" w:rsidRPr="00CA7430" w:rsidRDefault="00CA7430" w:rsidP="00CA743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CA7430">
        <w:rPr>
          <w:rFonts w:ascii="Times New Roman" w:eastAsia="Times New Roman" w:hAnsi="Times New Roman" w:cs="Times New Roman"/>
          <w:b/>
          <w:bCs/>
          <w:kern w:val="36"/>
          <w:sz w:val="48"/>
          <w:szCs w:val="48"/>
          <w:lang w:eastAsia="en-GB"/>
          <w14:ligatures w14:val="none"/>
        </w:rPr>
        <w:t>GPR Paper Notes — Caldara &amp; Iacoviello (2022)</w:t>
      </w:r>
    </w:p>
    <w:p w14:paraId="7B520C85"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19 Oct 2026 · @Ali</w:t>
      </w:r>
    </w:p>
    <w:p w14:paraId="15B73C5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Notes on "Measuring Geopolitical Risk" (American Economic Review, 2022) — where my model differs, what to copy, and the exact lines to quote.</w:t>
      </w:r>
    </w:p>
    <w:p w14:paraId="31935A6F"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t>Abstract</w:t>
      </w:r>
    </w:p>
    <w:p w14:paraId="7D0112F6"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The original GPR index. Instead of an LLM, it counts the </w:t>
      </w:r>
      <w:r w:rsidRPr="00CA7430">
        <w:rPr>
          <w:rFonts w:ascii="Times New Roman" w:eastAsia="Times New Roman" w:hAnsi="Times New Roman" w:cs="Times New Roman"/>
          <w:b/>
          <w:bCs/>
          <w:kern w:val="0"/>
          <w:lang w:eastAsia="en-GB"/>
          <w14:ligatures w14:val="none"/>
        </w:rPr>
        <w:t>share of newspaper articles</w:t>
      </w:r>
      <w:r w:rsidRPr="00CA7430">
        <w:rPr>
          <w:rFonts w:ascii="Times New Roman" w:eastAsia="Times New Roman" w:hAnsi="Times New Roman" w:cs="Times New Roman"/>
          <w:kern w:val="0"/>
          <w:lang w:eastAsia="en-GB"/>
          <w14:ligatures w14:val="none"/>
        </w:rPr>
        <w:t xml:space="preserve"> that mention adverse geopolitical events, using a keyword dictionary. Spikes at the two world wars, the Korean War, the Cuban Missile Crisis and 9/11.</w:t>
      </w:r>
    </w:p>
    <w:p w14:paraId="2D4161E0"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What they show:</w:t>
      </w:r>
    </w:p>
    <w:p w14:paraId="4054A79D" w14:textId="77777777" w:rsidR="00CA7430" w:rsidRPr="00CA7430" w:rsidRDefault="00CA7430" w:rsidP="00CA74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Higher GPR predicts </w:t>
      </w:r>
      <w:r w:rsidRPr="00CA7430">
        <w:rPr>
          <w:rFonts w:ascii="Times New Roman" w:eastAsia="Times New Roman" w:hAnsi="Times New Roman" w:cs="Times New Roman"/>
          <w:b/>
          <w:bCs/>
          <w:kern w:val="0"/>
          <w:lang w:eastAsia="en-GB"/>
          <w14:ligatures w14:val="none"/>
        </w:rPr>
        <w:t>lower investment and employment</w:t>
      </w:r>
      <w:r w:rsidRPr="00CA7430">
        <w:rPr>
          <w:rFonts w:ascii="Times New Roman" w:eastAsia="Times New Roman" w:hAnsi="Times New Roman" w:cs="Times New Roman"/>
          <w:kern w:val="0"/>
          <w:lang w:eastAsia="en-GB"/>
          <w14:ligatures w14:val="none"/>
        </w:rPr>
        <w:t xml:space="preserve"> and a higher chance of economic disaster</w:t>
      </w:r>
    </w:p>
    <w:p w14:paraId="0AAF18B1" w14:textId="77777777" w:rsidR="00CA7430" w:rsidRPr="00CA7430" w:rsidRDefault="00CA7430" w:rsidP="00CA74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Both </w:t>
      </w:r>
      <w:r w:rsidRPr="00CA7430">
        <w:rPr>
          <w:rFonts w:ascii="Times New Roman" w:eastAsia="Times New Roman" w:hAnsi="Times New Roman" w:cs="Times New Roman"/>
          <w:b/>
          <w:bCs/>
          <w:kern w:val="0"/>
          <w:lang w:eastAsia="en-GB"/>
          <w14:ligatures w14:val="none"/>
        </w:rPr>
        <w:t>threats</w:t>
      </w:r>
      <w:r w:rsidRPr="00CA7430">
        <w:rPr>
          <w:rFonts w:ascii="Times New Roman" w:eastAsia="Times New Roman" w:hAnsi="Times New Roman" w:cs="Times New Roman"/>
          <w:kern w:val="0"/>
          <w:lang w:eastAsia="en-GB"/>
          <w14:ligatures w14:val="none"/>
        </w:rPr>
        <w:t xml:space="preserve"> and </w:t>
      </w:r>
      <w:r w:rsidRPr="00CA7430">
        <w:rPr>
          <w:rFonts w:ascii="Times New Roman" w:eastAsia="Times New Roman" w:hAnsi="Times New Roman" w:cs="Times New Roman"/>
          <w:b/>
          <w:bCs/>
          <w:kern w:val="0"/>
          <w:lang w:eastAsia="en-GB"/>
          <w14:ligatures w14:val="none"/>
        </w:rPr>
        <w:t>acts</w:t>
      </w:r>
      <w:r w:rsidRPr="00CA7430">
        <w:rPr>
          <w:rFonts w:ascii="Times New Roman" w:eastAsia="Times New Roman" w:hAnsi="Times New Roman" w:cs="Times New Roman"/>
          <w:kern w:val="0"/>
          <w:lang w:eastAsia="en-GB"/>
          <w14:ligatures w14:val="none"/>
        </w:rPr>
        <w:t xml:space="preserve"> (realised events) drive the damage</w:t>
      </w:r>
    </w:p>
    <w:p w14:paraId="7A52EBEE" w14:textId="77777777" w:rsidR="00CA7430" w:rsidRPr="00CA7430" w:rsidRDefault="00CA7430" w:rsidP="00CA743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Industry- and firm-level versions: exposed industries and firms cut investment more</w:t>
      </w:r>
    </w:p>
    <w:p w14:paraId="5A31FB0D"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What to cite:</w:t>
      </w:r>
    </w:p>
    <w:p w14:paraId="4A7909A6"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"We present a news-based measure of adverse geopolitical events and associated risks." (Abstract) — use when introducing GPR as the standard benchmark.</w:t>
      </w:r>
    </w:p>
    <w:p w14:paraId="2073FCAC"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adverse consequences of the GPR index are driven by both the threat and the realization of adverse geopolitical events." (Abstract) — supports a threat/act split in my features.</w:t>
      </w:r>
    </w:p>
    <w:p w14:paraId="1CB1246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Gap relevant to my project:</w:t>
      </w:r>
      <w:r w:rsidRPr="00CA7430">
        <w:rPr>
          <w:rFonts w:ascii="Times New Roman" w:eastAsia="Times New Roman" w:hAnsi="Times New Roman" w:cs="Times New Roman"/>
          <w:kern w:val="0"/>
          <w:lang w:eastAsia="en-GB"/>
          <w14:ligatures w14:val="none"/>
        </w:rPr>
        <w:t xml:space="preserve"> GPR is general geopolitical risk, not </w:t>
      </w:r>
      <w:proofErr w:type="gramStart"/>
      <w:r w:rsidRPr="00CA7430">
        <w:rPr>
          <w:rFonts w:ascii="Times New Roman" w:eastAsia="Times New Roman" w:hAnsi="Times New Roman" w:cs="Times New Roman"/>
          <w:kern w:val="0"/>
          <w:lang w:eastAsia="en-GB"/>
          <w14:ligatures w14:val="none"/>
        </w:rPr>
        <w:t>oil-specific</w:t>
      </w:r>
      <w:proofErr w:type="gramEnd"/>
      <w:r w:rsidRPr="00CA7430">
        <w:rPr>
          <w:rFonts w:ascii="Times New Roman" w:eastAsia="Times New Roman" w:hAnsi="Times New Roman" w:cs="Times New Roman"/>
          <w:kern w:val="0"/>
          <w:lang w:eastAsia="en-GB"/>
          <w14:ligatures w14:val="none"/>
        </w:rPr>
        <w:t xml:space="preserve">. It's built to explain </w:t>
      </w:r>
      <w:r w:rsidRPr="00CA7430">
        <w:rPr>
          <w:rFonts w:ascii="Times New Roman" w:eastAsia="Times New Roman" w:hAnsi="Times New Roman" w:cs="Times New Roman"/>
          <w:b/>
          <w:bCs/>
          <w:kern w:val="0"/>
          <w:lang w:eastAsia="en-GB"/>
          <w14:ligatures w14:val="none"/>
        </w:rPr>
        <w:t>macro effects</w:t>
      </w:r>
      <w:r w:rsidRPr="00CA7430">
        <w:rPr>
          <w:rFonts w:ascii="Times New Roman" w:eastAsia="Times New Roman" w:hAnsi="Times New Roman" w:cs="Times New Roman"/>
          <w:kern w:val="0"/>
          <w:lang w:eastAsia="en-GB"/>
          <w14:ligatures w14:val="none"/>
        </w:rPr>
        <w:t xml:space="preserve"> (investment, employment), not to forecast oil prices. And it's keyword-based, which the AI-GPR paper later shows </w:t>
      </w:r>
      <w:proofErr w:type="gramStart"/>
      <w:r w:rsidRPr="00CA7430">
        <w:rPr>
          <w:rFonts w:ascii="Times New Roman" w:eastAsia="Times New Roman" w:hAnsi="Times New Roman" w:cs="Times New Roman"/>
          <w:kern w:val="0"/>
          <w:lang w:eastAsia="en-GB"/>
          <w14:ligatures w14:val="none"/>
        </w:rPr>
        <w:t>is</w:t>
      </w:r>
      <w:proofErr w:type="gramEnd"/>
      <w:r w:rsidRPr="00CA7430">
        <w:rPr>
          <w:rFonts w:ascii="Times New Roman" w:eastAsia="Times New Roman" w:hAnsi="Times New Roman" w:cs="Times New Roman"/>
          <w:kern w:val="0"/>
          <w:lang w:eastAsia="en-GB"/>
          <w14:ligatures w14:val="none"/>
        </w:rPr>
        <w:t xml:space="preserve"> noisier.</w:t>
      </w:r>
    </w:p>
    <w:p w14:paraId="52CD8B88"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t>Introduction</w:t>
      </w:r>
    </w:p>
    <w:p w14:paraId="326EC8A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Central banks, the IMF and the World Bank track geopolitical risk with this index. The Bank of England puts it in an "uncertainty trinity" alongside economic and policy uncertainty. The problem before this paper: no consistent measure existed over time.</w:t>
      </w:r>
    </w:p>
    <w:p w14:paraId="5F13BBBA"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How they build the index:</w:t>
      </w:r>
      <w:r w:rsidRPr="00CA7430">
        <w:rPr>
          <w:rFonts w:ascii="Times New Roman" w:eastAsia="Times New Roman" w:hAnsi="Times New Roman" w:cs="Times New Roman"/>
          <w:kern w:val="0"/>
          <w:lang w:eastAsia="en-GB"/>
          <w14:ligatures w14:val="none"/>
        </w:rPr>
        <w:t xml:space="preserve"> definition → measurement → validation. Good structure to copy for my own LLM-scores chapter.</w:t>
      </w:r>
    </w:p>
    <w:p w14:paraId="1315B65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Their three contributions:</w:t>
      </w:r>
    </w:p>
    <w:p w14:paraId="43013DC3" w14:textId="77777777" w:rsidR="00CA7430" w:rsidRPr="00CA7430" w:rsidRDefault="00CA7430" w:rsidP="00CA74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 new measure of adverse geopolitical events</w:t>
      </w:r>
    </w:p>
    <w:p w14:paraId="21AB3BFB" w14:textId="77777777" w:rsidR="00CA7430" w:rsidRPr="00CA7430" w:rsidRDefault="00CA7430" w:rsidP="00CA74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lastRenderedPageBreak/>
        <w:t>Splitting threats from acts</w:t>
      </w:r>
    </w:p>
    <w:p w14:paraId="4128D35E" w14:textId="77777777" w:rsidR="00CA7430" w:rsidRPr="00CA7430" w:rsidRDefault="00CA7430" w:rsidP="00CA743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Evidence on how geopolitical risk affects the business cycle (quarterly VARs, cross-country data, firm-level data)</w:t>
      </w:r>
    </w:p>
    <w:p w14:paraId="5641860D"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What to cite:</w:t>
      </w:r>
    </w:p>
    <w:p w14:paraId="2AC096D0"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main limitation has been the lack of an indicator that is consistent over time, and that measures real-time geopolitical tensions as perceived by the press, the public, global investors, and policymakers." (Introduction) — motivates news-based measures in general.</w:t>
      </w:r>
    </w:p>
    <w:p w14:paraId="3966673B"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"These newspapers cover geopolitical events of global interest, often implying an involvement of the United States." (Introduction) — shows the index has a US/UK lens. Supports GDELT's wider global coverage.</w:t>
      </w:r>
    </w:p>
    <w:p w14:paraId="289308B8"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Footnote 3: "The term 'risk' is a bit of a misnomer, since it includes both the threat and the realization of adverse events." — cite if I explain why my scores also cover realised disruptions, not just threats.</w:t>
      </w:r>
    </w:p>
    <w:p w14:paraId="2BC23CD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My difference:</w:t>
      </w:r>
      <w:r w:rsidRPr="00CA7430">
        <w:rPr>
          <w:rFonts w:ascii="Times New Roman" w:eastAsia="Times New Roman" w:hAnsi="Times New Roman" w:cs="Times New Roman"/>
          <w:kern w:val="0"/>
          <w:lang w:eastAsia="en-GB"/>
          <w14:ligatures w14:val="none"/>
        </w:rPr>
        <w:t xml:space="preserve"> they </w:t>
      </w:r>
      <w:proofErr w:type="gramStart"/>
      <w:r w:rsidRPr="00CA7430">
        <w:rPr>
          <w:rFonts w:ascii="Times New Roman" w:eastAsia="Times New Roman" w:hAnsi="Times New Roman" w:cs="Times New Roman"/>
          <w:kern w:val="0"/>
          <w:lang w:eastAsia="en-GB"/>
          <w14:ligatures w14:val="none"/>
        </w:rPr>
        <w:t>ask</w:t>
      </w:r>
      <w:proofErr w:type="gramEnd"/>
      <w:r w:rsidRPr="00CA7430">
        <w:rPr>
          <w:rFonts w:ascii="Times New Roman" w:eastAsia="Times New Roman" w:hAnsi="Times New Roman" w:cs="Times New Roman"/>
          <w:kern w:val="0"/>
          <w:lang w:eastAsia="en-GB"/>
          <w14:ligatures w14:val="none"/>
        </w:rPr>
        <w:t xml:space="preserve"> "does geopolitical risk hurt the economy?" (explanatory, macro). I </w:t>
      </w:r>
      <w:proofErr w:type="gramStart"/>
      <w:r w:rsidRPr="00CA7430">
        <w:rPr>
          <w:rFonts w:ascii="Times New Roman" w:eastAsia="Times New Roman" w:hAnsi="Times New Roman" w:cs="Times New Roman"/>
          <w:kern w:val="0"/>
          <w:lang w:eastAsia="en-GB"/>
          <w14:ligatures w14:val="none"/>
        </w:rPr>
        <w:t>ask</w:t>
      </w:r>
      <w:proofErr w:type="gramEnd"/>
      <w:r w:rsidRPr="00CA7430">
        <w:rPr>
          <w:rFonts w:ascii="Times New Roman" w:eastAsia="Times New Roman" w:hAnsi="Times New Roman" w:cs="Times New Roman"/>
          <w:kern w:val="0"/>
          <w:lang w:eastAsia="en-GB"/>
          <w14:ligatures w14:val="none"/>
        </w:rPr>
        <w:t xml:space="preserve"> "does oil-supply-specific risk help </w:t>
      </w:r>
      <w:r w:rsidRPr="00CA7430">
        <w:rPr>
          <w:rFonts w:ascii="Times New Roman" w:eastAsia="Times New Roman" w:hAnsi="Times New Roman" w:cs="Times New Roman"/>
          <w:i/>
          <w:iCs/>
          <w:kern w:val="0"/>
          <w:lang w:eastAsia="en-GB"/>
          <w14:ligatures w14:val="none"/>
        </w:rPr>
        <w:t>forecast</w:t>
      </w:r>
      <w:r w:rsidRPr="00CA7430">
        <w:rPr>
          <w:rFonts w:ascii="Times New Roman" w:eastAsia="Times New Roman" w:hAnsi="Times New Roman" w:cs="Times New Roman"/>
          <w:kern w:val="0"/>
          <w:lang w:eastAsia="en-GB"/>
          <w14:ligatures w14:val="none"/>
        </w:rPr>
        <w:t xml:space="preserve"> weekly Brent direction?" (predictive, out-of-sample).</w:t>
      </w:r>
    </w:p>
    <w:p w14:paraId="55A5785F"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t>Section I.A–</w:t>
      </w:r>
      <w:proofErr w:type="gramStart"/>
      <w:r w:rsidRPr="00CA7430">
        <w:rPr>
          <w:rFonts w:ascii="Times New Roman" w:eastAsia="Times New Roman" w:hAnsi="Times New Roman" w:cs="Times New Roman"/>
          <w:b/>
          <w:bCs/>
          <w:kern w:val="0"/>
          <w:sz w:val="36"/>
          <w:szCs w:val="36"/>
          <w:lang w:eastAsia="en-GB"/>
          <w14:ligatures w14:val="none"/>
        </w:rPr>
        <w:t>I.B</w:t>
      </w:r>
      <w:proofErr w:type="gramEnd"/>
      <w:r w:rsidRPr="00CA7430">
        <w:rPr>
          <w:rFonts w:ascii="Times New Roman" w:eastAsia="Times New Roman" w:hAnsi="Times New Roman" w:cs="Times New Roman"/>
          <w:b/>
          <w:bCs/>
          <w:kern w:val="0"/>
          <w:sz w:val="36"/>
          <w:szCs w:val="36"/>
          <w:lang w:eastAsia="en-GB"/>
          <w14:ligatures w14:val="none"/>
        </w:rPr>
        <w:t xml:space="preserve"> — Definition and Measurement</w:t>
      </w:r>
    </w:p>
    <w:p w14:paraId="4807B40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I.A Definition.</w:t>
      </w:r>
      <w:r w:rsidRPr="00CA7430">
        <w:rPr>
          <w:rFonts w:ascii="Times New Roman" w:eastAsia="Times New Roman" w:hAnsi="Times New Roman" w:cs="Times New Roman"/>
          <w:kern w:val="0"/>
          <w:lang w:eastAsia="en-GB"/>
          <w14:ligatures w14:val="none"/>
        </w:rPr>
        <w:t xml:space="preserve"> This is the most-cited line in the paper:</w:t>
      </w:r>
    </w:p>
    <w:p w14:paraId="6A92FA89"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"We define geopolitical risk as the threat, realization, and escalation of adverse events associated with wars, terrorism, and any tensions among states and political </w:t>
      </w:r>
      <w:proofErr w:type="spellStart"/>
      <w:r w:rsidRPr="00CA7430">
        <w:rPr>
          <w:rFonts w:ascii="Times New Roman" w:eastAsia="Times New Roman" w:hAnsi="Times New Roman" w:cs="Times New Roman"/>
          <w:kern w:val="0"/>
          <w:lang w:eastAsia="en-GB"/>
          <w14:ligatures w14:val="none"/>
        </w:rPr>
        <w:t>actors</w:t>
      </w:r>
      <w:proofErr w:type="spellEnd"/>
      <w:r w:rsidRPr="00CA7430">
        <w:rPr>
          <w:rFonts w:ascii="Times New Roman" w:eastAsia="Times New Roman" w:hAnsi="Times New Roman" w:cs="Times New Roman"/>
          <w:kern w:val="0"/>
          <w:lang w:eastAsia="en-GB"/>
          <w14:ligatures w14:val="none"/>
        </w:rPr>
        <w:t xml:space="preserve"> that affect the peaceful course of international relations." (Section I.A) — cite when defining geopolitical risk in my lit review, then say my scores narrow it to oil-supply risk.</w:t>
      </w:r>
    </w:p>
    <w:p w14:paraId="23A2533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definition also covers non-violent power struggles (e.g. US–Iran tensions) and terrorism.</w:t>
      </w:r>
    </w:p>
    <w:p w14:paraId="255FC2C5"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I.B Measurement.</w:t>
      </w:r>
      <w:r w:rsidRPr="00CA7430">
        <w:rPr>
          <w:rFonts w:ascii="Times New Roman" w:eastAsia="Times New Roman" w:hAnsi="Times New Roman" w:cs="Times New Roman"/>
          <w:kern w:val="0"/>
          <w:lang w:eastAsia="en-GB"/>
          <w14:ligatures w14:val="none"/>
        </w:rPr>
        <w:t xml:space="preserve"> About 25 million articles from leading English-language newspapers.</w:t>
      </w:r>
    </w:p>
    <w:p w14:paraId="65BFCC37" w14:textId="77777777" w:rsidR="00CA7430" w:rsidRPr="00CA7430" w:rsidRDefault="00CA7430" w:rsidP="00CA743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Recent index (1985–):</w:t>
      </w:r>
      <w:r w:rsidRPr="00CA7430">
        <w:rPr>
          <w:rFonts w:ascii="Times New Roman" w:eastAsia="Times New Roman" w:hAnsi="Times New Roman" w:cs="Times New Roman"/>
          <w:kern w:val="0"/>
          <w:lang w:eastAsia="en-GB"/>
          <w14:ligatures w14:val="none"/>
        </w:rPr>
        <w:t xml:space="preserve"> 10 newspapers — Chicago Tribune, Daily Telegraph, FT, Globe and Mail, Guardian, LA Times, NYT, USA Today, WSJ, Washington Post (6 US, 3 UK, 1 Canada)</w:t>
      </w:r>
    </w:p>
    <w:p w14:paraId="0A0A5338" w14:textId="77777777" w:rsidR="00CA7430" w:rsidRPr="00CA7430" w:rsidRDefault="00CA7430" w:rsidP="00CA743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Historical index (1900–):</w:t>
      </w:r>
      <w:r w:rsidRPr="00CA7430">
        <w:rPr>
          <w:rFonts w:ascii="Times New Roman" w:eastAsia="Times New Roman" w:hAnsi="Times New Roman" w:cs="Times New Roman"/>
          <w:kern w:val="0"/>
          <w:lang w:eastAsia="en-GB"/>
          <w14:ligatures w14:val="none"/>
        </w:rPr>
        <w:t xml:space="preserve"> 3 newspapers — Chicago Tribune, NYT, Washington Post</w:t>
      </w:r>
    </w:p>
    <w:p w14:paraId="49273AC6" w14:textId="77777777" w:rsidR="00CA7430" w:rsidRPr="00CA7430" w:rsidRDefault="00CA7430" w:rsidP="00CA743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Index = number of GPR articles ÷ total articles that month.</w:t>
      </w:r>
      <w:r w:rsidRPr="00CA7430">
        <w:rPr>
          <w:rFonts w:ascii="Times New Roman" w:eastAsia="Times New Roman" w:hAnsi="Times New Roman" w:cs="Times New Roman"/>
          <w:kern w:val="0"/>
          <w:lang w:eastAsia="en-GB"/>
          <w14:ligatures w14:val="none"/>
        </w:rPr>
        <w:t xml:space="preserve"> Same normalisation idea AI-GPR uses later.</w:t>
      </w:r>
    </w:p>
    <w:p w14:paraId="010696F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Why a dictionary and not ML:</w:t>
      </w:r>
      <w:r w:rsidRPr="00CA7430">
        <w:rPr>
          <w:rFonts w:ascii="Times New Roman" w:eastAsia="Times New Roman" w:hAnsi="Times New Roman" w:cs="Times New Roman"/>
          <w:kern w:val="0"/>
          <w:lang w:eastAsia="en-GB"/>
          <w14:ligatures w14:val="none"/>
        </w:rPr>
        <w:t xml:space="preserve"> there was no labelled data to train a supervised model on. LLMs now solve this — zero-shot needs no labels. Worth one line in my lit review as the reason the field moved to LLMs.</w:t>
      </w:r>
    </w:p>
    <w:p w14:paraId="74D993A8"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lastRenderedPageBreak/>
        <w:t>"The use of supervised or unsupervised algorithms or prespecified dictionaries is less applicable to our case as the outcome of interest is not directly observed and there are no readily available data to train a supervised model." (Section I.B) — cite to explain why keyword methods came first and why zero-shot LLMs are a step forward.</w:t>
      </w:r>
    </w:p>
    <w:p w14:paraId="5A029AC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Table 1 — the search query (8 categories):</w:t>
      </w:r>
    </w:p>
    <w:tbl>
      <w:tblPr>
        <w:tblW w:w="8279" w:type="dxa"/>
        <w:tblCellSpacing w:w="15" w:type="dxa"/>
        <w:tblCellMar>
          <w:top w:w="15" w:type="dxa"/>
          <w:left w:w="15" w:type="dxa"/>
          <w:bottom w:w="15" w:type="dxa"/>
          <w:right w:w="15" w:type="dxa"/>
        </w:tblCellMar>
        <w:tblLook w:val="04A0" w:firstRow="1" w:lastRow="0" w:firstColumn="1" w:lastColumn="0" w:noHBand="0" w:noVBand="1"/>
      </w:tblPr>
      <w:tblGrid>
        <w:gridCol w:w="235"/>
        <w:gridCol w:w="2198"/>
        <w:gridCol w:w="863"/>
        <w:gridCol w:w="4983"/>
      </w:tblGrid>
      <w:tr w:rsidR="00CA7430" w:rsidRPr="00CA7430" w14:paraId="2AE58C3D" w14:textId="77777777" w:rsidTr="00ED23BA">
        <w:trPr>
          <w:trHeight w:val="273"/>
          <w:tblCellSpacing w:w="15" w:type="dxa"/>
        </w:trPr>
        <w:tc>
          <w:tcPr>
            <w:tcW w:w="0" w:type="auto"/>
            <w:vAlign w:val="center"/>
            <w:hideMark/>
          </w:tcPr>
          <w:p w14:paraId="30F7B3C2" w14:textId="77777777" w:rsidR="00CA7430" w:rsidRPr="00CA7430" w:rsidRDefault="00CA7430" w:rsidP="00CA7430">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7430">
              <w:rPr>
                <w:rFonts w:ascii="Times New Roman" w:eastAsia="Times New Roman" w:hAnsi="Times New Roman" w:cs="Times New Roman"/>
                <w:b/>
                <w:bCs/>
                <w:kern w:val="0"/>
                <w:lang w:eastAsia="en-GB"/>
                <w14:ligatures w14:val="none"/>
              </w:rPr>
              <w:t>#</w:t>
            </w:r>
          </w:p>
        </w:tc>
        <w:tc>
          <w:tcPr>
            <w:tcW w:w="0" w:type="auto"/>
            <w:vAlign w:val="center"/>
            <w:hideMark/>
          </w:tcPr>
          <w:p w14:paraId="29B7E48E" w14:textId="77777777" w:rsidR="00CA7430" w:rsidRPr="00CA7430" w:rsidRDefault="00CA7430" w:rsidP="00ED23BA">
            <w:pPr>
              <w:spacing w:before="100" w:beforeAutospacing="1" w:after="100" w:afterAutospacing="1"/>
              <w:rPr>
                <w:rFonts w:ascii="Times New Roman" w:eastAsia="Times New Roman" w:hAnsi="Times New Roman" w:cs="Times New Roman"/>
                <w:b/>
                <w:bCs/>
                <w:kern w:val="0"/>
                <w:lang w:eastAsia="en-GB"/>
                <w14:ligatures w14:val="none"/>
              </w:rPr>
            </w:pPr>
            <w:r w:rsidRPr="00CA7430">
              <w:rPr>
                <w:rFonts w:ascii="Times New Roman" w:eastAsia="Times New Roman" w:hAnsi="Times New Roman" w:cs="Times New Roman"/>
                <w:b/>
                <w:bCs/>
                <w:kern w:val="0"/>
                <w:lang w:eastAsia="en-GB"/>
                <w14:ligatures w14:val="none"/>
              </w:rPr>
              <w:t>Category</w:t>
            </w:r>
          </w:p>
        </w:tc>
        <w:tc>
          <w:tcPr>
            <w:tcW w:w="0" w:type="auto"/>
            <w:vAlign w:val="center"/>
            <w:hideMark/>
          </w:tcPr>
          <w:p w14:paraId="0EC7F594" w14:textId="77777777" w:rsidR="00CA7430" w:rsidRPr="00CA7430" w:rsidRDefault="00CA7430" w:rsidP="00CA7430">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7430">
              <w:rPr>
                <w:rFonts w:ascii="Times New Roman" w:eastAsia="Times New Roman" w:hAnsi="Times New Roman" w:cs="Times New Roman"/>
                <w:b/>
                <w:bCs/>
                <w:kern w:val="0"/>
                <w:lang w:eastAsia="en-GB"/>
                <w14:ligatures w14:val="none"/>
              </w:rPr>
              <w:t>Type</w:t>
            </w:r>
          </w:p>
        </w:tc>
        <w:tc>
          <w:tcPr>
            <w:tcW w:w="0" w:type="auto"/>
            <w:vAlign w:val="center"/>
            <w:hideMark/>
          </w:tcPr>
          <w:p w14:paraId="2824E803" w14:textId="77777777" w:rsidR="00CA7430" w:rsidRPr="00CA7430" w:rsidRDefault="00CA7430" w:rsidP="00ED23BA">
            <w:pPr>
              <w:spacing w:before="100" w:beforeAutospacing="1" w:after="100" w:afterAutospacing="1"/>
              <w:rPr>
                <w:rFonts w:ascii="Times New Roman" w:eastAsia="Times New Roman" w:hAnsi="Times New Roman" w:cs="Times New Roman"/>
                <w:b/>
                <w:bCs/>
                <w:kern w:val="0"/>
                <w:lang w:eastAsia="en-GB"/>
                <w14:ligatures w14:val="none"/>
              </w:rPr>
            </w:pPr>
            <w:r w:rsidRPr="00CA7430">
              <w:rPr>
                <w:rFonts w:ascii="Times New Roman" w:eastAsia="Times New Roman" w:hAnsi="Times New Roman" w:cs="Times New Roman"/>
                <w:b/>
                <w:bCs/>
                <w:kern w:val="0"/>
                <w:lang w:eastAsia="en-GB"/>
                <w14:ligatures w14:val="none"/>
              </w:rPr>
              <w:t>Example peak</w:t>
            </w:r>
          </w:p>
        </w:tc>
      </w:tr>
      <w:tr w:rsidR="00CA7430" w:rsidRPr="00CA7430" w14:paraId="06B34C46" w14:textId="77777777" w:rsidTr="00ED23BA">
        <w:trPr>
          <w:trHeight w:val="257"/>
          <w:tblCellSpacing w:w="15" w:type="dxa"/>
        </w:trPr>
        <w:tc>
          <w:tcPr>
            <w:tcW w:w="0" w:type="auto"/>
            <w:vAlign w:val="center"/>
            <w:hideMark/>
          </w:tcPr>
          <w:p w14:paraId="4341CF2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1</w:t>
            </w:r>
          </w:p>
        </w:tc>
        <w:tc>
          <w:tcPr>
            <w:tcW w:w="0" w:type="auto"/>
            <w:vAlign w:val="center"/>
            <w:hideMark/>
          </w:tcPr>
          <w:p w14:paraId="4EB4366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War threats</w:t>
            </w:r>
          </w:p>
        </w:tc>
        <w:tc>
          <w:tcPr>
            <w:tcW w:w="0" w:type="auto"/>
            <w:vAlign w:val="center"/>
            <w:hideMark/>
          </w:tcPr>
          <w:p w14:paraId="7298BCBA"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Threat</w:t>
            </w:r>
          </w:p>
        </w:tc>
        <w:tc>
          <w:tcPr>
            <w:tcW w:w="0" w:type="auto"/>
            <w:vAlign w:val="center"/>
            <w:hideMark/>
          </w:tcPr>
          <w:p w14:paraId="688D103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Germany invades Czechoslovakia, 1938</w:t>
            </w:r>
          </w:p>
        </w:tc>
      </w:tr>
      <w:tr w:rsidR="00CA7430" w:rsidRPr="00CA7430" w14:paraId="759D38A5" w14:textId="77777777" w:rsidTr="00ED23BA">
        <w:trPr>
          <w:trHeight w:val="273"/>
          <w:tblCellSpacing w:w="15" w:type="dxa"/>
        </w:trPr>
        <w:tc>
          <w:tcPr>
            <w:tcW w:w="0" w:type="auto"/>
            <w:vAlign w:val="center"/>
            <w:hideMark/>
          </w:tcPr>
          <w:p w14:paraId="2781C17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2</w:t>
            </w:r>
          </w:p>
        </w:tc>
        <w:tc>
          <w:tcPr>
            <w:tcW w:w="0" w:type="auto"/>
            <w:vAlign w:val="center"/>
            <w:hideMark/>
          </w:tcPr>
          <w:p w14:paraId="37E6E5B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Peace threats</w:t>
            </w:r>
          </w:p>
        </w:tc>
        <w:tc>
          <w:tcPr>
            <w:tcW w:w="0" w:type="auto"/>
            <w:vAlign w:val="center"/>
            <w:hideMark/>
          </w:tcPr>
          <w:p w14:paraId="30086DC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Threat</w:t>
            </w:r>
          </w:p>
        </w:tc>
        <w:tc>
          <w:tcPr>
            <w:tcW w:w="0" w:type="auto"/>
            <w:vAlign w:val="center"/>
            <w:hideMark/>
          </w:tcPr>
          <w:p w14:paraId="4E678D1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Iran crisis, 1946</w:t>
            </w:r>
          </w:p>
        </w:tc>
      </w:tr>
      <w:tr w:rsidR="00CA7430" w:rsidRPr="00CA7430" w14:paraId="43103D6C" w14:textId="77777777" w:rsidTr="00ED23BA">
        <w:trPr>
          <w:trHeight w:val="273"/>
          <w:tblCellSpacing w:w="15" w:type="dxa"/>
        </w:trPr>
        <w:tc>
          <w:tcPr>
            <w:tcW w:w="0" w:type="auto"/>
            <w:vAlign w:val="center"/>
            <w:hideMark/>
          </w:tcPr>
          <w:p w14:paraId="2B930B1A"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3</w:t>
            </w:r>
          </w:p>
        </w:tc>
        <w:tc>
          <w:tcPr>
            <w:tcW w:w="0" w:type="auto"/>
            <w:vAlign w:val="center"/>
            <w:hideMark/>
          </w:tcPr>
          <w:p w14:paraId="431DB35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Military buildup</w:t>
            </w:r>
          </w:p>
        </w:tc>
        <w:tc>
          <w:tcPr>
            <w:tcW w:w="0" w:type="auto"/>
            <w:vAlign w:val="center"/>
            <w:hideMark/>
          </w:tcPr>
          <w:p w14:paraId="65761B1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Threat</w:t>
            </w:r>
          </w:p>
        </w:tc>
        <w:tc>
          <w:tcPr>
            <w:tcW w:w="0" w:type="auto"/>
            <w:vAlign w:val="center"/>
            <w:hideMark/>
          </w:tcPr>
          <w:p w14:paraId="7EF97526"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Cuban Missile Crisis, 1962</w:t>
            </w:r>
          </w:p>
        </w:tc>
      </w:tr>
      <w:tr w:rsidR="00CA7430" w:rsidRPr="00CA7430" w14:paraId="55B5D9B9" w14:textId="77777777" w:rsidTr="00ED23BA">
        <w:trPr>
          <w:trHeight w:val="273"/>
          <w:tblCellSpacing w:w="15" w:type="dxa"/>
        </w:trPr>
        <w:tc>
          <w:tcPr>
            <w:tcW w:w="0" w:type="auto"/>
            <w:vAlign w:val="center"/>
            <w:hideMark/>
          </w:tcPr>
          <w:p w14:paraId="6111336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4</w:t>
            </w:r>
          </w:p>
        </w:tc>
        <w:tc>
          <w:tcPr>
            <w:tcW w:w="0" w:type="auto"/>
            <w:vAlign w:val="center"/>
            <w:hideMark/>
          </w:tcPr>
          <w:p w14:paraId="6BEE923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Nuclear threats</w:t>
            </w:r>
          </w:p>
        </w:tc>
        <w:tc>
          <w:tcPr>
            <w:tcW w:w="0" w:type="auto"/>
            <w:vAlign w:val="center"/>
            <w:hideMark/>
          </w:tcPr>
          <w:p w14:paraId="3A6D56D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Threat</w:t>
            </w:r>
          </w:p>
        </w:tc>
        <w:tc>
          <w:tcPr>
            <w:tcW w:w="0" w:type="auto"/>
            <w:vAlign w:val="center"/>
            <w:hideMark/>
          </w:tcPr>
          <w:p w14:paraId="0FA8B1B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Nuclear ban talks, 1963</w:t>
            </w:r>
          </w:p>
        </w:tc>
      </w:tr>
      <w:tr w:rsidR="00CA7430" w:rsidRPr="00CA7430" w14:paraId="39DC108A" w14:textId="77777777" w:rsidTr="00ED23BA">
        <w:trPr>
          <w:trHeight w:val="273"/>
          <w:tblCellSpacing w:w="15" w:type="dxa"/>
        </w:trPr>
        <w:tc>
          <w:tcPr>
            <w:tcW w:w="0" w:type="auto"/>
            <w:vAlign w:val="center"/>
            <w:hideMark/>
          </w:tcPr>
          <w:p w14:paraId="3C6E62CD"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5</w:t>
            </w:r>
          </w:p>
        </w:tc>
        <w:tc>
          <w:tcPr>
            <w:tcW w:w="0" w:type="auto"/>
            <w:vAlign w:val="center"/>
            <w:hideMark/>
          </w:tcPr>
          <w:p w14:paraId="71D12F15"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Terrorist threats</w:t>
            </w:r>
          </w:p>
        </w:tc>
        <w:tc>
          <w:tcPr>
            <w:tcW w:w="0" w:type="auto"/>
            <w:vAlign w:val="center"/>
            <w:hideMark/>
          </w:tcPr>
          <w:p w14:paraId="010825F4"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Threat</w:t>
            </w:r>
          </w:p>
        </w:tc>
        <w:tc>
          <w:tcPr>
            <w:tcW w:w="0" w:type="auto"/>
            <w:vAlign w:val="center"/>
            <w:hideMark/>
          </w:tcPr>
          <w:p w14:paraId="30A4B5B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9/11 (Oct 2001)</w:t>
            </w:r>
          </w:p>
        </w:tc>
      </w:tr>
      <w:tr w:rsidR="00CA7430" w:rsidRPr="00CA7430" w14:paraId="536464A7" w14:textId="77777777" w:rsidTr="00ED23BA">
        <w:trPr>
          <w:trHeight w:val="257"/>
          <w:tblCellSpacing w:w="15" w:type="dxa"/>
        </w:trPr>
        <w:tc>
          <w:tcPr>
            <w:tcW w:w="0" w:type="auto"/>
            <w:vAlign w:val="center"/>
            <w:hideMark/>
          </w:tcPr>
          <w:p w14:paraId="4A73420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6</w:t>
            </w:r>
          </w:p>
        </w:tc>
        <w:tc>
          <w:tcPr>
            <w:tcW w:w="0" w:type="auto"/>
            <w:vAlign w:val="center"/>
            <w:hideMark/>
          </w:tcPr>
          <w:p w14:paraId="42B9F2FF"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Beginning of war</w:t>
            </w:r>
          </w:p>
        </w:tc>
        <w:tc>
          <w:tcPr>
            <w:tcW w:w="0" w:type="auto"/>
            <w:vAlign w:val="center"/>
            <w:hideMark/>
          </w:tcPr>
          <w:p w14:paraId="72ABE74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Act</w:t>
            </w:r>
          </w:p>
        </w:tc>
        <w:tc>
          <w:tcPr>
            <w:tcW w:w="0" w:type="auto"/>
            <w:vAlign w:val="center"/>
            <w:hideMark/>
          </w:tcPr>
          <w:p w14:paraId="47D50D1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WWII begins, 1939</w:t>
            </w:r>
          </w:p>
        </w:tc>
      </w:tr>
      <w:tr w:rsidR="00CA7430" w:rsidRPr="00CA7430" w14:paraId="0BAA731A" w14:textId="77777777" w:rsidTr="00ED23BA">
        <w:trPr>
          <w:trHeight w:val="273"/>
          <w:tblCellSpacing w:w="15" w:type="dxa"/>
        </w:trPr>
        <w:tc>
          <w:tcPr>
            <w:tcW w:w="0" w:type="auto"/>
            <w:vAlign w:val="center"/>
            <w:hideMark/>
          </w:tcPr>
          <w:p w14:paraId="4D763C1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7</w:t>
            </w:r>
          </w:p>
        </w:tc>
        <w:tc>
          <w:tcPr>
            <w:tcW w:w="0" w:type="auto"/>
            <w:vAlign w:val="center"/>
            <w:hideMark/>
          </w:tcPr>
          <w:p w14:paraId="4BEB83D6"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Escalation of war</w:t>
            </w:r>
          </w:p>
        </w:tc>
        <w:tc>
          <w:tcPr>
            <w:tcW w:w="0" w:type="auto"/>
            <w:vAlign w:val="center"/>
            <w:hideMark/>
          </w:tcPr>
          <w:p w14:paraId="252D87E7"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Act</w:t>
            </w:r>
          </w:p>
        </w:tc>
        <w:tc>
          <w:tcPr>
            <w:tcW w:w="0" w:type="auto"/>
            <w:vAlign w:val="center"/>
            <w:hideMark/>
          </w:tcPr>
          <w:p w14:paraId="5EC3769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D-Day, 1944</w:t>
            </w:r>
          </w:p>
        </w:tc>
      </w:tr>
      <w:tr w:rsidR="00CA7430" w:rsidRPr="00CA7430" w14:paraId="6AD0D42B" w14:textId="77777777" w:rsidTr="00ED23BA">
        <w:trPr>
          <w:trHeight w:val="273"/>
          <w:tblCellSpacing w:w="15" w:type="dxa"/>
        </w:trPr>
        <w:tc>
          <w:tcPr>
            <w:tcW w:w="0" w:type="auto"/>
            <w:vAlign w:val="center"/>
            <w:hideMark/>
          </w:tcPr>
          <w:p w14:paraId="250E6EE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8</w:t>
            </w:r>
          </w:p>
        </w:tc>
        <w:tc>
          <w:tcPr>
            <w:tcW w:w="0" w:type="auto"/>
            <w:vAlign w:val="center"/>
            <w:hideMark/>
          </w:tcPr>
          <w:p w14:paraId="35C1988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Terrorist acts</w:t>
            </w:r>
          </w:p>
        </w:tc>
        <w:tc>
          <w:tcPr>
            <w:tcW w:w="0" w:type="auto"/>
            <w:vAlign w:val="center"/>
            <w:hideMark/>
          </w:tcPr>
          <w:p w14:paraId="5F05D34D"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Act</w:t>
            </w:r>
          </w:p>
        </w:tc>
        <w:tc>
          <w:tcPr>
            <w:tcW w:w="0" w:type="auto"/>
            <w:vAlign w:val="center"/>
            <w:hideMark/>
          </w:tcPr>
          <w:p w14:paraId="7D8823C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9/11 (Sep 2001)</w:t>
            </w:r>
          </w:p>
        </w:tc>
      </w:tr>
    </w:tbl>
    <w:p w14:paraId="686857DA"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Note — this is where my earlier mix-up came from.</w:t>
      </w:r>
      <w:r w:rsidRPr="00CA7430">
        <w:rPr>
          <w:rFonts w:ascii="Times New Roman" w:eastAsia="Times New Roman" w:hAnsi="Times New Roman" w:cs="Times New Roman"/>
          <w:kern w:val="0"/>
          <w:lang w:eastAsia="en-GB"/>
          <w14:ligatures w14:val="none"/>
        </w:rPr>
        <w:t xml:space="preserve"> These 8 </w:t>
      </w:r>
      <w:r w:rsidRPr="00CA7430">
        <w:rPr>
          <w:rFonts w:ascii="Times New Roman" w:eastAsia="Times New Roman" w:hAnsi="Times New Roman" w:cs="Times New Roman"/>
          <w:i/>
          <w:iCs/>
          <w:kern w:val="0"/>
          <w:lang w:eastAsia="en-GB"/>
          <w14:ligatures w14:val="none"/>
        </w:rPr>
        <w:t>keyword categories</w:t>
      </w:r>
      <w:r w:rsidRPr="00CA7430">
        <w:rPr>
          <w:rFonts w:ascii="Times New Roman" w:eastAsia="Times New Roman" w:hAnsi="Times New Roman" w:cs="Times New Roman"/>
          <w:kern w:val="0"/>
          <w:lang w:eastAsia="en-GB"/>
          <w14:ligatures w14:val="none"/>
        </w:rPr>
        <w:t xml:space="preserve"> (war threats, peace threats, etc.) belong to this 2022 paper. The 8 </w:t>
      </w:r>
      <w:r w:rsidRPr="00CA7430">
        <w:rPr>
          <w:rFonts w:ascii="Times New Roman" w:eastAsia="Times New Roman" w:hAnsi="Times New Roman" w:cs="Times New Roman"/>
          <w:i/>
          <w:iCs/>
          <w:kern w:val="0"/>
          <w:lang w:eastAsia="en-GB"/>
          <w14:ligatures w14:val="none"/>
        </w:rPr>
        <w:t>event types</w:t>
      </w:r>
      <w:r w:rsidRPr="00CA7430">
        <w:rPr>
          <w:rFonts w:ascii="Times New Roman" w:eastAsia="Times New Roman" w:hAnsi="Times New Roman" w:cs="Times New Roman"/>
          <w:kern w:val="0"/>
          <w:lang w:eastAsia="en-GB"/>
          <w14:ligatures w14:val="none"/>
        </w:rPr>
        <w:t xml:space="preserve"> in the AI-GPR country prompt (military conflict, sanctions, terrorism…) are different. Keep them apart in my write-up.</w:t>
      </w:r>
    </w:p>
    <w:p w14:paraId="05FF252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How the search works:</w:t>
      </w:r>
      <w:r w:rsidRPr="00CA7430">
        <w:rPr>
          <w:rFonts w:ascii="Times New Roman" w:eastAsia="Times New Roman" w:hAnsi="Times New Roman" w:cs="Times New Roman"/>
          <w:kern w:val="0"/>
          <w:lang w:eastAsia="en-GB"/>
          <w14:ligatures w14:val="none"/>
        </w:rPr>
        <w:t xml:space="preserve"> </w:t>
      </w:r>
      <w:proofErr w:type="gramStart"/>
      <w:r w:rsidRPr="00CA7430">
        <w:rPr>
          <w:rFonts w:ascii="Times New Roman" w:eastAsia="Times New Roman" w:hAnsi="Times New Roman" w:cs="Times New Roman"/>
          <w:kern w:val="0"/>
          <w:lang w:eastAsia="en-GB"/>
          <w14:ligatures w14:val="none"/>
        </w:rPr>
        <w:t>two word</w:t>
      </w:r>
      <w:proofErr w:type="gramEnd"/>
      <w:r w:rsidRPr="00CA7430">
        <w:rPr>
          <w:rFonts w:ascii="Times New Roman" w:eastAsia="Times New Roman" w:hAnsi="Times New Roman" w:cs="Times New Roman"/>
          <w:kern w:val="0"/>
          <w:lang w:eastAsia="en-GB"/>
          <w14:ligatures w14:val="none"/>
        </w:rPr>
        <w:t xml:space="preserve"> sets must appear together, usually within two words of each other (e.g. "war" near "threat"). Core words first, then extra words added from history. Nuclear uses bigrams ("nuclear weapon") so civilian nuclear power doesn't slip in.</w:t>
      </w:r>
    </w:p>
    <w:p w14:paraId="28404226"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What to copy for my keyword filter / keyword-only baseline:</w:t>
      </w:r>
    </w:p>
    <w:p w14:paraId="44367981" w14:textId="77777777" w:rsidR="00CA7430" w:rsidRPr="00CA7430" w:rsidRDefault="00CA7430" w:rsidP="00CA74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7430">
        <w:rPr>
          <w:rFonts w:ascii="Times New Roman" w:eastAsia="Times New Roman" w:hAnsi="Times New Roman" w:cs="Times New Roman"/>
          <w:b/>
          <w:bCs/>
          <w:kern w:val="0"/>
          <w:lang w:eastAsia="en-GB"/>
          <w14:ligatures w14:val="none"/>
        </w:rPr>
        <w:t>Buildup_words</w:t>
      </w:r>
      <w:proofErr w:type="spellEnd"/>
      <w:r w:rsidRPr="00CA7430">
        <w:rPr>
          <w:rFonts w:ascii="Times New Roman" w:eastAsia="Times New Roman" w:hAnsi="Times New Roman" w:cs="Times New Roman"/>
          <w:b/>
          <w:bCs/>
          <w:kern w:val="0"/>
          <w:lang w:eastAsia="en-GB"/>
          <w14:ligatures w14:val="none"/>
        </w:rPr>
        <w:t>:</w:t>
      </w:r>
      <w:r w:rsidRPr="00CA7430">
        <w:rPr>
          <w:rFonts w:ascii="Times New Roman" w:eastAsia="Times New Roman" w:hAnsi="Times New Roman" w:cs="Times New Roman"/>
          <w:kern w:val="0"/>
          <w:lang w:eastAsia="en-GB"/>
          <w14:ligatures w14:val="none"/>
        </w:rPr>
        <w:t xml:space="preserve"> sanction*, </w:t>
      </w:r>
      <w:proofErr w:type="spellStart"/>
      <w:r w:rsidRPr="00CA7430">
        <w:rPr>
          <w:rFonts w:ascii="Times New Roman" w:eastAsia="Times New Roman" w:hAnsi="Times New Roman" w:cs="Times New Roman"/>
          <w:kern w:val="0"/>
          <w:lang w:eastAsia="en-GB"/>
          <w14:ligatures w14:val="none"/>
        </w:rPr>
        <w:t>blockad</w:t>
      </w:r>
      <w:proofErr w:type="spellEnd"/>
      <w:r w:rsidRPr="00CA7430">
        <w:rPr>
          <w:rFonts w:ascii="Times New Roman" w:eastAsia="Times New Roman" w:hAnsi="Times New Roman" w:cs="Times New Roman"/>
          <w:kern w:val="0"/>
          <w:lang w:eastAsia="en-GB"/>
          <w14:ligatures w14:val="none"/>
        </w:rPr>
        <w:t xml:space="preserve">*, embargo, quarantine, ultimatum, </w:t>
      </w:r>
      <w:proofErr w:type="spellStart"/>
      <w:r w:rsidRPr="00CA7430">
        <w:rPr>
          <w:rFonts w:ascii="Times New Roman" w:eastAsia="Times New Roman" w:hAnsi="Times New Roman" w:cs="Times New Roman"/>
          <w:kern w:val="0"/>
          <w:lang w:eastAsia="en-GB"/>
          <w14:ligatures w14:val="none"/>
        </w:rPr>
        <w:t>mobiliz</w:t>
      </w:r>
      <w:proofErr w:type="spellEnd"/>
      <w:r w:rsidRPr="00CA7430">
        <w:rPr>
          <w:rFonts w:ascii="Times New Roman" w:eastAsia="Times New Roman" w:hAnsi="Times New Roman" w:cs="Times New Roman"/>
          <w:kern w:val="0"/>
          <w:lang w:eastAsia="en-GB"/>
          <w14:ligatures w14:val="none"/>
        </w:rPr>
        <w:t>* — directly relevant to my export-sanctions and chokepoint-blockage categories</w:t>
      </w:r>
    </w:p>
    <w:p w14:paraId="78E03190" w14:textId="77777777" w:rsidR="00CA7430" w:rsidRPr="00CA7430" w:rsidRDefault="00CA7430" w:rsidP="00CA74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CA7430">
        <w:rPr>
          <w:rFonts w:ascii="Times New Roman" w:eastAsia="Times New Roman" w:hAnsi="Times New Roman" w:cs="Times New Roman"/>
          <w:b/>
          <w:bCs/>
          <w:kern w:val="0"/>
          <w:lang w:eastAsia="en-GB"/>
          <w14:ligatures w14:val="none"/>
        </w:rPr>
        <w:t>Actor_fight_words</w:t>
      </w:r>
      <w:proofErr w:type="spellEnd"/>
      <w:r w:rsidRPr="00CA7430">
        <w:rPr>
          <w:rFonts w:ascii="Times New Roman" w:eastAsia="Times New Roman" w:hAnsi="Times New Roman" w:cs="Times New Roman"/>
          <w:b/>
          <w:bCs/>
          <w:kern w:val="0"/>
          <w:lang w:eastAsia="en-GB"/>
          <w14:ligatures w14:val="none"/>
        </w:rPr>
        <w:t>:</w:t>
      </w:r>
      <w:r w:rsidRPr="00CA7430">
        <w:rPr>
          <w:rFonts w:ascii="Times New Roman" w:eastAsia="Times New Roman" w:hAnsi="Times New Roman" w:cs="Times New Roman"/>
          <w:kern w:val="0"/>
          <w:lang w:eastAsia="en-GB"/>
          <w14:ligatures w14:val="none"/>
        </w:rPr>
        <w:t xml:space="preserve"> attack*, strike*, raid*, invasion, shell*, offensive — relevant to infrastructure attacks</w:t>
      </w:r>
    </w:p>
    <w:p w14:paraId="4BDA4A23" w14:textId="77777777" w:rsidR="00CA7430" w:rsidRPr="00CA7430" w:rsidRDefault="00CA7430" w:rsidP="00CA74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Proximity search</w:t>
      </w:r>
      <w:r w:rsidRPr="00CA7430">
        <w:rPr>
          <w:rFonts w:ascii="Times New Roman" w:eastAsia="Times New Roman" w:hAnsi="Times New Roman" w:cs="Times New Roman"/>
          <w:kern w:val="0"/>
          <w:lang w:eastAsia="en-GB"/>
          <w14:ligatures w14:val="none"/>
        </w:rPr>
        <w:t xml:space="preserve"> (word A within N words of word B) beats plain AND — they tested this. Use it for the keyword-only baseline I promised after AI-GPR footnote 22.</w:t>
      </w:r>
    </w:p>
    <w:p w14:paraId="105AFF0E" w14:textId="77777777" w:rsidR="00CA7430" w:rsidRPr="00CA7430" w:rsidRDefault="00CA7430" w:rsidP="00CA743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Excluded words:</w:t>
      </w:r>
      <w:r w:rsidRPr="00CA7430">
        <w:rPr>
          <w:rFonts w:ascii="Times New Roman" w:eastAsia="Times New Roman" w:hAnsi="Times New Roman" w:cs="Times New Roman"/>
          <w:kern w:val="0"/>
          <w:lang w:eastAsia="en-GB"/>
          <w14:ligatures w14:val="none"/>
        </w:rPr>
        <w:t xml:space="preserve"> movie, film, anniversary, obituary, book, history, sport… and </w:t>
      </w:r>
      <w:r w:rsidRPr="00CA7430">
        <w:rPr>
          <w:rFonts w:ascii="Times New Roman" w:eastAsia="Times New Roman" w:hAnsi="Times New Roman" w:cs="Times New Roman"/>
          <w:b/>
          <w:bCs/>
          <w:kern w:val="0"/>
          <w:lang w:eastAsia="en-GB"/>
          <w14:ligatures w14:val="none"/>
        </w:rPr>
        <w:t>"price war"</w:t>
      </w:r>
      <w:r w:rsidRPr="00CA7430">
        <w:rPr>
          <w:rFonts w:ascii="Times New Roman" w:eastAsia="Times New Roman" w:hAnsi="Times New Roman" w:cs="Times New Roman"/>
          <w:kern w:val="0"/>
          <w:lang w:eastAsia="en-GB"/>
          <w14:ligatures w14:val="none"/>
        </w:rPr>
        <w:t>. That last one matters for oil: the 2020 Saudi–Russia price war would otherwise be scored as geopolitical. My LLM prompt should say explicitly that market price wars are not supply disruptions.</w:t>
      </w:r>
    </w:p>
    <w:p w14:paraId="0DF76380"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"Exclusive reliance on these core words, while resulting in an index that shares a similar contour to our final index, would lead to searches that fail to capture several articles that discuss geopolitical events and risks." (Section I.B) — cite on why a broad keyword list matters for the filter stage.</w:t>
      </w:r>
    </w:p>
    <w:p w14:paraId="66B0EDC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My difference:</w:t>
      </w:r>
      <w:r w:rsidRPr="00CA7430">
        <w:rPr>
          <w:rFonts w:ascii="Times New Roman" w:eastAsia="Times New Roman" w:hAnsi="Times New Roman" w:cs="Times New Roman"/>
          <w:kern w:val="0"/>
          <w:lang w:eastAsia="en-GB"/>
          <w14:ligatures w14:val="none"/>
        </w:rPr>
        <w:t xml:space="preserve"> their output is a yes/no count per article. Mine is a 0–1 LLM score per producer and per chokepoint, oil-specific. I only use keywords as a </w:t>
      </w:r>
      <w:r w:rsidRPr="00CA7430">
        <w:rPr>
          <w:rFonts w:ascii="Times New Roman" w:eastAsia="Times New Roman" w:hAnsi="Times New Roman" w:cs="Times New Roman"/>
          <w:b/>
          <w:bCs/>
          <w:kern w:val="0"/>
          <w:lang w:eastAsia="en-GB"/>
          <w14:ligatures w14:val="none"/>
        </w:rPr>
        <w:t>pre-filter</w:t>
      </w:r>
      <w:r w:rsidRPr="00CA7430">
        <w:rPr>
          <w:rFonts w:ascii="Times New Roman" w:eastAsia="Times New Roman" w:hAnsi="Times New Roman" w:cs="Times New Roman"/>
          <w:kern w:val="0"/>
          <w:lang w:eastAsia="en-GB"/>
          <w14:ligatures w14:val="none"/>
        </w:rPr>
        <w:t xml:space="preserve"> and as a </w:t>
      </w:r>
      <w:r w:rsidRPr="00CA7430">
        <w:rPr>
          <w:rFonts w:ascii="Times New Roman" w:eastAsia="Times New Roman" w:hAnsi="Times New Roman" w:cs="Times New Roman"/>
          <w:b/>
          <w:bCs/>
          <w:kern w:val="0"/>
          <w:lang w:eastAsia="en-GB"/>
          <w14:ligatures w14:val="none"/>
        </w:rPr>
        <w:t>baseline</w:t>
      </w:r>
      <w:r w:rsidRPr="00CA7430">
        <w:rPr>
          <w:rFonts w:ascii="Times New Roman" w:eastAsia="Times New Roman" w:hAnsi="Times New Roman" w:cs="Times New Roman"/>
          <w:kern w:val="0"/>
          <w:lang w:eastAsia="en-GB"/>
          <w14:ligatures w14:val="none"/>
        </w:rPr>
        <w:t>, not as the measure.</w:t>
      </w:r>
    </w:p>
    <w:p w14:paraId="2C9FDC8B"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lastRenderedPageBreak/>
        <w:t>Section I.C–</w:t>
      </w:r>
      <w:proofErr w:type="gramStart"/>
      <w:r w:rsidRPr="00CA7430">
        <w:rPr>
          <w:rFonts w:ascii="Times New Roman" w:eastAsia="Times New Roman" w:hAnsi="Times New Roman" w:cs="Times New Roman"/>
          <w:b/>
          <w:bCs/>
          <w:kern w:val="0"/>
          <w:sz w:val="36"/>
          <w:szCs w:val="36"/>
          <w:lang w:eastAsia="en-GB"/>
          <w14:ligatures w14:val="none"/>
        </w:rPr>
        <w:t>I.E</w:t>
      </w:r>
      <w:proofErr w:type="gramEnd"/>
      <w:r w:rsidRPr="00CA7430">
        <w:rPr>
          <w:rFonts w:ascii="Times New Roman" w:eastAsia="Times New Roman" w:hAnsi="Times New Roman" w:cs="Times New Roman"/>
          <w:b/>
          <w:bCs/>
          <w:kern w:val="0"/>
          <w:sz w:val="36"/>
          <w:szCs w:val="36"/>
          <w:lang w:eastAsia="en-GB"/>
          <w14:ligatures w14:val="none"/>
        </w:rPr>
        <w:t xml:space="preserve"> — Recent, Daily and Historical Index; Threats vs Acts</w:t>
      </w:r>
    </w:p>
    <w:p w14:paraId="0BDC78C5"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I.C Recent index (1985–2020), Figure 1.</w:t>
      </w:r>
      <w:r w:rsidRPr="00CA7430">
        <w:rPr>
          <w:rFonts w:ascii="Times New Roman" w:eastAsia="Times New Roman" w:hAnsi="Times New Roman" w:cs="Times New Roman"/>
          <w:kern w:val="0"/>
          <w:lang w:eastAsia="en-GB"/>
          <w14:ligatures w14:val="none"/>
        </w:rPr>
        <w:t xml:space="preserve"> Biggest spikes: Gulf War, 9/11, 2003 Iraq invasion. Others: 1986 US bombing of Libya, 2014 Crimea, 2015 Paris attacks. There's a </w:t>
      </w:r>
      <w:r w:rsidRPr="00CA7430">
        <w:rPr>
          <w:rFonts w:ascii="Times New Roman" w:eastAsia="Times New Roman" w:hAnsi="Times New Roman" w:cs="Times New Roman"/>
          <w:b/>
          <w:bCs/>
          <w:kern w:val="0"/>
          <w:lang w:eastAsia="en-GB"/>
          <w14:ligatures w14:val="none"/>
        </w:rPr>
        <w:t>structural break after 9/11</w:t>
      </w:r>
      <w:r w:rsidRPr="00CA7430">
        <w:rPr>
          <w:rFonts w:ascii="Times New Roman" w:eastAsia="Times New Roman" w:hAnsi="Times New Roman" w:cs="Times New Roman"/>
          <w:kern w:val="0"/>
          <w:lang w:eastAsia="en-GB"/>
          <w14:ligatures w14:val="none"/>
        </w:rPr>
        <w:t xml:space="preserve"> (footnote 8) — news coverage of terrorism permanently raised the level.</w:t>
      </w:r>
    </w:p>
    <w:p w14:paraId="2411E0D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Relevance to me:</w:t>
      </w:r>
      <w:r w:rsidRPr="00CA7430">
        <w:rPr>
          <w:rFonts w:ascii="Times New Roman" w:eastAsia="Times New Roman" w:hAnsi="Times New Roman" w:cs="Times New Roman"/>
          <w:kern w:val="0"/>
          <w:lang w:eastAsia="en-GB"/>
          <w14:ligatures w14:val="none"/>
        </w:rPr>
        <w:t xml:space="preserve"> many of the big spikes are oil-producer events (Libya 1986, Iraq–Kuwait 1990, Iraq 2003, Libya 2011). Good evidence that geopolitical news clusters around oil producers, which motivates scoring them one by one.</w:t>
      </w:r>
    </w:p>
    <w:p w14:paraId="5CEBE96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The structural break matters for my ML features.</w:t>
      </w:r>
      <w:r w:rsidRPr="00CA7430">
        <w:rPr>
          <w:rFonts w:ascii="Times New Roman" w:eastAsia="Times New Roman" w:hAnsi="Times New Roman" w:cs="Times New Roman"/>
          <w:kern w:val="0"/>
          <w:lang w:eastAsia="en-GB"/>
          <w14:ligatures w14:val="none"/>
        </w:rPr>
        <w:t xml:space="preserve"> If a feature's level shifts permanently, a tree model trained on old data can learn the wrong thresholds. Use changes or rolling z-scores, not raw levels, and mention this as a reason.</w:t>
      </w:r>
    </w:p>
    <w:p w14:paraId="61651470"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Footnote 8: "Higher news coverage of geopolitical risks after 9/11 may indicate either an increase in actual risks of wars and terrorism, or an increase in the public perception of these risks." — cite when discussing non-stationarity of news-based features.</w:t>
      </w:r>
    </w:p>
    <w:p w14:paraId="7DCE039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Daily index, Figure 2.</w:t>
      </w:r>
      <w:r w:rsidRPr="00CA7430">
        <w:rPr>
          <w:rFonts w:ascii="Times New Roman" w:eastAsia="Times New Roman" w:hAnsi="Times New Roman" w:cs="Times New Roman"/>
          <w:kern w:val="0"/>
          <w:lang w:eastAsia="en-GB"/>
          <w14:ligatures w14:val="none"/>
        </w:rPr>
        <w:t xml:space="preserve"> Noisier than monthly but catches short events the monthly index misses (Soviet coup Aug 1991, Kosovo air war Mar 1999). They describe </w:t>
      </w:r>
      <w:r w:rsidRPr="00CA7430">
        <w:rPr>
          <w:rFonts w:ascii="Times New Roman" w:eastAsia="Times New Roman" w:hAnsi="Times New Roman" w:cs="Times New Roman"/>
          <w:b/>
          <w:bCs/>
          <w:kern w:val="0"/>
          <w:lang w:eastAsia="en-GB"/>
          <w14:ligatures w14:val="none"/>
        </w:rPr>
        <w:t>three patterns</w:t>
      </w:r>
      <w:r w:rsidRPr="00CA7430">
        <w:rPr>
          <w:rFonts w:ascii="Times New Roman" w:eastAsia="Times New Roman" w:hAnsi="Times New Roman" w:cs="Times New Roman"/>
          <w:kern w:val="0"/>
          <w:lang w:eastAsia="en-GB"/>
          <w14:ligatures w14:val="none"/>
        </w:rPr>
        <w:t xml:space="preserve"> of how tension builds:</w:t>
      </w:r>
    </w:p>
    <w:p w14:paraId="636CE889" w14:textId="77777777" w:rsidR="00CA7430" w:rsidRPr="00CA7430" w:rsidRDefault="00CA7430" w:rsidP="00CA743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Slow buildup → one defining event (Gulf War)</w:t>
      </w:r>
    </w:p>
    <w:p w14:paraId="6421B572" w14:textId="77777777" w:rsidR="00CA7430" w:rsidRPr="00CA7430" w:rsidRDefault="00CA7430" w:rsidP="00CA743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One big event → persistently high afterwards (9/11)</w:t>
      </w:r>
    </w:p>
    <w:p w14:paraId="7C3AC2E8" w14:textId="77777777" w:rsidR="00CA7430" w:rsidRPr="00CA7430" w:rsidRDefault="00CA7430" w:rsidP="00CA743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Slow-moving tension that stays in the news (Syria, North Korea 2017–18)</w:t>
      </w:r>
    </w:p>
    <w:p w14:paraId="75543F14"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Relevance to me:</w:t>
      </w:r>
      <w:r w:rsidRPr="00CA7430">
        <w:rPr>
          <w:rFonts w:ascii="Times New Roman" w:eastAsia="Times New Roman" w:hAnsi="Times New Roman" w:cs="Times New Roman"/>
          <w:kern w:val="0"/>
          <w:lang w:eastAsia="en-GB"/>
          <w14:ligatures w14:val="none"/>
        </w:rPr>
        <w:t xml:space="preserve"> this is a good argument for my </w:t>
      </w:r>
      <w:r w:rsidRPr="00CA7430">
        <w:rPr>
          <w:rFonts w:ascii="Times New Roman" w:eastAsia="Times New Roman" w:hAnsi="Times New Roman" w:cs="Times New Roman"/>
          <w:b/>
          <w:bCs/>
          <w:kern w:val="0"/>
          <w:lang w:eastAsia="en-GB"/>
          <w14:ligatures w14:val="none"/>
        </w:rPr>
        <w:t>weekly</w:t>
      </w:r>
      <w:r w:rsidRPr="00CA7430">
        <w:rPr>
          <w:rFonts w:ascii="Times New Roman" w:eastAsia="Times New Roman" w:hAnsi="Times New Roman" w:cs="Times New Roman"/>
          <w:kern w:val="0"/>
          <w:lang w:eastAsia="en-GB"/>
          <w14:ligatures w14:val="none"/>
        </w:rPr>
        <w:t xml:space="preserve"> frequency — it sits between noisy daily and slow monthly. And the three patterns justify using both level and lagged/rolling features.</w:t>
      </w:r>
    </w:p>
    <w:p w14:paraId="3C04EBC2"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daily index is noisier than its monthly counterpart but provides a detailed view of a larger set of episodes, including those that may seem to be missed by the monthly index." (Section I.C) — cite to justify higher-than-monthly frequency.</w:t>
      </w:r>
    </w:p>
    <w:p w14:paraId="23D5574E"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"It is possible that our index may not appropriately measure episodes that slowly unfold over multiple years... and are recognized as geopolitical risks only with the benefit of hindsight." (Section I.C) — cite as a limitation of all news-based measures, mine included.</w:t>
      </w:r>
    </w:p>
    <w:p w14:paraId="4A831F6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I.D Historical index (1900–), Figure 3.</w:t>
      </w:r>
      <w:r w:rsidRPr="00CA7430">
        <w:rPr>
          <w:rFonts w:ascii="Times New Roman" w:eastAsia="Times New Roman" w:hAnsi="Times New Roman" w:cs="Times New Roman"/>
          <w:kern w:val="0"/>
          <w:lang w:eastAsia="en-GB"/>
          <w14:ligatures w14:val="none"/>
        </w:rPr>
        <w:t xml:space="preserve"> Correlation 0.95 with the recent index where they overlap. Highest during the two world wars. The </w:t>
      </w:r>
      <w:r w:rsidRPr="00CA7430">
        <w:rPr>
          <w:rFonts w:ascii="Times New Roman" w:eastAsia="Times New Roman" w:hAnsi="Times New Roman" w:cs="Times New Roman"/>
          <w:b/>
          <w:bCs/>
          <w:kern w:val="0"/>
          <w:lang w:eastAsia="en-GB"/>
          <w14:ligatures w14:val="none"/>
        </w:rPr>
        <w:t>Suez Crisis</w:t>
      </w:r>
      <w:r w:rsidRPr="00CA7430">
        <w:rPr>
          <w:rFonts w:ascii="Times New Roman" w:eastAsia="Times New Roman" w:hAnsi="Times New Roman" w:cs="Times New Roman"/>
          <w:kern w:val="0"/>
          <w:lang w:eastAsia="en-GB"/>
          <w14:ligatures w14:val="none"/>
        </w:rPr>
        <w:t xml:space="preserve"> shows up as a spike — a chokepoint event already visible in the general index.</w:t>
      </w:r>
    </w:p>
    <w:p w14:paraId="2358AAF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I.E Threats (GPT) vs Acts (GPA), Figure 4.</w:t>
      </w:r>
      <w:r w:rsidRPr="00CA7430">
        <w:rPr>
          <w:rFonts w:ascii="Times New Roman" w:eastAsia="Times New Roman" w:hAnsi="Times New Roman" w:cs="Times New Roman"/>
          <w:kern w:val="0"/>
          <w:lang w:eastAsia="en-GB"/>
          <w14:ligatures w14:val="none"/>
        </w:rPr>
        <w:t xml:space="preserve"> Threats index = categories 1–5; acts index = categories 6–8. Correlation only </w:t>
      </w:r>
      <w:r w:rsidRPr="00CA7430">
        <w:rPr>
          <w:rFonts w:ascii="Times New Roman" w:eastAsia="Times New Roman" w:hAnsi="Times New Roman" w:cs="Times New Roman"/>
          <w:b/>
          <w:bCs/>
          <w:kern w:val="0"/>
          <w:lang w:eastAsia="en-GB"/>
          <w14:ligatures w14:val="none"/>
        </w:rPr>
        <w:t>0.59</w:t>
      </w:r>
      <w:r w:rsidRPr="00CA7430">
        <w:rPr>
          <w:rFonts w:ascii="Times New Roman" w:eastAsia="Times New Roman" w:hAnsi="Times New Roman" w:cs="Times New Roman"/>
          <w:kern w:val="0"/>
          <w:lang w:eastAsia="en-GB"/>
          <w14:ligatures w14:val="none"/>
        </w:rPr>
        <w:t xml:space="preserve"> (0.45 since 1985), so they carry different information. </w:t>
      </w:r>
      <w:r w:rsidRPr="00CA7430">
        <w:rPr>
          <w:rFonts w:ascii="Times New Roman" w:eastAsia="Times New Roman" w:hAnsi="Times New Roman" w:cs="Times New Roman"/>
          <w:kern w:val="0"/>
          <w:lang w:eastAsia="en-GB"/>
          <w14:ligatures w14:val="none"/>
        </w:rPr>
        <w:lastRenderedPageBreak/>
        <w:t>Examples: Cuban Missile Crisis = all threat, no act. WWI start = all act, no warning. Gulf War: threats rose first (1990), acts at the war (1991).</w:t>
      </w:r>
    </w:p>
    <w:p w14:paraId="1BA41CA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 xml:space="preserve">Relevance to </w:t>
      </w:r>
      <w:proofErr w:type="gramStart"/>
      <w:r w:rsidRPr="00CA7430">
        <w:rPr>
          <w:rFonts w:ascii="Times New Roman" w:eastAsia="Times New Roman" w:hAnsi="Times New Roman" w:cs="Times New Roman"/>
          <w:b/>
          <w:bCs/>
          <w:kern w:val="0"/>
          <w:lang w:eastAsia="en-GB"/>
          <w14:ligatures w14:val="none"/>
        </w:rPr>
        <w:t>me:</w:t>
      </w:r>
      <w:proofErr w:type="gramEnd"/>
      <w:r w:rsidRPr="00CA7430">
        <w:rPr>
          <w:rFonts w:ascii="Times New Roman" w:eastAsia="Times New Roman" w:hAnsi="Times New Roman" w:cs="Times New Roman"/>
          <w:kern w:val="0"/>
          <w:lang w:eastAsia="en-GB"/>
          <w14:ligatures w14:val="none"/>
        </w:rPr>
        <w:t xml:space="preserve"> confirms the threat/act flag idea from AI-GPR. For oil, a threat to close Hormuz and an actual tanker attack probably move Brent differently.</w:t>
      </w:r>
    </w:p>
    <w:p w14:paraId="01EAFDDF"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GPT and GPA indices have a correlation of 0.59 over the full sample, and of 0.45 from 1985 onward. Even if some spikes in the two indices coincide, there is also independent variation." (Section I.E) — cite to justify separate threat and act features.</w:t>
      </w:r>
    </w:p>
    <w:p w14:paraId="2F19FC06"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My difference:</w:t>
      </w:r>
      <w:r w:rsidRPr="00CA7430">
        <w:rPr>
          <w:rFonts w:ascii="Times New Roman" w:eastAsia="Times New Roman" w:hAnsi="Times New Roman" w:cs="Times New Roman"/>
          <w:kern w:val="0"/>
          <w:lang w:eastAsia="en-GB"/>
          <w14:ligatures w14:val="none"/>
        </w:rPr>
        <w:t xml:space="preserve"> their threat/act split is by keyword category. Mine would be an LLM label on oil-supply articles only.</w:t>
      </w:r>
    </w:p>
    <w:p w14:paraId="12E64BE0"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t>Section II — Validation of the Index</w:t>
      </w:r>
    </w:p>
    <w:p w14:paraId="27F984C0"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Three kinds of checks: plausibility, comparison with other data, and audits. This is the section to borrow structure from for my own validation chapter.</w:t>
      </w:r>
    </w:p>
    <w:p w14:paraId="2A66925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II.A Plausibility</w:t>
      </w:r>
    </w:p>
    <w:p w14:paraId="3C07FBBA" w14:textId="77777777" w:rsidR="00CA7430" w:rsidRPr="00CA7430" w:rsidRDefault="00CA7430" w:rsidP="00CA743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Largest shocks (Table 2):</w:t>
      </w:r>
      <w:r w:rsidRPr="00CA7430">
        <w:rPr>
          <w:rFonts w:ascii="Times New Roman" w:eastAsia="Times New Roman" w:hAnsi="Times New Roman" w:cs="Times New Roman"/>
          <w:kern w:val="0"/>
          <w:lang w:eastAsia="en-GB"/>
          <w14:ligatures w14:val="none"/>
        </w:rPr>
        <w:t xml:space="preserve"> shock = residual after regressing the monthly index on its own 3 lags. Top 5: WWI, WWII, Pearl Harbor, 9/11, Korean War. Oil-relevant ones in the top 15: Yom Kippur War (1973), Iraq invades Kuwait (1990), Gulf War (1991), Iraq War (2003).</w:t>
      </w:r>
    </w:p>
    <w:p w14:paraId="1950E14B" w14:textId="77777777" w:rsidR="00CA7430" w:rsidRPr="00CA7430" w:rsidRDefault="00CA7430" w:rsidP="00CA743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Narrative index (Figure 5):</w:t>
      </w:r>
      <w:r w:rsidRPr="00CA7430">
        <w:rPr>
          <w:rFonts w:ascii="Times New Roman" w:eastAsia="Times New Roman" w:hAnsi="Times New Roman" w:cs="Times New Roman"/>
          <w:kern w:val="0"/>
          <w:lang w:eastAsia="en-GB"/>
          <w14:ligatures w14:val="none"/>
        </w:rPr>
        <w:t xml:space="preserve"> they hand-scored </w:t>
      </w:r>
      <w:r w:rsidRPr="00CA7430">
        <w:rPr>
          <w:rFonts w:ascii="Times New Roman" w:eastAsia="Times New Roman" w:hAnsi="Times New Roman" w:cs="Times New Roman"/>
          <w:b/>
          <w:bCs/>
          <w:kern w:val="0"/>
          <w:lang w:eastAsia="en-GB"/>
          <w14:ligatures w14:val="none"/>
        </w:rPr>
        <w:t>44,000 NYT front pages</w:t>
      </w:r>
      <w:r w:rsidRPr="00CA7430">
        <w:rPr>
          <w:rFonts w:ascii="Times New Roman" w:eastAsia="Times New Roman" w:hAnsi="Times New Roman" w:cs="Times New Roman"/>
          <w:kern w:val="0"/>
          <w:lang w:eastAsia="en-GB"/>
          <w14:ligatures w14:val="none"/>
        </w:rPr>
        <w:t xml:space="preserve"> (1900–2019) on a 0/1/2/5 scale by headline size. Correlation with the automated index </w:t>
      </w:r>
      <w:r w:rsidRPr="00CA7430">
        <w:rPr>
          <w:rFonts w:ascii="Times New Roman" w:eastAsia="Times New Roman" w:hAnsi="Times New Roman" w:cs="Times New Roman"/>
          <w:b/>
          <w:bCs/>
          <w:kern w:val="0"/>
          <w:lang w:eastAsia="en-GB"/>
          <w14:ligatures w14:val="none"/>
        </w:rPr>
        <w:t>0.86</w:t>
      </w:r>
      <w:r w:rsidRPr="00CA7430">
        <w:rPr>
          <w:rFonts w:ascii="Times New Roman" w:eastAsia="Times New Roman" w:hAnsi="Times New Roman" w:cs="Times New Roman"/>
          <w:kern w:val="0"/>
          <w:lang w:eastAsia="en-GB"/>
          <w14:ligatures w14:val="none"/>
        </w:rPr>
        <w:t>.</w:t>
      </w:r>
    </w:p>
    <w:p w14:paraId="4EDFC21A" w14:textId="77777777" w:rsidR="00CA7430" w:rsidRPr="00CA7430" w:rsidRDefault="00CA7430" w:rsidP="00CA743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Country-specific GPR (Figure 6):</w:t>
      </w:r>
      <w:r w:rsidRPr="00CA7430">
        <w:rPr>
          <w:rFonts w:ascii="Times New Roman" w:eastAsia="Times New Roman" w:hAnsi="Times New Roman" w:cs="Times New Roman"/>
          <w:kern w:val="0"/>
          <w:lang w:eastAsia="en-GB"/>
          <w14:ligatures w14:val="none"/>
        </w:rPr>
        <w:t xml:space="preserve"> share of GPR articles that also mention the country or its capital (e.g. "Japan" or "Tokyo"). Captured from a </w:t>
      </w:r>
      <w:r w:rsidRPr="00CA7430">
        <w:rPr>
          <w:rFonts w:ascii="Times New Roman" w:eastAsia="Times New Roman" w:hAnsi="Times New Roman" w:cs="Times New Roman"/>
          <w:b/>
          <w:bCs/>
          <w:kern w:val="0"/>
          <w:lang w:eastAsia="en-GB"/>
          <w14:ligatures w14:val="none"/>
        </w:rPr>
        <w:t>US perspective</w:t>
      </w:r>
      <w:r w:rsidRPr="00CA7430">
        <w:rPr>
          <w:rFonts w:ascii="Times New Roman" w:eastAsia="Times New Roman" w:hAnsi="Times New Roman" w:cs="Times New Roman"/>
          <w:kern w:val="0"/>
          <w:lang w:eastAsia="en-GB"/>
          <w14:ligatures w14:val="none"/>
        </w:rPr>
        <w:t>.</w:t>
      </w:r>
    </w:p>
    <w:p w14:paraId="792640B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Copy for my project:</w:t>
      </w:r>
    </w:p>
    <w:p w14:paraId="4B8D0A63" w14:textId="77777777" w:rsidR="00CA7430" w:rsidRPr="00CA7430" w:rsidRDefault="00CA7430" w:rsidP="00CA74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The "shock = residual on own lags" idea is the same as the AI-GPR </w:t>
      </w:r>
      <w:proofErr w:type="gramStart"/>
      <w:r w:rsidRPr="00CA7430">
        <w:rPr>
          <w:rFonts w:ascii="Times New Roman" w:eastAsia="Times New Roman" w:hAnsi="Times New Roman" w:cs="Times New Roman"/>
          <w:kern w:val="0"/>
          <w:lang w:eastAsia="en-GB"/>
          <w14:ligatures w14:val="none"/>
        </w:rPr>
        <w:t>AR(</w:t>
      </w:r>
      <w:proofErr w:type="gramEnd"/>
      <w:r w:rsidRPr="00CA7430">
        <w:rPr>
          <w:rFonts w:ascii="Times New Roman" w:eastAsia="Times New Roman" w:hAnsi="Times New Roman" w:cs="Times New Roman"/>
          <w:kern w:val="0"/>
          <w:lang w:eastAsia="en-GB"/>
          <w14:ligatures w14:val="none"/>
        </w:rPr>
        <w:t xml:space="preserve">4) split. Good way to build a </w:t>
      </w:r>
      <w:r w:rsidRPr="00CA7430">
        <w:rPr>
          <w:rFonts w:ascii="Times New Roman" w:eastAsia="Times New Roman" w:hAnsi="Times New Roman" w:cs="Times New Roman"/>
          <w:b/>
          <w:bCs/>
          <w:kern w:val="0"/>
          <w:lang w:eastAsia="en-GB"/>
          <w14:ligatures w14:val="none"/>
        </w:rPr>
        <w:t>surprise</w:t>
      </w:r>
      <w:r w:rsidRPr="00CA7430">
        <w:rPr>
          <w:rFonts w:ascii="Times New Roman" w:eastAsia="Times New Roman" w:hAnsi="Times New Roman" w:cs="Times New Roman"/>
          <w:kern w:val="0"/>
          <w:lang w:eastAsia="en-GB"/>
          <w14:ligatures w14:val="none"/>
        </w:rPr>
        <w:t xml:space="preserve"> feature from my scores.</w:t>
      </w:r>
    </w:p>
    <w:p w14:paraId="7CD45F70" w14:textId="77777777" w:rsidR="00CA7430" w:rsidRPr="00CA7430" w:rsidRDefault="00CA7430" w:rsidP="00CA74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The country method (GPR article + country name or capital) is a simple way to build my </w:t>
      </w:r>
      <w:r w:rsidRPr="00CA7430">
        <w:rPr>
          <w:rFonts w:ascii="Times New Roman" w:eastAsia="Times New Roman" w:hAnsi="Times New Roman" w:cs="Times New Roman"/>
          <w:b/>
          <w:bCs/>
          <w:kern w:val="0"/>
          <w:lang w:eastAsia="en-GB"/>
          <w14:ligatures w14:val="none"/>
        </w:rPr>
        <w:t>keyword-only baseline per producer</w:t>
      </w:r>
      <w:r w:rsidRPr="00CA7430">
        <w:rPr>
          <w:rFonts w:ascii="Times New Roman" w:eastAsia="Times New Roman" w:hAnsi="Times New Roman" w:cs="Times New Roman"/>
          <w:kern w:val="0"/>
          <w:lang w:eastAsia="en-GB"/>
          <w14:ligatures w14:val="none"/>
        </w:rPr>
        <w:t>: e.g. Iraq = oil keyword + "Iraq" or "Baghdad" or "Basra".</w:t>
      </w:r>
    </w:p>
    <w:p w14:paraId="7A5E45F8" w14:textId="77777777" w:rsidR="00CA7430" w:rsidRPr="00CA7430" w:rsidRDefault="00CA7430" w:rsidP="00CA743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 ranked "largest shocks" table of my own scores would be a quick plausibility check: do the biggest jumps line up with Abqaiq 2019, Libya 2011, Red Sea 2023–24, Hormuz 2026?</w:t>
      </w:r>
    </w:p>
    <w:p w14:paraId="0DAF25B8"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"Jumps in the index must capture the most important geopolitical risks of the past 120 years, in the way these risks were perceived by the contemporaries." (Section II.A) — cite to justify an event-spike plausibility check on my scores.</w:t>
      </w:r>
    </w:p>
    <w:p w14:paraId="1346C99B"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resulting indices, being constructed using three US newspapers, capture the US perspective on risks posed by, or involving, the country in question." (Section II.A) — cite as the limitation GDELT's global coverage addresses.</w:t>
      </w:r>
    </w:p>
    <w:p w14:paraId="1DB0F6E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lastRenderedPageBreak/>
        <w:t>II.B Comparison with other data</w:t>
      </w:r>
    </w:p>
    <w:p w14:paraId="28FCF395" w14:textId="77777777" w:rsidR="00CA7430" w:rsidRPr="00CA7430" w:rsidRDefault="00CA7430" w:rsidP="00CA74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Ramey (2011) military spending news: correlation 0.29</w:t>
      </w:r>
    </w:p>
    <w:p w14:paraId="0B1951AE" w14:textId="77777777" w:rsidR="00CA7430" w:rsidRPr="00CA7430" w:rsidRDefault="00CA7430" w:rsidP="00CA74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War deaths: 0.82 (acts 0.83, threats only 0.46)</w:t>
      </w:r>
    </w:p>
    <w:p w14:paraId="655F3CAD" w14:textId="77777777" w:rsidR="00CA7430" w:rsidRPr="00CA7430" w:rsidRDefault="00CA7430" w:rsidP="00CA74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VIX and EPU: rise together only in the Gulf War and 9/11. GPR doesn't move in financial crises or elections — it captures non-economic events.</w:t>
      </w:r>
    </w:p>
    <w:p w14:paraId="11A7A918" w14:textId="77777777" w:rsidR="00CA7430" w:rsidRPr="00CA7430" w:rsidRDefault="00CA7430" w:rsidP="00CA743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Granger causality (Appendix B.5):</w:t>
      </w:r>
      <w:r w:rsidRPr="00CA7430">
        <w:rPr>
          <w:rFonts w:ascii="Times New Roman" w:eastAsia="Times New Roman" w:hAnsi="Times New Roman" w:cs="Times New Roman"/>
          <w:kern w:val="0"/>
          <w:lang w:eastAsia="en-GB"/>
          <w14:ligatures w14:val="none"/>
        </w:rPr>
        <w:t xml:space="preserve"> US industrial production, employment, </w:t>
      </w:r>
      <w:r w:rsidRPr="00CA7430">
        <w:rPr>
          <w:rFonts w:ascii="Times New Roman" w:eastAsia="Times New Roman" w:hAnsi="Times New Roman" w:cs="Times New Roman"/>
          <w:b/>
          <w:bCs/>
          <w:kern w:val="0"/>
          <w:lang w:eastAsia="en-GB"/>
          <w14:ligatures w14:val="none"/>
        </w:rPr>
        <w:t>real WTI oil price</w:t>
      </w:r>
      <w:r w:rsidRPr="00CA7430">
        <w:rPr>
          <w:rFonts w:ascii="Times New Roman" w:eastAsia="Times New Roman" w:hAnsi="Times New Roman" w:cs="Times New Roman"/>
          <w:kern w:val="0"/>
          <w:lang w:eastAsia="en-GB"/>
          <w14:ligatures w14:val="none"/>
        </w:rPr>
        <w:t xml:space="preserve">, S&amp;P 500, yields, VIX and EPU </w:t>
      </w:r>
      <w:r w:rsidRPr="00CA7430">
        <w:rPr>
          <w:rFonts w:ascii="Times New Roman" w:eastAsia="Times New Roman" w:hAnsi="Times New Roman" w:cs="Times New Roman"/>
          <w:b/>
          <w:bCs/>
          <w:kern w:val="0"/>
          <w:lang w:eastAsia="en-GB"/>
          <w14:ligatures w14:val="none"/>
        </w:rPr>
        <w:t>do not Granger-cause</w:t>
      </w:r>
      <w:r w:rsidRPr="00CA7430">
        <w:rPr>
          <w:rFonts w:ascii="Times New Roman" w:eastAsia="Times New Roman" w:hAnsi="Times New Roman" w:cs="Times New Roman"/>
          <w:kern w:val="0"/>
          <w:lang w:eastAsia="en-GB"/>
          <w14:ligatures w14:val="none"/>
        </w:rPr>
        <w:t xml:space="preserve"> GPR.</w:t>
      </w:r>
    </w:p>
    <w:p w14:paraId="680EB4F0"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Why the Granger result matters to me:</w:t>
      </w:r>
      <w:r w:rsidRPr="00CA7430">
        <w:rPr>
          <w:rFonts w:ascii="Times New Roman" w:eastAsia="Times New Roman" w:hAnsi="Times New Roman" w:cs="Times New Roman"/>
          <w:kern w:val="0"/>
          <w:lang w:eastAsia="en-GB"/>
          <w14:ligatures w14:val="none"/>
        </w:rPr>
        <w:t xml:space="preserve"> oil prices don't drive GPR. So GPR-type features aren't just the oil price echoed back — that's evidence the feature brings outside information. I should run the same test the other way on my own scores: does Brent Granger-cause my oil scores? If it does, the LLM may just be reading price news.</w:t>
      </w:r>
    </w:p>
    <w:p w14:paraId="1740565F"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"Macroeconomic, financial, and uncertainty developments do not Granger cause the GPR index." (Section II.B) — cite to argue geopolitical news is exogenous to oil prices.</w:t>
      </w:r>
    </w:p>
    <w:p w14:paraId="1A3E45AB"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"Compared to the VIX and the EPU index, the GPR index </w:t>
      </w:r>
      <w:proofErr w:type="gramStart"/>
      <w:r w:rsidRPr="00CA7430">
        <w:rPr>
          <w:rFonts w:ascii="Times New Roman" w:eastAsia="Times New Roman" w:hAnsi="Times New Roman" w:cs="Times New Roman"/>
          <w:kern w:val="0"/>
          <w:lang w:eastAsia="en-GB"/>
          <w14:ligatures w14:val="none"/>
        </w:rPr>
        <w:t>appear</w:t>
      </w:r>
      <w:proofErr w:type="gramEnd"/>
      <w:r w:rsidRPr="00CA7430">
        <w:rPr>
          <w:rFonts w:ascii="Times New Roman" w:eastAsia="Times New Roman" w:hAnsi="Times New Roman" w:cs="Times New Roman"/>
          <w:kern w:val="0"/>
          <w:lang w:eastAsia="en-GB"/>
          <w14:ligatures w14:val="none"/>
        </w:rPr>
        <w:t xml:space="preserve"> to capture—because of its own nature—events that (</w:t>
      </w:r>
      <w:proofErr w:type="spellStart"/>
      <w:r w:rsidRPr="00CA7430">
        <w:rPr>
          <w:rFonts w:ascii="Times New Roman" w:eastAsia="Times New Roman" w:hAnsi="Times New Roman" w:cs="Times New Roman"/>
          <w:kern w:val="0"/>
          <w:lang w:eastAsia="en-GB"/>
          <w14:ligatures w14:val="none"/>
        </w:rPr>
        <w:t>i</w:t>
      </w:r>
      <w:proofErr w:type="spellEnd"/>
      <w:r w:rsidRPr="00CA7430">
        <w:rPr>
          <w:rFonts w:ascii="Times New Roman" w:eastAsia="Times New Roman" w:hAnsi="Times New Roman" w:cs="Times New Roman"/>
          <w:kern w:val="0"/>
          <w:lang w:eastAsia="en-GB"/>
          <w14:ligatures w14:val="none"/>
        </w:rPr>
        <w:t>) are less likely to have an economic origin, and (ii) could give rise to heightened financial volatility and policy uncertainty." (Section II.B) — cite to justify GPR as distinct from VIX/EPU features.</w:t>
      </w:r>
    </w:p>
    <w:p w14:paraId="62036BB7"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II.C Additional checks</w:t>
      </w:r>
    </w:p>
    <w:p w14:paraId="384826F8" w14:textId="77777777" w:rsidR="00CA7430" w:rsidRPr="00CA7430" w:rsidRDefault="00CA7430" w:rsidP="00CA74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Search-query variants:</w:t>
      </w:r>
      <w:r w:rsidRPr="00CA7430">
        <w:rPr>
          <w:rFonts w:ascii="Times New Roman" w:eastAsia="Times New Roman" w:hAnsi="Times New Roman" w:cs="Times New Roman"/>
          <w:kern w:val="0"/>
          <w:lang w:eastAsia="en-GB"/>
          <w14:ligatures w14:val="none"/>
        </w:rPr>
        <w:t xml:space="preserve"> compared against (</w:t>
      </w:r>
      <w:proofErr w:type="spellStart"/>
      <w:r w:rsidRPr="00CA7430">
        <w:rPr>
          <w:rFonts w:ascii="Times New Roman" w:eastAsia="Times New Roman" w:hAnsi="Times New Roman" w:cs="Times New Roman"/>
          <w:kern w:val="0"/>
          <w:lang w:eastAsia="en-GB"/>
          <w14:ligatures w14:val="none"/>
        </w:rPr>
        <w:t>i</w:t>
      </w:r>
      <w:proofErr w:type="spellEnd"/>
      <w:r w:rsidRPr="00CA7430">
        <w:rPr>
          <w:rFonts w:ascii="Times New Roman" w:eastAsia="Times New Roman" w:hAnsi="Times New Roman" w:cs="Times New Roman"/>
          <w:kern w:val="0"/>
          <w:lang w:eastAsia="en-GB"/>
          <w14:ligatures w14:val="none"/>
        </w:rPr>
        <w:t>) no excluded words, (ii) fewer core words, (iii) plain AND instead of proximity. Benchmark beats all three against the narrative index and has the lowest false-positive (type I) rate.</w:t>
      </w:r>
    </w:p>
    <w:p w14:paraId="430BC99E" w14:textId="77777777" w:rsidR="00CA7430" w:rsidRPr="00CA7430" w:rsidRDefault="00CA7430" w:rsidP="00CA74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Human audit:</w:t>
      </w:r>
      <w:r w:rsidRPr="00CA7430">
        <w:rPr>
          <w:rFonts w:ascii="Times New Roman" w:eastAsia="Times New Roman" w:hAnsi="Times New Roman" w:cs="Times New Roman"/>
          <w:kern w:val="0"/>
          <w:lang w:eastAsia="en-GB"/>
          <w14:ligatures w14:val="none"/>
        </w:rPr>
        <w:t xml:space="preserve"> </w:t>
      </w:r>
      <w:r w:rsidRPr="00CA7430">
        <w:rPr>
          <w:rFonts w:ascii="Times New Roman" w:eastAsia="Times New Roman" w:hAnsi="Times New Roman" w:cs="Times New Roman"/>
          <w:b/>
          <w:bCs/>
          <w:kern w:val="0"/>
          <w:lang w:eastAsia="en-GB"/>
          <w14:ligatures w14:val="none"/>
        </w:rPr>
        <w:t>7,000+ articles</w:t>
      </w:r>
      <w:r w:rsidRPr="00CA7430">
        <w:rPr>
          <w:rFonts w:ascii="Times New Roman" w:eastAsia="Times New Roman" w:hAnsi="Times New Roman" w:cs="Times New Roman"/>
          <w:kern w:val="0"/>
          <w:lang w:eastAsia="en-GB"/>
          <w14:ligatures w14:val="none"/>
        </w:rPr>
        <w:t xml:space="preserve"> </w:t>
      </w:r>
      <w:proofErr w:type="gramStart"/>
      <w:r w:rsidRPr="00CA7430">
        <w:rPr>
          <w:rFonts w:ascii="Times New Roman" w:eastAsia="Times New Roman" w:hAnsi="Times New Roman" w:cs="Times New Roman"/>
          <w:kern w:val="0"/>
          <w:lang w:eastAsia="en-GB"/>
          <w14:ligatures w14:val="none"/>
        </w:rPr>
        <w:t>hand-coded</w:t>
      </w:r>
      <w:proofErr w:type="gramEnd"/>
      <w:r w:rsidRPr="00CA7430">
        <w:rPr>
          <w:rFonts w:ascii="Times New Roman" w:eastAsia="Times New Roman" w:hAnsi="Times New Roman" w:cs="Times New Roman"/>
          <w:kern w:val="0"/>
          <w:lang w:eastAsia="en-GB"/>
          <w14:ligatures w14:val="none"/>
        </w:rPr>
        <w:t xml:space="preserve">. Correlation </w:t>
      </w:r>
      <w:r w:rsidRPr="00CA7430">
        <w:rPr>
          <w:rFonts w:ascii="Times New Roman" w:eastAsia="Times New Roman" w:hAnsi="Times New Roman" w:cs="Times New Roman"/>
          <w:b/>
          <w:bCs/>
          <w:kern w:val="0"/>
          <w:lang w:eastAsia="en-GB"/>
          <w14:ligatures w14:val="none"/>
        </w:rPr>
        <w:t>0.93</w:t>
      </w:r>
      <w:r w:rsidRPr="00CA7430">
        <w:rPr>
          <w:rFonts w:ascii="Times New Roman" w:eastAsia="Times New Roman" w:hAnsi="Times New Roman" w:cs="Times New Roman"/>
          <w:kern w:val="0"/>
          <w:lang w:eastAsia="en-GB"/>
          <w14:ligatures w14:val="none"/>
        </w:rPr>
        <w:t xml:space="preserve"> (annual) between automated and human index.</w:t>
      </w:r>
    </w:p>
    <w:p w14:paraId="36427DDA" w14:textId="77777777" w:rsidR="00CA7430" w:rsidRPr="00CA7430" w:rsidRDefault="00CA7430" w:rsidP="00CA74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Different newspapers:</w:t>
      </w:r>
      <w:r w:rsidRPr="00CA7430">
        <w:rPr>
          <w:rFonts w:ascii="Times New Roman" w:eastAsia="Times New Roman" w:hAnsi="Times New Roman" w:cs="Times New Roman"/>
          <w:kern w:val="0"/>
          <w:lang w:eastAsia="en-GB"/>
          <w14:ligatures w14:val="none"/>
        </w:rPr>
        <w:t xml:space="preserve"> US vs non-US GPR correlate </w:t>
      </w:r>
      <w:r w:rsidRPr="00CA7430">
        <w:rPr>
          <w:rFonts w:ascii="Times New Roman" w:eastAsia="Times New Roman" w:hAnsi="Times New Roman" w:cs="Times New Roman"/>
          <w:b/>
          <w:bCs/>
          <w:kern w:val="0"/>
          <w:lang w:eastAsia="en-GB"/>
          <w14:ligatures w14:val="none"/>
        </w:rPr>
        <w:t>0.88</w:t>
      </w:r>
      <w:r w:rsidRPr="00CA7430">
        <w:rPr>
          <w:rFonts w:ascii="Times New Roman" w:eastAsia="Times New Roman" w:hAnsi="Times New Roman" w:cs="Times New Roman"/>
          <w:kern w:val="0"/>
          <w:lang w:eastAsia="en-GB"/>
          <w14:ligatures w14:val="none"/>
        </w:rPr>
        <w:t xml:space="preserve">. Cronbach's alpha across the 10 papers </w:t>
      </w:r>
      <w:r w:rsidRPr="00CA7430">
        <w:rPr>
          <w:rFonts w:ascii="Times New Roman" w:eastAsia="Times New Roman" w:hAnsi="Times New Roman" w:cs="Times New Roman"/>
          <w:b/>
          <w:bCs/>
          <w:kern w:val="0"/>
          <w:lang w:eastAsia="en-GB"/>
          <w14:ligatures w14:val="none"/>
        </w:rPr>
        <w:t>0.96</w:t>
      </w:r>
      <w:r w:rsidRPr="00CA7430">
        <w:rPr>
          <w:rFonts w:ascii="Times New Roman" w:eastAsia="Times New Roman" w:hAnsi="Times New Roman" w:cs="Times New Roman"/>
          <w:kern w:val="0"/>
          <w:lang w:eastAsia="en-GB"/>
          <w14:ligatures w14:val="none"/>
        </w:rPr>
        <w:t>.</w:t>
      </w:r>
    </w:p>
    <w:p w14:paraId="2FE2EAAA" w14:textId="77777777" w:rsidR="00CA7430" w:rsidRPr="00CA7430" w:rsidRDefault="00CA7430" w:rsidP="00CA74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Language change over time:</w:t>
      </w:r>
      <w:r w:rsidRPr="00CA7430">
        <w:rPr>
          <w:rFonts w:ascii="Times New Roman" w:eastAsia="Times New Roman" w:hAnsi="Times New Roman" w:cs="Times New Roman"/>
          <w:kern w:val="0"/>
          <w:lang w:eastAsia="en-GB"/>
          <w14:ligatures w14:val="none"/>
        </w:rPr>
        <w:t xml:space="preserve"> query includes old words ("menace", "peril") and new ones ("risk", "tension").</w:t>
      </w:r>
    </w:p>
    <w:p w14:paraId="2F5146C3" w14:textId="77777777" w:rsidR="00CA7430" w:rsidRPr="00CA7430" w:rsidRDefault="00CA7430" w:rsidP="00CA743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Media attention:</w:t>
      </w:r>
      <w:r w:rsidRPr="00CA7430">
        <w:rPr>
          <w:rFonts w:ascii="Times New Roman" w:eastAsia="Times New Roman" w:hAnsi="Times New Roman" w:cs="Times New Roman"/>
          <w:kern w:val="0"/>
          <w:lang w:eastAsia="en-GB"/>
          <w14:ligatures w14:val="none"/>
        </w:rPr>
        <w:t xml:space="preserve"> not crowded out by Olympics, elections or disasters; not affected by newspaper political leaning.</w:t>
      </w:r>
    </w:p>
    <w:p w14:paraId="5C1479D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Copy for my project (scaled down):</w:t>
      </w:r>
    </w:p>
    <w:p w14:paraId="1893D0A7" w14:textId="77777777" w:rsidR="00CA7430" w:rsidRPr="00CA7430" w:rsidRDefault="00CA7430" w:rsidP="00CA743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Human-score ~150–200 of my articles (same as AI-GPR check — one audit covers both papers)</w:t>
      </w:r>
    </w:p>
    <w:p w14:paraId="79B86770" w14:textId="77777777" w:rsidR="00CA7430" w:rsidRPr="00CA7430" w:rsidRDefault="00CA7430" w:rsidP="00CA743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Ablation on my keyword filter: with vs without excluded words, proximity vs AND</w:t>
      </w:r>
    </w:p>
    <w:p w14:paraId="32652C8C" w14:textId="77777777" w:rsidR="00CA7430" w:rsidRPr="00CA7430" w:rsidRDefault="00CA7430" w:rsidP="00CA743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Source robustness: if time allows, compare scores from two GDELT source subsets (e.g. Western vs Gulf/Asian outlets)</w:t>
      </w:r>
    </w:p>
    <w:p w14:paraId="6E6AD03F"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GPR index has a correlation of 0.93—at an annual frequency—with a 'human' GPR index that is constructed by manually reading and coding a sample of more than 7,000 newspaper articles." (Section II.C) — cite as the benchmark for human-audit validation.</w:t>
      </w:r>
    </w:p>
    <w:p w14:paraId="12C3F57A"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lastRenderedPageBreak/>
        <w:t xml:space="preserve">"The correlation between non-US and US newspapers' GPR is 0.88, thus suggesting that the global nature of most geopolitical events receives similar coverage across US and non-US newspapers." (Section II.C) — </w:t>
      </w:r>
      <w:proofErr w:type="gramStart"/>
      <w:r w:rsidRPr="00CA7430">
        <w:rPr>
          <w:rFonts w:ascii="Times New Roman" w:eastAsia="Times New Roman" w:hAnsi="Times New Roman" w:cs="Times New Roman"/>
          <w:kern w:val="0"/>
          <w:lang w:eastAsia="en-GB"/>
          <w14:ligatures w14:val="none"/>
        </w:rPr>
        <w:t>note:</w:t>
      </w:r>
      <w:proofErr w:type="gramEnd"/>
      <w:r w:rsidRPr="00CA7430">
        <w:rPr>
          <w:rFonts w:ascii="Times New Roman" w:eastAsia="Times New Roman" w:hAnsi="Times New Roman" w:cs="Times New Roman"/>
          <w:kern w:val="0"/>
          <w:lang w:eastAsia="en-GB"/>
          <w14:ligatures w14:val="none"/>
        </w:rPr>
        <w:t xml:space="preserve"> this partly weakens my "US bias" argument for GDELT. Be careful how strongly I claim it.</w:t>
      </w:r>
    </w:p>
    <w:p w14:paraId="02AD1514"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My difference:</w:t>
      </w:r>
      <w:r w:rsidRPr="00CA7430">
        <w:rPr>
          <w:rFonts w:ascii="Times New Roman" w:eastAsia="Times New Roman" w:hAnsi="Times New Roman" w:cs="Times New Roman"/>
          <w:kern w:val="0"/>
          <w:lang w:eastAsia="en-GB"/>
          <w14:ligatures w14:val="none"/>
        </w:rPr>
        <w:t xml:space="preserve"> their validation targets a single general index. Mine needs validating per producer and per chokepoint, so the audit sample must cover each entity, not just the total.</w:t>
      </w:r>
    </w:p>
    <w:p w14:paraId="450E45E1"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t>Sections III–IV — VAR Evidence and Tail Effects</w:t>
      </w:r>
    </w:p>
    <w:p w14:paraId="4F9BA99F"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III.</w:t>
      </w:r>
      <w:proofErr w:type="gramStart"/>
      <w:r w:rsidRPr="00CA7430">
        <w:rPr>
          <w:rFonts w:ascii="Times New Roman" w:eastAsia="Times New Roman" w:hAnsi="Times New Roman" w:cs="Times New Roman"/>
          <w:b/>
          <w:bCs/>
          <w:kern w:val="0"/>
          <w:lang w:eastAsia="en-GB"/>
          <w14:ligatures w14:val="none"/>
        </w:rPr>
        <w:t>A</w:t>
      </w:r>
      <w:proofErr w:type="gramEnd"/>
      <w:r w:rsidRPr="00CA7430">
        <w:rPr>
          <w:rFonts w:ascii="Times New Roman" w:eastAsia="Times New Roman" w:hAnsi="Times New Roman" w:cs="Times New Roman"/>
          <w:b/>
          <w:bCs/>
          <w:kern w:val="0"/>
          <w:lang w:eastAsia="en-GB"/>
          <w14:ligatures w14:val="none"/>
        </w:rPr>
        <w:t xml:space="preserve"> Aggregate effects.</w:t>
      </w:r>
      <w:r w:rsidRPr="00CA7430">
        <w:rPr>
          <w:rFonts w:ascii="Times New Roman" w:eastAsia="Times New Roman" w:hAnsi="Times New Roman" w:cs="Times New Roman"/>
          <w:kern w:val="0"/>
          <w:lang w:eastAsia="en-GB"/>
          <w14:ligatures w14:val="none"/>
        </w:rPr>
        <w:t xml:space="preserve"> Quarterly structural VAR, 1986–2019, 8 variables: GPR, VIX, investment, hours, S&amp;P 500, </w:t>
      </w:r>
      <w:r w:rsidRPr="00CA7430">
        <w:rPr>
          <w:rFonts w:ascii="Times New Roman" w:eastAsia="Times New Roman" w:hAnsi="Times New Roman" w:cs="Times New Roman"/>
          <w:b/>
          <w:bCs/>
          <w:kern w:val="0"/>
          <w:lang w:eastAsia="en-GB"/>
          <w14:ligatures w14:val="none"/>
        </w:rPr>
        <w:t>real WTI oil price</w:t>
      </w:r>
      <w:r w:rsidRPr="00CA7430">
        <w:rPr>
          <w:rFonts w:ascii="Times New Roman" w:eastAsia="Times New Roman" w:hAnsi="Times New Roman" w:cs="Times New Roman"/>
          <w:kern w:val="0"/>
          <w:lang w:eastAsia="en-GB"/>
          <w14:ligatures w14:val="none"/>
        </w:rPr>
        <w:t>, 2-year yield, NFCI. GPR ordered first (Cholesky), so GPR moves the economy, not the reverse.</w:t>
      </w:r>
    </w:p>
    <w:p w14:paraId="21C7244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After a 2-SD GPR shock: GPR stays high ~2 years, VIX jumps briefly, investment falls ~1.5% after a year, hours fall ~0.6%, stock prices fall — </w:t>
      </w:r>
      <w:r w:rsidRPr="00CA7430">
        <w:rPr>
          <w:rFonts w:ascii="Times New Roman" w:eastAsia="Times New Roman" w:hAnsi="Times New Roman" w:cs="Times New Roman"/>
          <w:b/>
          <w:bCs/>
          <w:kern w:val="0"/>
          <w:lang w:eastAsia="en-GB"/>
          <w14:ligatures w14:val="none"/>
        </w:rPr>
        <w:t>and oil prices fall</w:t>
      </w:r>
      <w:r w:rsidRPr="00CA7430">
        <w:rPr>
          <w:rFonts w:ascii="Times New Roman" w:eastAsia="Times New Roman" w:hAnsi="Times New Roman" w:cs="Times New Roman"/>
          <w:kern w:val="0"/>
          <w:lang w:eastAsia="en-GB"/>
          <w14:ligatures w14:val="none"/>
        </w:rPr>
        <w:t>.</w:t>
      </w:r>
    </w:p>
    <w:p w14:paraId="6FC7D11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This is the most important finding in the paper for my project.</w:t>
      </w:r>
      <w:r w:rsidRPr="00CA7430">
        <w:rPr>
          <w:rFonts w:ascii="Times New Roman" w:eastAsia="Times New Roman" w:hAnsi="Times New Roman" w:cs="Times New Roman"/>
          <w:kern w:val="0"/>
          <w:lang w:eastAsia="en-GB"/>
          <w14:ligatures w14:val="none"/>
        </w:rPr>
        <w:t xml:space="preserve"> A general geopolitical risk shock </w:t>
      </w:r>
      <w:r w:rsidRPr="00CA7430">
        <w:rPr>
          <w:rFonts w:ascii="Times New Roman" w:eastAsia="Times New Roman" w:hAnsi="Times New Roman" w:cs="Times New Roman"/>
          <w:i/>
          <w:iCs/>
          <w:kern w:val="0"/>
          <w:lang w:eastAsia="en-GB"/>
          <w14:ligatures w14:val="none"/>
        </w:rPr>
        <w:t>lowers</w:t>
      </w:r>
      <w:r w:rsidRPr="00CA7430">
        <w:rPr>
          <w:rFonts w:ascii="Times New Roman" w:eastAsia="Times New Roman" w:hAnsi="Times New Roman" w:cs="Times New Roman"/>
          <w:kern w:val="0"/>
          <w:lang w:eastAsia="en-GB"/>
          <w14:ligatures w14:val="none"/>
        </w:rPr>
        <w:t xml:space="preserve"> oil prices (the demand channel: weaker economy → less oil demand). Only supply-side geopolitical events should push Brent up. So general GPR mixes two effects that push oil in opposite directions. That's the core argument for my </w:t>
      </w:r>
      <w:r w:rsidRPr="00CA7430">
        <w:rPr>
          <w:rFonts w:ascii="Times New Roman" w:eastAsia="Times New Roman" w:hAnsi="Times New Roman" w:cs="Times New Roman"/>
          <w:b/>
          <w:bCs/>
          <w:kern w:val="0"/>
          <w:lang w:eastAsia="en-GB"/>
          <w14:ligatures w14:val="none"/>
        </w:rPr>
        <w:t>oil-supply-specific</w:t>
      </w:r>
      <w:r w:rsidRPr="00CA7430">
        <w:rPr>
          <w:rFonts w:ascii="Times New Roman" w:eastAsia="Times New Roman" w:hAnsi="Times New Roman" w:cs="Times New Roman"/>
          <w:kern w:val="0"/>
          <w:lang w:eastAsia="en-GB"/>
          <w14:ligatures w14:val="none"/>
        </w:rPr>
        <w:t xml:space="preserve"> scores: they isolate the supply side.</w:t>
      </w:r>
    </w:p>
    <w:p w14:paraId="5FAD77FC"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"High geopolitical risk is followed by a short-lived increase in financial uncertainty as measured by the VIX, by a decline in stock prices and oil prices, and by a modest decrease in the two-year yield." (Section III.A) — </w:t>
      </w:r>
      <w:r w:rsidRPr="00CA7430">
        <w:rPr>
          <w:rFonts w:ascii="Times New Roman" w:eastAsia="Times New Roman" w:hAnsi="Times New Roman" w:cs="Times New Roman"/>
          <w:b/>
          <w:bCs/>
          <w:kern w:val="0"/>
          <w:lang w:eastAsia="en-GB"/>
          <w14:ligatures w14:val="none"/>
        </w:rPr>
        <w:t>key quote.</w:t>
      </w:r>
      <w:r w:rsidRPr="00CA7430">
        <w:rPr>
          <w:rFonts w:ascii="Times New Roman" w:eastAsia="Times New Roman" w:hAnsi="Times New Roman" w:cs="Times New Roman"/>
          <w:kern w:val="0"/>
          <w:lang w:eastAsia="en-GB"/>
          <w14:ligatures w14:val="none"/>
        </w:rPr>
        <w:t xml:space="preserve"> Cite to show general GPR doesn't point oil prices in a clear direction, which motivates supply-specific scores.</w:t>
      </w:r>
    </w:p>
    <w:p w14:paraId="1CE0D88A"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This links straight to AI-GPR Section 6.2, where the Oil GPR shock </w:t>
      </w:r>
      <w:r w:rsidRPr="00CA7430">
        <w:rPr>
          <w:rFonts w:ascii="Times New Roman" w:eastAsia="Times New Roman" w:hAnsi="Times New Roman" w:cs="Times New Roman"/>
          <w:i/>
          <w:iCs/>
          <w:kern w:val="0"/>
          <w:lang w:eastAsia="en-GB"/>
          <w14:ligatures w14:val="none"/>
        </w:rPr>
        <w:t>raises</w:t>
      </w:r>
      <w:r w:rsidRPr="00CA7430">
        <w:rPr>
          <w:rFonts w:ascii="Times New Roman" w:eastAsia="Times New Roman" w:hAnsi="Times New Roman" w:cs="Times New Roman"/>
          <w:kern w:val="0"/>
          <w:lang w:eastAsia="en-GB"/>
          <w14:ligatures w14:val="none"/>
        </w:rPr>
        <w:t xml:space="preserve"> oil prices. Putting the two side by side in my lit review makes the case: general risk → oil down; oil-supply risk → oil up.</w:t>
      </w:r>
    </w:p>
    <w:p w14:paraId="78DFDF60"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Also:</w:t>
      </w:r>
      <w:r w:rsidRPr="00CA7430">
        <w:rPr>
          <w:rFonts w:ascii="Times New Roman" w:eastAsia="Times New Roman" w:hAnsi="Times New Roman" w:cs="Times New Roman"/>
          <w:kern w:val="0"/>
          <w:lang w:eastAsia="en-GB"/>
          <w14:ligatures w14:val="none"/>
        </w:rPr>
        <w:t xml:space="preserve"> footnote 15 — oil price is deflated by CPI. I forecast direction over 5 days, so real vs nominal barely matters, but worth one line.</w:t>
      </w:r>
    </w:p>
    <w:p w14:paraId="3F895D6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III.B Acts vs threats.</w:t>
      </w:r>
      <w:r w:rsidRPr="00CA7430">
        <w:rPr>
          <w:rFonts w:ascii="Times New Roman" w:eastAsia="Times New Roman" w:hAnsi="Times New Roman" w:cs="Times New Roman"/>
          <w:kern w:val="0"/>
          <w:lang w:eastAsia="en-GB"/>
          <w14:ligatures w14:val="none"/>
        </w:rPr>
        <w:t xml:space="preserve"> VAR with GPA and GPT separately. Act shocks raise threats sharply; threat shocks barely raise acts. Both cut investment and hours; act effects last longer. Holding threats fixed, acts alone hurt less — so </w:t>
      </w:r>
      <w:r w:rsidRPr="00CA7430">
        <w:rPr>
          <w:rFonts w:ascii="Times New Roman" w:eastAsia="Times New Roman" w:hAnsi="Times New Roman" w:cs="Times New Roman"/>
          <w:b/>
          <w:bCs/>
          <w:kern w:val="0"/>
          <w:lang w:eastAsia="en-GB"/>
          <w14:ligatures w14:val="none"/>
        </w:rPr>
        <w:t>unrealised threats on their own are contractionary</w:t>
      </w:r>
      <w:r w:rsidRPr="00CA7430">
        <w:rPr>
          <w:rFonts w:ascii="Times New Roman" w:eastAsia="Times New Roman" w:hAnsi="Times New Roman" w:cs="Times New Roman"/>
          <w:kern w:val="0"/>
          <w:lang w:eastAsia="en-GB"/>
          <w14:ligatures w14:val="none"/>
        </w:rPr>
        <w:t>.</w:t>
      </w:r>
    </w:p>
    <w:p w14:paraId="13D06E04"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"Were threats to remain unchanged in response to an acts shock, the response of investment and hours would be smaller, thus supporting the notion that unrealized threats about future events could have contractionary effects." (Section III.B) — cite to justify scoring threats, not just realised disruptions.</w:t>
      </w:r>
    </w:p>
    <w:p w14:paraId="3E195B22"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"With the notable exception of 9/11, most adverse geopolitical events in the sample did not directly hit the United States." (Section III.B) — useful for explaining why country-level exposure matters.</w:t>
      </w:r>
    </w:p>
    <w:p w14:paraId="6DC9EC5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lastRenderedPageBreak/>
        <w:t>IV Tail effects.</w:t>
      </w:r>
      <w:r w:rsidRPr="00CA7430">
        <w:rPr>
          <w:rFonts w:ascii="Times New Roman" w:eastAsia="Times New Roman" w:hAnsi="Times New Roman" w:cs="Times New Roman"/>
          <w:kern w:val="0"/>
          <w:lang w:eastAsia="en-GB"/>
          <w14:ligatures w14:val="none"/>
        </w:rPr>
        <w:t xml:space="preserve"> Annual panel, 26 countries, 1900–2019.</w:t>
      </w:r>
    </w:p>
    <w:p w14:paraId="767D6A6C" w14:textId="77777777" w:rsidR="00CA7430" w:rsidRPr="00CA7430" w:rsidRDefault="00CA7430" w:rsidP="00CA743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IV.A Disaster probability:</w:t>
      </w:r>
      <w:r w:rsidRPr="00CA7430">
        <w:rPr>
          <w:rFonts w:ascii="Times New Roman" w:eastAsia="Times New Roman" w:hAnsi="Times New Roman" w:cs="Times New Roman"/>
          <w:kern w:val="0"/>
          <w:lang w:eastAsia="en-GB"/>
          <w14:ligatures w14:val="none"/>
        </w:rPr>
        <w:t xml:space="preserve"> 1 SD rise in global GPR → disaster probability +18 pp. Country GPR +9 pp. Country GPR raises disaster </w:t>
      </w:r>
      <w:r w:rsidRPr="00CA7430">
        <w:rPr>
          <w:rFonts w:ascii="Times New Roman" w:eastAsia="Times New Roman" w:hAnsi="Times New Roman" w:cs="Times New Roman"/>
          <w:b/>
          <w:bCs/>
          <w:kern w:val="0"/>
          <w:lang w:eastAsia="en-GB"/>
          <w14:ligatures w14:val="none"/>
        </w:rPr>
        <w:t>onset</w:t>
      </w:r>
      <w:r w:rsidRPr="00CA7430">
        <w:rPr>
          <w:rFonts w:ascii="Times New Roman" w:eastAsia="Times New Roman" w:hAnsi="Times New Roman" w:cs="Times New Roman"/>
          <w:kern w:val="0"/>
          <w:lang w:eastAsia="en-GB"/>
          <w14:ligatures w14:val="none"/>
        </w:rPr>
        <w:t xml:space="preserve"> from 2.2% to 9%.</w:t>
      </w:r>
    </w:p>
    <w:p w14:paraId="4468ABBE" w14:textId="77777777" w:rsidR="00CA7430" w:rsidRPr="00CA7430" w:rsidRDefault="00CA7430" w:rsidP="00CA743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IV.B Quantile regressions:</w:t>
      </w:r>
      <w:r w:rsidRPr="00CA7430">
        <w:rPr>
          <w:rFonts w:ascii="Times New Roman" w:eastAsia="Times New Roman" w:hAnsi="Times New Roman" w:cs="Times New Roman"/>
          <w:kern w:val="0"/>
          <w:lang w:eastAsia="en-GB"/>
          <w14:ligatures w14:val="none"/>
        </w:rPr>
        <w:t xml:space="preserve"> country GPR hits the </w:t>
      </w:r>
      <w:r w:rsidRPr="00CA7430">
        <w:rPr>
          <w:rFonts w:ascii="Times New Roman" w:eastAsia="Times New Roman" w:hAnsi="Times New Roman" w:cs="Times New Roman"/>
          <w:b/>
          <w:bCs/>
          <w:kern w:val="0"/>
          <w:lang w:eastAsia="en-GB"/>
          <w14:ligatures w14:val="none"/>
        </w:rPr>
        <w:t>left tail</w:t>
      </w:r>
      <w:r w:rsidRPr="00CA7430">
        <w:rPr>
          <w:rFonts w:ascii="Times New Roman" w:eastAsia="Times New Roman" w:hAnsi="Times New Roman" w:cs="Times New Roman"/>
          <w:kern w:val="0"/>
          <w:lang w:eastAsia="en-GB"/>
          <w14:ligatures w14:val="none"/>
        </w:rPr>
        <w:t xml:space="preserve"> of GDP growth four times harder than the average. Risk shows up as downside tail risk.</w:t>
      </w:r>
    </w:p>
    <w:p w14:paraId="7E91714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Relevance to me:</w:t>
      </w:r>
      <w:r w:rsidRPr="00CA7430">
        <w:rPr>
          <w:rFonts w:ascii="Times New Roman" w:eastAsia="Times New Roman" w:hAnsi="Times New Roman" w:cs="Times New Roman"/>
          <w:kern w:val="0"/>
          <w:lang w:eastAsia="en-GB"/>
          <w14:ligatures w14:val="none"/>
        </w:rPr>
        <w:t xml:space="preserve"> limited (annual macro). One useful idea: geopolitical risk mainly widens the tails. For Brent that suggests my scores may matter most in the </w:t>
      </w:r>
      <w:r w:rsidRPr="00CA7430">
        <w:rPr>
          <w:rFonts w:ascii="Times New Roman" w:eastAsia="Times New Roman" w:hAnsi="Times New Roman" w:cs="Times New Roman"/>
          <w:b/>
          <w:bCs/>
          <w:kern w:val="0"/>
          <w:lang w:eastAsia="en-GB"/>
          <w14:ligatures w14:val="none"/>
        </w:rPr>
        <w:t>sell/buy tails</w:t>
      </w:r>
      <w:r w:rsidRPr="00CA7430">
        <w:rPr>
          <w:rFonts w:ascii="Times New Roman" w:eastAsia="Times New Roman" w:hAnsi="Times New Roman" w:cs="Times New Roman"/>
          <w:kern w:val="0"/>
          <w:lang w:eastAsia="en-GB"/>
          <w14:ligatures w14:val="none"/>
        </w:rPr>
        <w:t xml:space="preserve"> rather than for small moves — worth checking in SHAP and in per-class accuracy.</w:t>
      </w:r>
    </w:p>
    <w:p w14:paraId="2CB2FDFE"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"Regional and country-specific geopolitical events were associated with major economic crises." (Section IV.A) — cite to support country-level rather than only global measures.</w:t>
      </w:r>
    </w:p>
    <w:p w14:paraId="69C6CD44"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My difference:</w:t>
      </w:r>
      <w:r w:rsidRPr="00CA7430">
        <w:rPr>
          <w:rFonts w:ascii="Times New Roman" w:eastAsia="Times New Roman" w:hAnsi="Times New Roman" w:cs="Times New Roman"/>
          <w:kern w:val="0"/>
          <w:lang w:eastAsia="en-GB"/>
          <w14:ligatures w14:val="none"/>
        </w:rPr>
        <w:t xml:space="preserve"> they use in-sample VARs and panel regressions to explain </w:t>
      </w:r>
      <w:proofErr w:type="gramStart"/>
      <w:r w:rsidRPr="00CA7430">
        <w:rPr>
          <w:rFonts w:ascii="Times New Roman" w:eastAsia="Times New Roman" w:hAnsi="Times New Roman" w:cs="Times New Roman"/>
          <w:kern w:val="0"/>
          <w:lang w:eastAsia="en-GB"/>
          <w14:ligatures w14:val="none"/>
        </w:rPr>
        <w:t>macro outcomes</w:t>
      </w:r>
      <w:proofErr w:type="gramEnd"/>
      <w:r w:rsidRPr="00CA7430">
        <w:rPr>
          <w:rFonts w:ascii="Times New Roman" w:eastAsia="Times New Roman" w:hAnsi="Times New Roman" w:cs="Times New Roman"/>
          <w:kern w:val="0"/>
          <w:lang w:eastAsia="en-GB"/>
          <w14:ligatures w14:val="none"/>
        </w:rPr>
        <w:t xml:space="preserve">. I use walk-forward out-of-sample ML to predict weekly Brent </w:t>
      </w:r>
      <w:proofErr w:type="gramStart"/>
      <w:r w:rsidRPr="00CA7430">
        <w:rPr>
          <w:rFonts w:ascii="Times New Roman" w:eastAsia="Times New Roman" w:hAnsi="Times New Roman" w:cs="Times New Roman"/>
          <w:kern w:val="0"/>
          <w:lang w:eastAsia="en-GB"/>
          <w14:ligatures w14:val="none"/>
        </w:rPr>
        <w:t>direction, and</w:t>
      </w:r>
      <w:proofErr w:type="gramEnd"/>
      <w:r w:rsidRPr="00CA7430">
        <w:rPr>
          <w:rFonts w:ascii="Times New Roman" w:eastAsia="Times New Roman" w:hAnsi="Times New Roman" w:cs="Times New Roman"/>
          <w:kern w:val="0"/>
          <w:lang w:eastAsia="en-GB"/>
          <w14:ligatures w14:val="none"/>
        </w:rPr>
        <w:t xml:space="preserve"> test it with Diebold-Mariano against baselines.</w:t>
      </w:r>
    </w:p>
    <w:p w14:paraId="0ABD9B4C"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t>Sections V–VI — Firm-Level Evidence and Conclusions</w:t>
      </w:r>
    </w:p>
    <w:p w14:paraId="26FB742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V.A Measuring risk across firms and industries.</w:t>
      </w:r>
      <w:r w:rsidRPr="00CA7430">
        <w:rPr>
          <w:rFonts w:ascii="Times New Roman" w:eastAsia="Times New Roman" w:hAnsi="Times New Roman" w:cs="Times New Roman"/>
          <w:kern w:val="0"/>
          <w:lang w:eastAsia="en-GB"/>
          <w14:ligatures w14:val="none"/>
        </w:rPr>
        <w:t xml:space="preserve"> Firm GPR = aggregate GPR + aggregate × industry exposure + firm-specific part (equation 3). Industry exposure comes from regressing </w:t>
      </w:r>
      <w:r w:rsidRPr="00CA7430">
        <w:rPr>
          <w:rFonts w:ascii="Times New Roman" w:eastAsia="Times New Roman" w:hAnsi="Times New Roman" w:cs="Times New Roman"/>
          <w:b/>
          <w:bCs/>
          <w:kern w:val="0"/>
          <w:lang w:eastAsia="en-GB"/>
          <w14:ligatures w14:val="none"/>
        </w:rPr>
        <w:t>daily</w:t>
      </w:r>
      <w:r w:rsidRPr="00CA7430">
        <w:rPr>
          <w:rFonts w:ascii="Times New Roman" w:eastAsia="Times New Roman" w:hAnsi="Times New Roman" w:cs="Times New Roman"/>
          <w:kern w:val="0"/>
          <w:lang w:eastAsia="en-GB"/>
          <w14:ligatures w14:val="none"/>
        </w:rPr>
        <w:t xml:space="preserve"> returns of 49 Fama–French industries on daily GPR changes.</w:t>
      </w:r>
    </w:p>
    <w:p w14:paraId="17A4935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Result: </w:t>
      </w:r>
      <w:r w:rsidRPr="00CA7430">
        <w:rPr>
          <w:rFonts w:ascii="Times New Roman" w:eastAsia="Times New Roman" w:hAnsi="Times New Roman" w:cs="Times New Roman"/>
          <w:b/>
          <w:bCs/>
          <w:kern w:val="0"/>
          <w:lang w:eastAsia="en-GB"/>
          <w14:ligatures w14:val="none"/>
        </w:rPr>
        <w:t>precious metals, petroleum and defence gain</w:t>
      </w:r>
      <w:r w:rsidRPr="00CA7430">
        <w:rPr>
          <w:rFonts w:ascii="Times New Roman" w:eastAsia="Times New Roman" w:hAnsi="Times New Roman" w:cs="Times New Roman"/>
          <w:kern w:val="0"/>
          <w:lang w:eastAsia="en-GB"/>
          <w14:ligatures w14:val="none"/>
        </w:rPr>
        <w:t xml:space="preserve"> when GPR rises (they are hedges). Shipping and transport lose.</w:t>
      </w:r>
    </w:p>
    <w:p w14:paraId="1FB5B598"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t>
      </w:r>
      <w:proofErr w:type="spellStart"/>
      <w:r w:rsidRPr="00CA7430">
        <w:rPr>
          <w:rFonts w:ascii="Times New Roman" w:eastAsia="Times New Roman" w:hAnsi="Times New Roman" w:cs="Times New Roman"/>
          <w:kern w:val="0"/>
          <w:lang w:eastAsia="en-GB"/>
          <w14:ligatures w14:val="none"/>
        </w:rPr>
        <w:t>Defense</w:t>
      </w:r>
      <w:proofErr w:type="spellEnd"/>
      <w:r w:rsidRPr="00CA7430">
        <w:rPr>
          <w:rFonts w:ascii="Times New Roman" w:eastAsia="Times New Roman" w:hAnsi="Times New Roman" w:cs="Times New Roman"/>
          <w:kern w:val="0"/>
          <w:lang w:eastAsia="en-GB"/>
          <w14:ligatures w14:val="none"/>
        </w:rPr>
        <w:t xml:space="preserve"> or petroleum companies may be particularly affected by geopolitical tensions in the Middle East, while airlines may be highly exposed to the fallout from terrorist attacks." (Section V.A) — cite to show the authors themselves single out oil and the Middle East as specially exposed.</w:t>
      </w:r>
    </w:p>
    <w:p w14:paraId="19045027"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"A company might face elevated geopolitical risks because it operates in countries whose events are not reflected in the aggregate and industry measure (e.g., an oil company operating in Gabon)." (Section V.A) — </w:t>
      </w:r>
      <w:r w:rsidRPr="00CA7430">
        <w:rPr>
          <w:rFonts w:ascii="Times New Roman" w:eastAsia="Times New Roman" w:hAnsi="Times New Roman" w:cs="Times New Roman"/>
          <w:b/>
          <w:bCs/>
          <w:kern w:val="0"/>
          <w:lang w:eastAsia="en-GB"/>
          <w14:ligatures w14:val="none"/>
        </w:rPr>
        <w:t>good quote.</w:t>
      </w:r>
      <w:r w:rsidRPr="00CA7430">
        <w:rPr>
          <w:rFonts w:ascii="Times New Roman" w:eastAsia="Times New Roman" w:hAnsi="Times New Roman" w:cs="Times New Roman"/>
          <w:kern w:val="0"/>
          <w:lang w:eastAsia="en-GB"/>
          <w14:ligatures w14:val="none"/>
        </w:rPr>
        <w:t xml:space="preserve"> Their own example of what aggregate GPR misses is an oil producer. Cite to motivate producer-level scores.</w:t>
      </w:r>
    </w:p>
    <w:p w14:paraId="5583AA07"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"This example underscores the importance of using daily data. Stock prices quickly react to news." (Section V.A) — cite to justify high-frequency (weekly, not monthly) features for a market price.</w:t>
      </w:r>
    </w:p>
    <w:p w14:paraId="371EC1C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Firm-level text measure:</w:t>
      </w:r>
      <w:r w:rsidRPr="00CA7430">
        <w:rPr>
          <w:rFonts w:ascii="Times New Roman" w:eastAsia="Times New Roman" w:hAnsi="Times New Roman" w:cs="Times New Roman"/>
          <w:kern w:val="0"/>
          <w:lang w:eastAsia="en-GB"/>
          <w14:ligatures w14:val="none"/>
        </w:rPr>
        <w:t xml:space="preserve"> from 2005–2019 earnings-call transcripts, following Hassan et al. (2019). Count "risk" words within 10 words of "geopolitical" words. Correlation with newspaper GPR only 0.19.</w:t>
      </w:r>
    </w:p>
    <w:p w14:paraId="31FCFD6F"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lastRenderedPageBreak/>
        <w:t>V.B–</w:t>
      </w:r>
      <w:proofErr w:type="gramStart"/>
      <w:r w:rsidRPr="00CA7430">
        <w:rPr>
          <w:rFonts w:ascii="Times New Roman" w:eastAsia="Times New Roman" w:hAnsi="Times New Roman" w:cs="Times New Roman"/>
          <w:b/>
          <w:bCs/>
          <w:kern w:val="0"/>
          <w:lang w:eastAsia="en-GB"/>
          <w14:ligatures w14:val="none"/>
        </w:rPr>
        <w:t>V.D</w:t>
      </w:r>
      <w:proofErr w:type="gramEnd"/>
      <w:r w:rsidRPr="00CA7430">
        <w:rPr>
          <w:rFonts w:ascii="Times New Roman" w:eastAsia="Times New Roman" w:hAnsi="Times New Roman" w:cs="Times New Roman"/>
          <w:b/>
          <w:bCs/>
          <w:kern w:val="0"/>
          <w:lang w:eastAsia="en-GB"/>
          <w14:ligatures w14:val="none"/>
        </w:rPr>
        <w:t xml:space="preserve"> Investment effects.</w:t>
      </w:r>
      <w:r w:rsidRPr="00CA7430">
        <w:rPr>
          <w:rFonts w:ascii="Times New Roman" w:eastAsia="Times New Roman" w:hAnsi="Times New Roman" w:cs="Times New Roman"/>
          <w:kern w:val="0"/>
          <w:lang w:eastAsia="en-GB"/>
          <w14:ligatures w14:val="none"/>
        </w:rPr>
        <w:t xml:space="preserve"> Local projections (Jordà 2005). Firms in exposed industries cut investment ~1 pp more in year one. Firm-specific GPR → investment down &gt;1% at trough, lasting about a year. Effects show up with a </w:t>
      </w:r>
      <w:r w:rsidRPr="00CA7430">
        <w:rPr>
          <w:rFonts w:ascii="Times New Roman" w:eastAsia="Times New Roman" w:hAnsi="Times New Roman" w:cs="Times New Roman"/>
          <w:b/>
          <w:bCs/>
          <w:kern w:val="0"/>
          <w:lang w:eastAsia="en-GB"/>
          <w14:ligatures w14:val="none"/>
        </w:rPr>
        <w:t>1–2 quarter delay</w:t>
      </w:r>
      <w:r w:rsidRPr="00CA7430">
        <w:rPr>
          <w:rFonts w:ascii="Times New Roman" w:eastAsia="Times New Roman" w:hAnsi="Times New Roman" w:cs="Times New Roman"/>
          <w:kern w:val="0"/>
          <w:lang w:eastAsia="en-GB"/>
          <w14:ligatures w14:val="none"/>
        </w:rPr>
        <w:t>.</w:t>
      </w:r>
    </w:p>
    <w:p w14:paraId="519354C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Relevance to me:</w:t>
      </w:r>
      <w:r w:rsidRPr="00CA7430">
        <w:rPr>
          <w:rFonts w:ascii="Times New Roman" w:eastAsia="Times New Roman" w:hAnsi="Times New Roman" w:cs="Times New Roman"/>
          <w:kern w:val="0"/>
          <w:lang w:eastAsia="en-GB"/>
          <w14:ligatures w14:val="none"/>
        </w:rPr>
        <w:t xml:space="preserve"> low. Shows the field moving from aggregate to granular (industry, firm) measures — my producer/chokepoint scores follow the same direction for oil.</w:t>
      </w:r>
    </w:p>
    <w:p w14:paraId="1C274A4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VI Conclusions.</w:t>
      </w:r>
      <w:r w:rsidRPr="00CA7430">
        <w:rPr>
          <w:rFonts w:ascii="Times New Roman" w:eastAsia="Times New Roman" w:hAnsi="Times New Roman" w:cs="Times New Roman"/>
          <w:kern w:val="0"/>
          <w:lang w:eastAsia="en-GB"/>
          <w14:ligatures w14:val="none"/>
        </w:rPr>
        <w:t xml:space="preserve"> Three areas for future research:</w:t>
      </w:r>
    </w:p>
    <w:p w14:paraId="2A5866CC" w14:textId="77777777" w:rsidR="00CA7430" w:rsidRPr="00CA7430" w:rsidRDefault="00CA7430" w:rsidP="00CA743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Extend measurement to other sources: </w:t>
      </w:r>
      <w:r w:rsidRPr="00CA7430">
        <w:rPr>
          <w:rFonts w:ascii="Times New Roman" w:eastAsia="Times New Roman" w:hAnsi="Times New Roman" w:cs="Times New Roman"/>
          <w:b/>
          <w:bCs/>
          <w:kern w:val="0"/>
          <w:lang w:eastAsia="en-GB"/>
          <w14:ligatures w14:val="none"/>
        </w:rPr>
        <w:t>foreign-language publications</w:t>
      </w:r>
      <w:r w:rsidRPr="00CA7430">
        <w:rPr>
          <w:rFonts w:ascii="Times New Roman" w:eastAsia="Times New Roman" w:hAnsi="Times New Roman" w:cs="Times New Roman"/>
          <w:kern w:val="0"/>
          <w:lang w:eastAsia="en-GB"/>
          <w14:ligatures w14:val="none"/>
        </w:rPr>
        <w:t>, country reports, parliamentary transcripts</w:t>
      </w:r>
    </w:p>
    <w:p w14:paraId="1C6C6904" w14:textId="77777777" w:rsidR="00CA7430" w:rsidRPr="00CA7430" w:rsidRDefault="00CA7430" w:rsidP="00CA743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International effects: asset prices, capital flows, trade and supply chains</w:t>
      </w:r>
    </w:p>
    <w:p w14:paraId="06058E2E" w14:textId="77777777" w:rsidR="00CA7430" w:rsidRPr="00CA7430" w:rsidRDefault="00CA7430" w:rsidP="00CA7430">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Causes of conflict</w:t>
      </w:r>
    </w:p>
    <w:p w14:paraId="1E2C3861"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"It would be useful in the future to extend our measurement exercise using additional sources, such as foreign-language publications, periodical country reports, or the transcripts of parliamentary debates." (Section VI) — cite to frame GDELT (global, multilingual sources) as following the authors' own suggestion.</w:t>
      </w:r>
    </w:p>
    <w:p w14:paraId="217BA786"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"Geopolitical risks can impact the price of risky assets and the flow of capital across countries." (Section VI) — cite to motivate testing geopolitical features on a traded asset (Brent).</w:t>
      </w:r>
    </w:p>
    <w:p w14:paraId="1FD681B2" w14:textId="77777777" w:rsidR="00CA7430" w:rsidRPr="00CA7430" w:rsidRDefault="00CA7430" w:rsidP="00CA7430">
      <w:pPr>
        <w:spacing w:before="200" w:beforeAutospacing="1" w:after="200" w:afterAutospacing="1"/>
        <w:ind w:left="720" w:right="720"/>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 xml:space="preserve">Footnote 26: "Our empirical analysis is limited to </w:t>
      </w:r>
      <w:proofErr w:type="spellStart"/>
      <w:r w:rsidRPr="00CA7430">
        <w:rPr>
          <w:rFonts w:ascii="Times New Roman" w:eastAsia="Times New Roman" w:hAnsi="Times New Roman" w:cs="Times New Roman"/>
          <w:kern w:val="0"/>
          <w:lang w:eastAsia="en-GB"/>
          <w14:ligatures w14:val="none"/>
        </w:rPr>
        <w:t>analyzing</w:t>
      </w:r>
      <w:proofErr w:type="spellEnd"/>
      <w:r w:rsidRPr="00CA7430">
        <w:rPr>
          <w:rFonts w:ascii="Times New Roman" w:eastAsia="Times New Roman" w:hAnsi="Times New Roman" w:cs="Times New Roman"/>
          <w:kern w:val="0"/>
          <w:lang w:eastAsia="en-GB"/>
          <w14:ligatures w14:val="none"/>
        </w:rPr>
        <w:t xml:space="preserve"> past historical events. Future geopolitical risks could take different forms and yield different economic effects than in the past." — cite in limitations: a model trained on past disruptions may not generalise to new ones (e.g. the 2026 Hormuz crisis).</w:t>
      </w:r>
    </w:p>
    <w:p w14:paraId="033A3E1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Appendix note:</w:t>
      </w:r>
      <w:r w:rsidRPr="00CA7430">
        <w:rPr>
          <w:rFonts w:ascii="Times New Roman" w:eastAsia="Times New Roman" w:hAnsi="Times New Roman" w:cs="Times New Roman"/>
          <w:kern w:val="0"/>
          <w:lang w:eastAsia="en-GB"/>
          <w14:ligatures w14:val="none"/>
        </w:rPr>
        <w:t xml:space="preserve"> the online appendix (keyword tables A.1–A.5, audit details B.6, Granger tests B.5) is not in this PDF. It's on the AER article page if I need the exact word frequencies.</w:t>
      </w:r>
    </w:p>
    <w:p w14:paraId="6C6DBE11" w14:textId="77777777" w:rsidR="00CA7430" w:rsidRPr="00CA7430" w:rsidRDefault="00CA7430" w:rsidP="00CA743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A7430">
        <w:rPr>
          <w:rFonts w:ascii="Times New Roman" w:eastAsia="Times New Roman" w:hAnsi="Times New Roman" w:cs="Times New Roman"/>
          <w:b/>
          <w:bCs/>
          <w:kern w:val="0"/>
          <w:sz w:val="36"/>
          <w:szCs w:val="36"/>
          <w:lang w:eastAsia="en-GB"/>
          <w14:ligatures w14:val="none"/>
        </w:rPr>
        <w:t>Summary — Key Takeaways and Checklist</w:t>
      </w:r>
    </w:p>
    <w:p w14:paraId="492182B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How this paper fits with AI-GPR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2482"/>
        <w:gridCol w:w="2284"/>
        <w:gridCol w:w="3008"/>
      </w:tblGrid>
      <w:tr w:rsidR="00CA7430" w:rsidRPr="00CA7430" w14:paraId="28A28446" w14:textId="77777777">
        <w:trPr>
          <w:tblCellSpacing w:w="15" w:type="dxa"/>
        </w:trPr>
        <w:tc>
          <w:tcPr>
            <w:tcW w:w="0" w:type="auto"/>
            <w:vAlign w:val="center"/>
            <w:hideMark/>
          </w:tcPr>
          <w:p w14:paraId="25A0B6DF" w14:textId="77777777" w:rsidR="00CA7430" w:rsidRPr="00CA7430" w:rsidRDefault="00CA7430" w:rsidP="00CA7430">
            <w:pPr>
              <w:rPr>
                <w:rFonts w:ascii="Times New Roman" w:eastAsia="Times New Roman" w:hAnsi="Times New Roman" w:cs="Times New Roman"/>
                <w:kern w:val="0"/>
                <w:lang w:eastAsia="en-GB"/>
                <w14:ligatures w14:val="none"/>
              </w:rPr>
            </w:pPr>
          </w:p>
        </w:tc>
        <w:tc>
          <w:tcPr>
            <w:tcW w:w="0" w:type="auto"/>
            <w:vAlign w:val="center"/>
            <w:hideMark/>
          </w:tcPr>
          <w:p w14:paraId="21943D50" w14:textId="77777777" w:rsidR="00CA7430" w:rsidRPr="00CA7430" w:rsidRDefault="00CA7430" w:rsidP="00CA7430">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7430">
              <w:rPr>
                <w:rFonts w:ascii="Times New Roman" w:eastAsia="Times New Roman" w:hAnsi="Times New Roman" w:cs="Times New Roman"/>
                <w:b/>
                <w:bCs/>
                <w:kern w:val="0"/>
                <w:lang w:eastAsia="en-GB"/>
                <w14:ligatures w14:val="none"/>
              </w:rPr>
              <w:t>Caldara &amp; Iacoviello (2022)</w:t>
            </w:r>
          </w:p>
        </w:tc>
        <w:tc>
          <w:tcPr>
            <w:tcW w:w="0" w:type="auto"/>
            <w:vAlign w:val="center"/>
            <w:hideMark/>
          </w:tcPr>
          <w:p w14:paraId="4F00F7A9" w14:textId="77777777" w:rsidR="00CA7430" w:rsidRPr="00CA7430" w:rsidRDefault="00CA7430" w:rsidP="00CA7430">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7430">
              <w:rPr>
                <w:rFonts w:ascii="Times New Roman" w:eastAsia="Times New Roman" w:hAnsi="Times New Roman" w:cs="Times New Roman"/>
                <w:b/>
                <w:bCs/>
                <w:kern w:val="0"/>
                <w:lang w:eastAsia="en-GB"/>
                <w14:ligatures w14:val="none"/>
              </w:rPr>
              <w:t>Iacoviello &amp; Tong (2026)</w:t>
            </w:r>
          </w:p>
        </w:tc>
        <w:tc>
          <w:tcPr>
            <w:tcW w:w="0" w:type="auto"/>
            <w:vAlign w:val="center"/>
            <w:hideMark/>
          </w:tcPr>
          <w:p w14:paraId="7329E0D0" w14:textId="77777777" w:rsidR="00CA7430" w:rsidRPr="00CA7430" w:rsidRDefault="00CA7430" w:rsidP="00CA7430">
            <w:pPr>
              <w:spacing w:before="100" w:beforeAutospacing="1" w:after="100" w:afterAutospacing="1"/>
              <w:jc w:val="center"/>
              <w:rPr>
                <w:rFonts w:ascii="Times New Roman" w:eastAsia="Times New Roman" w:hAnsi="Times New Roman" w:cs="Times New Roman"/>
                <w:b/>
                <w:bCs/>
                <w:kern w:val="0"/>
                <w:lang w:eastAsia="en-GB"/>
                <w14:ligatures w14:val="none"/>
              </w:rPr>
            </w:pPr>
            <w:r w:rsidRPr="00CA7430">
              <w:rPr>
                <w:rFonts w:ascii="Times New Roman" w:eastAsia="Times New Roman" w:hAnsi="Times New Roman" w:cs="Times New Roman"/>
                <w:b/>
                <w:bCs/>
                <w:kern w:val="0"/>
                <w:lang w:eastAsia="en-GB"/>
                <w14:ligatures w14:val="none"/>
              </w:rPr>
              <w:t>My project</w:t>
            </w:r>
          </w:p>
        </w:tc>
      </w:tr>
      <w:tr w:rsidR="00CA7430" w:rsidRPr="00CA7430" w14:paraId="5C61FE2E" w14:textId="77777777">
        <w:trPr>
          <w:tblCellSpacing w:w="15" w:type="dxa"/>
        </w:trPr>
        <w:tc>
          <w:tcPr>
            <w:tcW w:w="0" w:type="auto"/>
            <w:vAlign w:val="center"/>
            <w:hideMark/>
          </w:tcPr>
          <w:p w14:paraId="7DB93CE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Method</w:t>
            </w:r>
          </w:p>
        </w:tc>
        <w:tc>
          <w:tcPr>
            <w:tcW w:w="0" w:type="auto"/>
            <w:vAlign w:val="center"/>
            <w:hideMark/>
          </w:tcPr>
          <w:p w14:paraId="4661809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Keyword dictionary</w:t>
            </w:r>
          </w:p>
        </w:tc>
        <w:tc>
          <w:tcPr>
            <w:tcW w:w="0" w:type="auto"/>
            <w:vAlign w:val="center"/>
            <w:hideMark/>
          </w:tcPr>
          <w:p w14:paraId="258E2C0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GPT-4o mini, 0–1 score</w:t>
            </w:r>
          </w:p>
        </w:tc>
        <w:tc>
          <w:tcPr>
            <w:tcW w:w="0" w:type="auto"/>
            <w:vAlign w:val="center"/>
            <w:hideMark/>
          </w:tcPr>
          <w:p w14:paraId="5A3C7504"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GPT-class LLM, 0–1 score</w:t>
            </w:r>
          </w:p>
        </w:tc>
      </w:tr>
      <w:tr w:rsidR="00CA7430" w:rsidRPr="00CA7430" w14:paraId="3E26B217" w14:textId="77777777">
        <w:trPr>
          <w:tblCellSpacing w:w="15" w:type="dxa"/>
        </w:trPr>
        <w:tc>
          <w:tcPr>
            <w:tcW w:w="0" w:type="auto"/>
            <w:vAlign w:val="center"/>
            <w:hideMark/>
          </w:tcPr>
          <w:p w14:paraId="366121D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Sources</w:t>
            </w:r>
          </w:p>
        </w:tc>
        <w:tc>
          <w:tcPr>
            <w:tcW w:w="0" w:type="auto"/>
            <w:vAlign w:val="center"/>
            <w:hideMark/>
          </w:tcPr>
          <w:p w14:paraId="475C5454"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10 US/UK/Canada papers</w:t>
            </w:r>
          </w:p>
        </w:tc>
        <w:tc>
          <w:tcPr>
            <w:tcW w:w="0" w:type="auto"/>
            <w:vAlign w:val="center"/>
            <w:hideMark/>
          </w:tcPr>
          <w:p w14:paraId="3C1BF3D5"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3 US papers</w:t>
            </w:r>
          </w:p>
        </w:tc>
        <w:tc>
          <w:tcPr>
            <w:tcW w:w="0" w:type="auto"/>
            <w:vAlign w:val="center"/>
            <w:hideMark/>
          </w:tcPr>
          <w:p w14:paraId="1765F9A3"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GDELT (global)</w:t>
            </w:r>
          </w:p>
        </w:tc>
      </w:tr>
      <w:tr w:rsidR="00CA7430" w:rsidRPr="00CA7430" w14:paraId="1BB59369" w14:textId="77777777">
        <w:trPr>
          <w:tblCellSpacing w:w="15" w:type="dxa"/>
        </w:trPr>
        <w:tc>
          <w:tcPr>
            <w:tcW w:w="0" w:type="auto"/>
            <w:vAlign w:val="center"/>
            <w:hideMark/>
          </w:tcPr>
          <w:p w14:paraId="6D8AE7F5"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Output</w:t>
            </w:r>
          </w:p>
        </w:tc>
        <w:tc>
          <w:tcPr>
            <w:tcW w:w="0" w:type="auto"/>
            <w:vAlign w:val="center"/>
            <w:hideMark/>
          </w:tcPr>
          <w:p w14:paraId="04F1866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Yes/no article count</w:t>
            </w:r>
          </w:p>
        </w:tc>
        <w:tc>
          <w:tcPr>
            <w:tcW w:w="0" w:type="auto"/>
            <w:vAlign w:val="center"/>
            <w:hideMark/>
          </w:tcPr>
          <w:p w14:paraId="40BE2CE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Severity-weighted share</w:t>
            </w:r>
          </w:p>
        </w:tc>
        <w:tc>
          <w:tcPr>
            <w:tcW w:w="0" w:type="auto"/>
            <w:vAlign w:val="center"/>
            <w:hideMark/>
          </w:tcPr>
          <w:p w14:paraId="5ACD940D"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Per-producer, per-chokepoint oil scores</w:t>
            </w:r>
          </w:p>
        </w:tc>
      </w:tr>
      <w:tr w:rsidR="00CA7430" w:rsidRPr="00CA7430" w14:paraId="6BAA78C2" w14:textId="77777777">
        <w:trPr>
          <w:tblCellSpacing w:w="15" w:type="dxa"/>
        </w:trPr>
        <w:tc>
          <w:tcPr>
            <w:tcW w:w="0" w:type="auto"/>
            <w:vAlign w:val="center"/>
            <w:hideMark/>
          </w:tcPr>
          <w:p w14:paraId="1FE4F11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Oil-specific?</w:t>
            </w:r>
          </w:p>
        </w:tc>
        <w:tc>
          <w:tcPr>
            <w:tcW w:w="0" w:type="auto"/>
            <w:vAlign w:val="center"/>
            <w:hideMark/>
          </w:tcPr>
          <w:p w14:paraId="2D0115C8"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No</w:t>
            </w:r>
          </w:p>
        </w:tc>
        <w:tc>
          <w:tcPr>
            <w:tcW w:w="0" w:type="auto"/>
            <w:vAlign w:val="center"/>
            <w:hideMark/>
          </w:tcPr>
          <w:p w14:paraId="1DAD761F"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Regional Oil GPR</w:t>
            </w:r>
          </w:p>
        </w:tc>
        <w:tc>
          <w:tcPr>
            <w:tcW w:w="0" w:type="auto"/>
            <w:vAlign w:val="center"/>
            <w:hideMark/>
          </w:tcPr>
          <w:p w14:paraId="22993C49"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Yes, by producer and chokepoint</w:t>
            </w:r>
          </w:p>
        </w:tc>
      </w:tr>
      <w:tr w:rsidR="00CA7430" w:rsidRPr="00CA7430" w14:paraId="2CBFCC56" w14:textId="77777777">
        <w:trPr>
          <w:tblCellSpacing w:w="15" w:type="dxa"/>
        </w:trPr>
        <w:tc>
          <w:tcPr>
            <w:tcW w:w="0" w:type="auto"/>
            <w:vAlign w:val="center"/>
            <w:hideMark/>
          </w:tcPr>
          <w:p w14:paraId="05E7AC2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Goal</w:t>
            </w:r>
          </w:p>
        </w:tc>
        <w:tc>
          <w:tcPr>
            <w:tcW w:w="0" w:type="auto"/>
            <w:vAlign w:val="center"/>
            <w:hideMark/>
          </w:tcPr>
          <w:p w14:paraId="23C52460"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Explain macro effects</w:t>
            </w:r>
          </w:p>
        </w:tc>
        <w:tc>
          <w:tcPr>
            <w:tcW w:w="0" w:type="auto"/>
            <w:vAlign w:val="center"/>
            <w:hideMark/>
          </w:tcPr>
          <w:p w14:paraId="5D112B2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Measure risk + explain</w:t>
            </w:r>
          </w:p>
        </w:tc>
        <w:tc>
          <w:tcPr>
            <w:tcW w:w="0" w:type="auto"/>
            <w:vAlign w:val="center"/>
            <w:hideMark/>
          </w:tcPr>
          <w:p w14:paraId="76B22EF1"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Forecast weekly Brent direction</w:t>
            </w:r>
          </w:p>
        </w:tc>
      </w:tr>
      <w:tr w:rsidR="00CA7430" w:rsidRPr="00CA7430" w14:paraId="1916DAF2" w14:textId="77777777">
        <w:trPr>
          <w:tblCellSpacing w:w="15" w:type="dxa"/>
        </w:trPr>
        <w:tc>
          <w:tcPr>
            <w:tcW w:w="0" w:type="auto"/>
            <w:vAlign w:val="center"/>
            <w:hideMark/>
          </w:tcPr>
          <w:p w14:paraId="550ED196"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lastRenderedPageBreak/>
              <w:t>Evaluation</w:t>
            </w:r>
          </w:p>
        </w:tc>
        <w:tc>
          <w:tcPr>
            <w:tcW w:w="0" w:type="auto"/>
            <w:vAlign w:val="center"/>
            <w:hideMark/>
          </w:tcPr>
          <w:p w14:paraId="348B593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In-sample VAR, panels</w:t>
            </w:r>
          </w:p>
        </w:tc>
        <w:tc>
          <w:tcPr>
            <w:tcW w:w="0" w:type="auto"/>
            <w:vAlign w:val="center"/>
            <w:hideMark/>
          </w:tcPr>
          <w:p w14:paraId="60EB224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In-sample regressions, VAR</w:t>
            </w:r>
          </w:p>
        </w:tc>
        <w:tc>
          <w:tcPr>
            <w:tcW w:w="0" w:type="auto"/>
            <w:vAlign w:val="center"/>
            <w:hideMark/>
          </w:tcPr>
          <w:p w14:paraId="378F8CBC"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Walk-forward, out-of-sample, DM test</w:t>
            </w:r>
          </w:p>
        </w:tc>
      </w:tr>
    </w:tbl>
    <w:p w14:paraId="1CDA36CE"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Five things to take into my project:</w:t>
      </w:r>
    </w:p>
    <w:p w14:paraId="7A753BD9" w14:textId="77777777" w:rsidR="00CA7430" w:rsidRPr="00CA7430" w:rsidRDefault="00CA7430" w:rsidP="00CA74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Lead argument for my lit review:</w:t>
      </w:r>
      <w:r w:rsidRPr="00CA7430">
        <w:rPr>
          <w:rFonts w:ascii="Times New Roman" w:eastAsia="Times New Roman" w:hAnsi="Times New Roman" w:cs="Times New Roman"/>
          <w:kern w:val="0"/>
          <w:lang w:eastAsia="en-GB"/>
          <w14:ligatures w14:val="none"/>
        </w:rPr>
        <w:t xml:space="preserve"> general GPR shocks </w:t>
      </w:r>
      <w:r w:rsidRPr="00CA7430">
        <w:rPr>
          <w:rFonts w:ascii="Times New Roman" w:eastAsia="Times New Roman" w:hAnsi="Times New Roman" w:cs="Times New Roman"/>
          <w:i/>
          <w:iCs/>
          <w:kern w:val="0"/>
          <w:lang w:eastAsia="en-GB"/>
          <w14:ligatures w14:val="none"/>
        </w:rPr>
        <w:t>lower</w:t>
      </w:r>
      <w:r w:rsidRPr="00CA7430">
        <w:rPr>
          <w:rFonts w:ascii="Times New Roman" w:eastAsia="Times New Roman" w:hAnsi="Times New Roman" w:cs="Times New Roman"/>
          <w:kern w:val="0"/>
          <w:lang w:eastAsia="en-GB"/>
          <w14:ligatures w14:val="none"/>
        </w:rPr>
        <w:t xml:space="preserve"> oil prices (III.A), while oil-supply GPR shocks </w:t>
      </w:r>
      <w:r w:rsidRPr="00CA7430">
        <w:rPr>
          <w:rFonts w:ascii="Times New Roman" w:eastAsia="Times New Roman" w:hAnsi="Times New Roman" w:cs="Times New Roman"/>
          <w:i/>
          <w:iCs/>
          <w:kern w:val="0"/>
          <w:lang w:eastAsia="en-GB"/>
          <w14:ligatures w14:val="none"/>
        </w:rPr>
        <w:t>raise</w:t>
      </w:r>
      <w:r w:rsidRPr="00CA7430">
        <w:rPr>
          <w:rFonts w:ascii="Times New Roman" w:eastAsia="Times New Roman" w:hAnsi="Times New Roman" w:cs="Times New Roman"/>
          <w:kern w:val="0"/>
          <w:lang w:eastAsia="en-GB"/>
          <w14:ligatures w14:val="none"/>
        </w:rPr>
        <w:t xml:space="preserve"> them (AI-GPR 6.2). General risk mixes demand and supply effects — that's why oil-supply-specific scores are needed.</w:t>
      </w:r>
    </w:p>
    <w:p w14:paraId="7E85EAD1" w14:textId="77777777" w:rsidR="00CA7430" w:rsidRPr="00CA7430" w:rsidRDefault="00CA7430" w:rsidP="00CA74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Run a Granger test both ways:</w:t>
      </w:r>
      <w:r w:rsidRPr="00CA7430">
        <w:rPr>
          <w:rFonts w:ascii="Times New Roman" w:eastAsia="Times New Roman" w:hAnsi="Times New Roman" w:cs="Times New Roman"/>
          <w:kern w:val="0"/>
          <w:lang w:eastAsia="en-GB"/>
          <w14:ligatures w14:val="none"/>
        </w:rPr>
        <w:t xml:space="preserve"> does Brent Granger-cause my scores? If not, the scores add outside information (II.B).</w:t>
      </w:r>
    </w:p>
    <w:p w14:paraId="728E3ED8" w14:textId="77777777" w:rsidR="00CA7430" w:rsidRPr="00CA7430" w:rsidRDefault="00CA7430" w:rsidP="00CA74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Keyword-only baseline per producer:</w:t>
      </w:r>
      <w:r w:rsidRPr="00CA7430">
        <w:rPr>
          <w:rFonts w:ascii="Times New Roman" w:eastAsia="Times New Roman" w:hAnsi="Times New Roman" w:cs="Times New Roman"/>
          <w:kern w:val="0"/>
          <w:lang w:eastAsia="en-GB"/>
          <w14:ligatures w14:val="none"/>
        </w:rPr>
        <w:t xml:space="preserve"> use Table 1's sanction/blockade/attack words + country name or capital, with proximity search and excluded words (I.B, II.A).</w:t>
      </w:r>
    </w:p>
    <w:p w14:paraId="560DEC76" w14:textId="77777777" w:rsidR="00CA7430" w:rsidRPr="00CA7430" w:rsidRDefault="00CA7430" w:rsidP="00CA74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Prompt rule:</w:t>
      </w:r>
      <w:r w:rsidRPr="00CA7430">
        <w:rPr>
          <w:rFonts w:ascii="Times New Roman" w:eastAsia="Times New Roman" w:hAnsi="Times New Roman" w:cs="Times New Roman"/>
          <w:kern w:val="0"/>
          <w:lang w:eastAsia="en-GB"/>
          <w14:ligatures w14:val="none"/>
        </w:rPr>
        <w:t xml:space="preserve"> market "price wars" are not supply disruptions (excluded-words list, I.B).</w:t>
      </w:r>
    </w:p>
    <w:p w14:paraId="6F355EC7" w14:textId="77777777" w:rsidR="00CA7430" w:rsidRPr="00CA7430" w:rsidRDefault="00CA7430" w:rsidP="00CA7430">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Use changes or rolling z-scores, not raw levels:</w:t>
      </w:r>
      <w:r w:rsidRPr="00CA7430">
        <w:rPr>
          <w:rFonts w:ascii="Times New Roman" w:eastAsia="Times New Roman" w:hAnsi="Times New Roman" w:cs="Times New Roman"/>
          <w:kern w:val="0"/>
          <w:lang w:eastAsia="en-GB"/>
          <w14:ligatures w14:val="none"/>
        </w:rPr>
        <w:t xml:space="preserve"> news-based series have structural breaks (footnote 8).</w:t>
      </w:r>
    </w:p>
    <w:p w14:paraId="6D81F86B"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Correction to my notes:</w:t>
      </w:r>
      <w:r w:rsidRPr="00CA7430">
        <w:rPr>
          <w:rFonts w:ascii="Times New Roman" w:eastAsia="Times New Roman" w:hAnsi="Times New Roman" w:cs="Times New Roman"/>
          <w:kern w:val="0"/>
          <w:lang w:eastAsia="en-GB"/>
          <w14:ligatures w14:val="none"/>
        </w:rPr>
        <w:t xml:space="preserve"> the 8 categories here (war threats, peace threats, military buildup, nuclear threats, terrorist threats, beginning of war, escalation of war, terrorist acts) are </w:t>
      </w:r>
      <w:r w:rsidRPr="00CA7430">
        <w:rPr>
          <w:rFonts w:ascii="Times New Roman" w:eastAsia="Times New Roman" w:hAnsi="Times New Roman" w:cs="Times New Roman"/>
          <w:b/>
          <w:bCs/>
          <w:kern w:val="0"/>
          <w:lang w:eastAsia="en-GB"/>
          <w14:ligatures w14:val="none"/>
        </w:rPr>
        <w:t>keyword categories from 2022</w:t>
      </w:r>
      <w:r w:rsidRPr="00CA7430">
        <w:rPr>
          <w:rFonts w:ascii="Times New Roman" w:eastAsia="Times New Roman" w:hAnsi="Times New Roman" w:cs="Times New Roman"/>
          <w:kern w:val="0"/>
          <w:lang w:eastAsia="en-GB"/>
          <w14:ligatures w14:val="none"/>
        </w:rPr>
        <w:t>. Don't confuse them with the 8 AI-GPR event types.</w:t>
      </w:r>
    </w:p>
    <w:p w14:paraId="2E2411F0"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Be careful with this claim:</w:t>
      </w:r>
      <w:r w:rsidRPr="00CA7430">
        <w:rPr>
          <w:rFonts w:ascii="Times New Roman" w:eastAsia="Times New Roman" w:hAnsi="Times New Roman" w:cs="Times New Roman"/>
          <w:kern w:val="0"/>
          <w:lang w:eastAsia="en-GB"/>
          <w14:ligatures w14:val="none"/>
        </w:rPr>
        <w:t xml:space="preserve"> US and non-US newspapers' GPR correlate 0.88 (II.C). So don't overstate "US bias" as GDELT's advantage. Better framing: GDELT gives </w:t>
      </w:r>
      <w:r w:rsidRPr="00CA7430">
        <w:rPr>
          <w:rFonts w:ascii="Times New Roman" w:eastAsia="Times New Roman" w:hAnsi="Times New Roman" w:cs="Times New Roman"/>
          <w:b/>
          <w:bCs/>
          <w:kern w:val="0"/>
          <w:lang w:eastAsia="en-GB"/>
          <w14:ligatures w14:val="none"/>
        </w:rPr>
        <w:t>broader and more local coverage of producer countries</w:t>
      </w:r>
      <w:r w:rsidRPr="00CA7430">
        <w:rPr>
          <w:rFonts w:ascii="Times New Roman" w:eastAsia="Times New Roman" w:hAnsi="Times New Roman" w:cs="Times New Roman"/>
          <w:kern w:val="0"/>
          <w:lang w:eastAsia="en-GB"/>
          <w14:ligatures w14:val="none"/>
        </w:rPr>
        <w:t>, which matters more for per-country scores than for a global index.</w:t>
      </w:r>
    </w:p>
    <w:p w14:paraId="38D101C6"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Must-cite lines (shortlist):</w:t>
      </w:r>
    </w:p>
    <w:p w14:paraId="453DDDC0" w14:textId="77777777" w:rsidR="00CA7430" w:rsidRPr="00CA7430" w:rsidRDefault="00CA7430" w:rsidP="00CA74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The definition (I.A)</w:t>
      </w:r>
    </w:p>
    <w:p w14:paraId="7170D9E6" w14:textId="77777777" w:rsidR="00CA7430" w:rsidRPr="00CA7430" w:rsidRDefault="00CA7430" w:rsidP="00CA74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 decline in stock prices and oil prices..." (III.A)</w:t>
      </w:r>
    </w:p>
    <w:p w14:paraId="116453E1" w14:textId="77777777" w:rsidR="00CA7430" w:rsidRPr="00CA7430" w:rsidRDefault="00CA7430" w:rsidP="00CA74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"...an oil company operating in Gabon" (V.A)</w:t>
      </w:r>
    </w:p>
    <w:p w14:paraId="50F293DD" w14:textId="77777777" w:rsidR="00CA7430" w:rsidRPr="00CA7430" w:rsidRDefault="00CA7430" w:rsidP="00CA74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"Macroeconomic, financial, and uncertainty developments do not Granger cause the GPR index." (II.B)</w:t>
      </w:r>
    </w:p>
    <w:p w14:paraId="051F56D0" w14:textId="77777777" w:rsidR="00CA7430" w:rsidRPr="00CA7430" w:rsidRDefault="00CA7430" w:rsidP="00CA74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Foreign-language sources as future work (VI)</w:t>
      </w:r>
    </w:p>
    <w:p w14:paraId="1E520EA8" w14:textId="77777777" w:rsidR="00CA7430" w:rsidRPr="00CA7430" w:rsidRDefault="00CA7430" w:rsidP="00CA743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kern w:val="0"/>
          <w:lang w:eastAsia="en-GB"/>
          <w14:ligatures w14:val="none"/>
        </w:rPr>
        <w:t>Footnote 26 on future risks differing from the past</w:t>
      </w:r>
    </w:p>
    <w:p w14:paraId="4D08F322" w14:textId="77777777" w:rsidR="00CA7430" w:rsidRPr="00CA7430" w:rsidRDefault="00CA7430" w:rsidP="00CA7430">
      <w:pPr>
        <w:spacing w:before="100" w:beforeAutospacing="1" w:after="100" w:afterAutospacing="1"/>
        <w:rPr>
          <w:rFonts w:ascii="Times New Roman" w:eastAsia="Times New Roman" w:hAnsi="Times New Roman" w:cs="Times New Roman"/>
          <w:kern w:val="0"/>
          <w:lang w:eastAsia="en-GB"/>
          <w14:ligatures w14:val="none"/>
        </w:rPr>
      </w:pPr>
      <w:r w:rsidRPr="00CA7430">
        <w:rPr>
          <w:rFonts w:ascii="Times New Roman" w:eastAsia="Times New Roman" w:hAnsi="Times New Roman" w:cs="Times New Roman"/>
          <w:b/>
          <w:bCs/>
          <w:kern w:val="0"/>
          <w:lang w:eastAsia="en-GB"/>
          <w14:ligatures w14:val="none"/>
        </w:rPr>
        <w:t>My one-line difference from this paper:</w:t>
      </w:r>
      <w:r w:rsidRPr="00CA7430">
        <w:rPr>
          <w:rFonts w:ascii="Times New Roman" w:eastAsia="Times New Roman" w:hAnsi="Times New Roman" w:cs="Times New Roman"/>
          <w:kern w:val="0"/>
          <w:lang w:eastAsia="en-GB"/>
          <w14:ligatures w14:val="none"/>
        </w:rPr>
        <w:t xml:space="preserve"> Caldara &amp; Iacoviello count keyword articles to </w:t>
      </w:r>
      <w:r w:rsidRPr="00CA7430">
        <w:rPr>
          <w:rFonts w:ascii="Times New Roman" w:eastAsia="Times New Roman" w:hAnsi="Times New Roman" w:cs="Times New Roman"/>
          <w:i/>
          <w:iCs/>
          <w:kern w:val="0"/>
          <w:lang w:eastAsia="en-GB"/>
          <w14:ligatures w14:val="none"/>
        </w:rPr>
        <w:t>explain</w:t>
      </w:r>
      <w:r w:rsidRPr="00CA7430">
        <w:rPr>
          <w:rFonts w:ascii="Times New Roman" w:eastAsia="Times New Roman" w:hAnsi="Times New Roman" w:cs="Times New Roman"/>
          <w:kern w:val="0"/>
          <w:lang w:eastAsia="en-GB"/>
          <w14:ligatures w14:val="none"/>
        </w:rPr>
        <w:t xml:space="preserve"> how general geopolitical risk affects the macroeconomy; my project uses LLM scores of oil-supply </w:t>
      </w:r>
      <w:proofErr w:type="gramStart"/>
      <w:r w:rsidRPr="00CA7430">
        <w:rPr>
          <w:rFonts w:ascii="Times New Roman" w:eastAsia="Times New Roman" w:hAnsi="Times New Roman" w:cs="Times New Roman"/>
          <w:kern w:val="0"/>
          <w:lang w:eastAsia="en-GB"/>
          <w14:ligatures w14:val="none"/>
        </w:rPr>
        <w:t>risk</w:t>
      </w:r>
      <w:proofErr w:type="gramEnd"/>
      <w:r w:rsidRPr="00CA7430">
        <w:rPr>
          <w:rFonts w:ascii="Times New Roman" w:eastAsia="Times New Roman" w:hAnsi="Times New Roman" w:cs="Times New Roman"/>
          <w:kern w:val="0"/>
          <w:lang w:eastAsia="en-GB"/>
          <w14:ligatures w14:val="none"/>
        </w:rPr>
        <w:t xml:space="preserve"> per producer and chokepoint to </w:t>
      </w:r>
      <w:r w:rsidRPr="00CA7430">
        <w:rPr>
          <w:rFonts w:ascii="Times New Roman" w:eastAsia="Times New Roman" w:hAnsi="Times New Roman" w:cs="Times New Roman"/>
          <w:i/>
          <w:iCs/>
          <w:kern w:val="0"/>
          <w:lang w:eastAsia="en-GB"/>
          <w14:ligatures w14:val="none"/>
        </w:rPr>
        <w:t>forecast</w:t>
      </w:r>
      <w:r w:rsidRPr="00CA7430">
        <w:rPr>
          <w:rFonts w:ascii="Times New Roman" w:eastAsia="Times New Roman" w:hAnsi="Times New Roman" w:cs="Times New Roman"/>
          <w:kern w:val="0"/>
          <w:lang w:eastAsia="en-GB"/>
          <w14:ligatures w14:val="none"/>
        </w:rPr>
        <w:t xml:space="preserve"> weekly Brent direction out-of-sample.</w:t>
      </w:r>
    </w:p>
    <w:p w14:paraId="22981D15" w14:textId="77777777" w:rsidR="002A33A0" w:rsidRDefault="002A33A0"/>
    <w:sectPr w:rsidR="002A3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1091D"/>
    <w:multiLevelType w:val="multilevel"/>
    <w:tmpl w:val="8D0E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70930"/>
    <w:multiLevelType w:val="multilevel"/>
    <w:tmpl w:val="4546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8568A"/>
    <w:multiLevelType w:val="multilevel"/>
    <w:tmpl w:val="7D66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87DC9"/>
    <w:multiLevelType w:val="multilevel"/>
    <w:tmpl w:val="B796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8308D"/>
    <w:multiLevelType w:val="multilevel"/>
    <w:tmpl w:val="BAB0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432AA"/>
    <w:multiLevelType w:val="multilevel"/>
    <w:tmpl w:val="D7D2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4E03CC"/>
    <w:multiLevelType w:val="multilevel"/>
    <w:tmpl w:val="BEA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77DDA"/>
    <w:multiLevelType w:val="multilevel"/>
    <w:tmpl w:val="E496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5D57BC"/>
    <w:multiLevelType w:val="multilevel"/>
    <w:tmpl w:val="0F1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231C2"/>
    <w:multiLevelType w:val="multilevel"/>
    <w:tmpl w:val="269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75334"/>
    <w:multiLevelType w:val="multilevel"/>
    <w:tmpl w:val="54BE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8A3689"/>
    <w:multiLevelType w:val="multilevel"/>
    <w:tmpl w:val="DB00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C76DD6"/>
    <w:multiLevelType w:val="multilevel"/>
    <w:tmpl w:val="0040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812C63"/>
    <w:multiLevelType w:val="multilevel"/>
    <w:tmpl w:val="1692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430839">
    <w:abstractNumId w:val="11"/>
  </w:num>
  <w:num w:numId="2" w16cid:durableId="15161832">
    <w:abstractNumId w:val="10"/>
  </w:num>
  <w:num w:numId="3" w16cid:durableId="1120419399">
    <w:abstractNumId w:val="4"/>
  </w:num>
  <w:num w:numId="4" w16cid:durableId="1560243773">
    <w:abstractNumId w:val="6"/>
  </w:num>
  <w:num w:numId="5" w16cid:durableId="1589700">
    <w:abstractNumId w:val="12"/>
  </w:num>
  <w:num w:numId="6" w16cid:durableId="878737905">
    <w:abstractNumId w:val="3"/>
  </w:num>
  <w:num w:numId="7" w16cid:durableId="1394354416">
    <w:abstractNumId w:val="8"/>
  </w:num>
  <w:num w:numId="8" w16cid:durableId="1976982450">
    <w:abstractNumId w:val="2"/>
  </w:num>
  <w:num w:numId="9" w16cid:durableId="955481876">
    <w:abstractNumId w:val="0"/>
  </w:num>
  <w:num w:numId="10" w16cid:durableId="741368668">
    <w:abstractNumId w:val="9"/>
  </w:num>
  <w:num w:numId="11" w16cid:durableId="1855800466">
    <w:abstractNumId w:val="1"/>
  </w:num>
  <w:num w:numId="12" w16cid:durableId="2100635576">
    <w:abstractNumId w:val="7"/>
  </w:num>
  <w:num w:numId="13" w16cid:durableId="1039401332">
    <w:abstractNumId w:val="5"/>
  </w:num>
  <w:num w:numId="14" w16cid:durableId="188864121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30"/>
    <w:rsid w:val="002A33A0"/>
    <w:rsid w:val="00742388"/>
    <w:rsid w:val="00993BD5"/>
    <w:rsid w:val="00B54289"/>
    <w:rsid w:val="00CA7430"/>
    <w:rsid w:val="00ED23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B07EC85"/>
  <w15:chartTrackingRefBased/>
  <w15:docId w15:val="{2573569D-044D-3F46-ABEE-0F9379BD5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7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4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4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4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4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7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430"/>
    <w:rPr>
      <w:rFonts w:eastAsiaTheme="majorEastAsia" w:cstheme="majorBidi"/>
      <w:color w:val="272727" w:themeColor="text1" w:themeTint="D8"/>
    </w:rPr>
  </w:style>
  <w:style w:type="paragraph" w:styleId="Title">
    <w:name w:val="Title"/>
    <w:basedOn w:val="Normal"/>
    <w:next w:val="Normal"/>
    <w:link w:val="TitleChar"/>
    <w:uiPriority w:val="10"/>
    <w:qFormat/>
    <w:rsid w:val="00CA74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4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4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7430"/>
    <w:rPr>
      <w:i/>
      <w:iCs/>
      <w:color w:val="404040" w:themeColor="text1" w:themeTint="BF"/>
    </w:rPr>
  </w:style>
  <w:style w:type="paragraph" w:styleId="ListParagraph">
    <w:name w:val="List Paragraph"/>
    <w:basedOn w:val="Normal"/>
    <w:uiPriority w:val="34"/>
    <w:qFormat/>
    <w:rsid w:val="00CA7430"/>
    <w:pPr>
      <w:ind w:left="720"/>
      <w:contextualSpacing/>
    </w:pPr>
  </w:style>
  <w:style w:type="character" w:styleId="IntenseEmphasis">
    <w:name w:val="Intense Emphasis"/>
    <w:basedOn w:val="DefaultParagraphFont"/>
    <w:uiPriority w:val="21"/>
    <w:qFormat/>
    <w:rsid w:val="00CA7430"/>
    <w:rPr>
      <w:i/>
      <w:iCs/>
      <w:color w:val="0F4761" w:themeColor="accent1" w:themeShade="BF"/>
    </w:rPr>
  </w:style>
  <w:style w:type="paragraph" w:styleId="IntenseQuote">
    <w:name w:val="Intense Quote"/>
    <w:basedOn w:val="Normal"/>
    <w:next w:val="Normal"/>
    <w:link w:val="IntenseQuoteChar"/>
    <w:uiPriority w:val="30"/>
    <w:qFormat/>
    <w:rsid w:val="00CA7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430"/>
    <w:rPr>
      <w:i/>
      <w:iCs/>
      <w:color w:val="0F4761" w:themeColor="accent1" w:themeShade="BF"/>
    </w:rPr>
  </w:style>
  <w:style w:type="character" w:styleId="IntenseReference">
    <w:name w:val="Intense Reference"/>
    <w:basedOn w:val="DefaultParagraphFont"/>
    <w:uiPriority w:val="32"/>
    <w:qFormat/>
    <w:rsid w:val="00CA7430"/>
    <w:rPr>
      <w:b/>
      <w:bCs/>
      <w:smallCaps/>
      <w:color w:val="0F4761" w:themeColor="accent1" w:themeShade="BF"/>
      <w:spacing w:val="5"/>
    </w:rPr>
  </w:style>
  <w:style w:type="paragraph" w:styleId="NormalWeb">
    <w:name w:val="Normal (Web)"/>
    <w:basedOn w:val="Normal"/>
    <w:uiPriority w:val="99"/>
    <w:semiHidden/>
    <w:unhideWhenUsed/>
    <w:rsid w:val="00CA7430"/>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ldoc-mention">
    <w:name w:val="ldoc-mention"/>
    <w:basedOn w:val="DefaultParagraphFont"/>
    <w:rsid w:val="00CA7430"/>
  </w:style>
  <w:style w:type="character" w:styleId="Strong">
    <w:name w:val="Strong"/>
    <w:basedOn w:val="DefaultParagraphFont"/>
    <w:uiPriority w:val="22"/>
    <w:qFormat/>
    <w:rsid w:val="00CA7430"/>
    <w:rPr>
      <w:b/>
      <w:bCs/>
    </w:rPr>
  </w:style>
  <w:style w:type="character" w:styleId="Emphasis">
    <w:name w:val="Emphasis"/>
    <w:basedOn w:val="DefaultParagraphFont"/>
    <w:uiPriority w:val="20"/>
    <w:qFormat/>
    <w:rsid w:val="00CA74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3503</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AMERIBRAMIZADEH, ALI (Student)</dc:creator>
  <cp:keywords/>
  <dc:description/>
  <cp:lastModifiedBy>AMERIBRAMIZADEH, ALI (Student)</cp:lastModifiedBy>
  <cp:revision>2</cp:revision>
  <dcterms:created xsi:type="dcterms:W3CDTF">2026-10-19T14:27:00Z</dcterms:created>
  <dcterms:modified xsi:type="dcterms:W3CDTF">2026-10-19T14:46:00Z</dcterms:modified>
</cp:coreProperties>
</file>