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Kilian (2009) — Paper Notes</w:t>
      </w:r>
    </w:p>
    <w:p>
      <w:pPr>
        <w:spacing w:after="120"/>
      </w:pPr>
      <w:r>
        <w:t xml:space="preserve">Notes on “Not All Oil Price Shocks Are Alike: Disentangling Demand and Supply Shocks in the Crude Oil Market”. What it says, what it means for my oil signal, where it falls short, and the exact lines to quote.</w:t>
      </w:r>
    </w:p>
    <w:p>
      <w:pPr>
        <w:spacing w:after="120"/>
      </w:pPr>
      <w:r>
        <w:t xml:space="preserve">22 October 2026 · Ali</w:t>
      </w:r>
    </w:p>
    <w:p>
      <w:pPr>
        <w:pStyle w:val="Heading3"/>
      </w:pPr>
      <w:r>
        <w:t xml:space="preserve">Reference</w:t>
      </w:r>
    </w:p>
    <w:p>
      <w:pPr>
        <w:spacing w:after="120"/>
      </w:pPr>
      <w:r>
        <w:rPr>
          <w:b/>
          <w:bCs/>
        </w:rPr>
        <w:t xml:space="preserve">Harvard:</w:t>
      </w:r>
      <w:r>
        <w:t xml:space="preserve"> Kilian, L. (2009) ‘Not all oil price shocks are alike: disentangling demand and supply shocks in the crude oil market’, American Economic Review, 99(3), pp. 1053–1069. doi:10.1257/aer.99.3.1053.</w:t>
      </w:r>
    </w:p>
    <w:p>
      <w:pPr>
        <w:spacing w:after="120"/>
      </w:pPr>
      <w:r>
        <w:rPr>
          <w:b/>
          <w:bCs/>
        </w:rPr>
        <w:t xml:space="preserve">IEEE:</w:t>
      </w:r>
      <w:r>
        <w:t xml:space="preserve"> L. Kilian, “Not all oil price shocks are alike: Disentangling demand and supply shocks in the crude oil market,” American Economic Review, vol. 99, no. 3, pp. 1053–1069, 2009.</w:t>
      </w:r>
    </w:p>
    <w:p>
      <w:pPr>
        <w:pStyle w:val="Heading3"/>
      </w:pPr>
      <w:r>
        <w:t xml:space="preserve">How to use these notes</w:t>
      </w:r>
    </w:p>
    <w:p>
      <w:pPr>
        <w:pStyle w:val="ListParagraph"/>
        <w:numPr>
          <w:ilvl w:val="0"/>
          <w:numId w:val="2"/>
        </w:numPr>
        <w:spacing w:after="60"/>
      </w:pPr>
      <w:r>
        <w:t xml:space="preserve">The paper uses Roman-numeral sections: an unnumbered introduction, then </w:t>
      </w:r>
      <w:r>
        <w:rPr>
          <w:b/>
          <w:bCs/>
        </w:rPr>
        <w:t xml:space="preserve">I–IV</w:t>
      </w:r>
      <w:r>
        <w:t xml:space="preserve">, with lettered subsections (e.g. II.B) and italic run-in headings inside them (e.g. “Sensitivity Analysis”). I use those labels.</w:t>
      </w:r>
    </w:p>
    <w:p>
      <w:pPr>
        <w:pStyle w:val="ListParagraph"/>
        <w:numPr>
          <w:ilvl w:val="0"/>
          <w:numId w:val="2"/>
        </w:numPr>
        <w:spacing w:after="60"/>
      </w:pPr>
      <w:r>
        <w:t xml:space="preserve">Page numbers are the </w:t>
      </w:r>
      <w:r>
        <w:rPr>
          <w:b/>
          <w:bCs/>
        </w:rPr>
        <w:t xml:space="preserve">real journal pages (1053–1069)</w:t>
      </w:r>
      <w:r>
        <w:t xml:space="preserve">. My PDF is the published AER version, so they can be cited as they are.</w:t>
      </w:r>
    </w:p>
    <w:p>
      <w:pPr>
        <w:pStyle w:val="ListParagraph"/>
        <w:numPr>
          <w:ilvl w:val="0"/>
          <w:numId w:val="2"/>
        </w:numPr>
        <w:spacing w:after="60"/>
      </w:pPr>
      <w:r>
        <w:t xml:space="preserve">Each section has </w:t>
      </w:r>
      <w:r>
        <w:rPr>
          <w:b/>
          <w:bCs/>
        </w:rPr>
        <w:t xml:space="preserve">What it says</w:t>
      </w:r>
      <w:r>
        <w:t xml:space="preserve">, </w:t>
      </w:r>
      <w:r>
        <w:rPr>
          <w:b/>
          <w:bCs/>
        </w:rPr>
        <w:t xml:space="preserve">What it means for my project</w:t>
      </w:r>
      <w:r>
        <w:t xml:space="preserve">, and </w:t>
      </w:r>
      <w:r>
        <w:rPr>
          <w:b/>
          <w:bCs/>
        </w:rPr>
        <w:t xml:space="preserve">Lines to quote</w:t>
      </w:r>
      <w:r>
        <w:t xml:space="preserve">. Quotes are word-for-word. ★ = must-cite.</w:t>
      </w:r>
    </w:p>
    <w:p>
      <w:pPr>
        <w:pStyle w:val="ListParagraph"/>
        <w:numPr>
          <w:ilvl w:val="0"/>
          <w:numId w:val="2"/>
        </w:numPr>
        <w:spacing w:after="60"/>
      </w:pPr>
      <w:r>
        <w:t xml:space="preserve">Orange boxes are problems, limits, or things I need to be careful about.</w:t>
      </w:r>
    </w:p>
    <w:p>
      <w:pPr>
        <w:pStyle w:val="ListParagraph"/>
        <w:numPr>
          <w:ilvl w:val="0"/>
          <w:numId w:val="2"/>
        </w:numPr>
        <w:spacing w:after="60"/>
      </w:pPr>
      <w:r>
        <w:t xml:space="preserve">Where I suggest something that isn't in the paper (feature groupings, leakage checks, follow-up papers), I say so.</w:t>
      </w:r>
    </w:p>
    <w:p>
      <w:pPr>
        <w:pBdr>
          <w:left w:val="single" w:color="C55A11" w:sz="18" w:space="8"/>
        </w:pBdr>
        <w:shd w:fill="FDF3E7" w:color="auto" w:val="clear"/>
        <w:spacing w:after="120" w:before="100"/>
        <w:ind w:left="360"/>
      </w:pPr>
      <w:r>
        <w:rPr>
          <w:b/>
          <w:bCs/>
        </w:rPr>
        <w:t xml:space="preserve">Why this paper matters:</w:t>
      </w:r>
      <w:r>
        <w:t xml:space="preserve"> it's the economic backbone of my project. Kilian splits oil price moves into three shocks: </w:t>
      </w:r>
      <w:r>
        <w:rPr>
          <w:b/>
          <w:bCs/>
        </w:rPr>
        <w:t xml:space="preserve">supply</w:t>
      </w:r>
      <w:r>
        <w:t xml:space="preserve">, </w:t>
      </w:r>
      <w:r>
        <w:rPr>
          <w:b/>
          <w:bCs/>
        </w:rPr>
        <w:t xml:space="preserve">global demand</w:t>
      </w:r>
      <w:r>
        <w:t xml:space="preserve">, and </w:t>
      </w:r>
      <w:r>
        <w:rPr>
          <w:b/>
          <w:bCs/>
        </w:rPr>
        <w:t xml:space="preserve">precautionary demand</w:t>
      </w:r>
      <w:r>
        <w:t xml:space="preserve"> (fear about future supply). His big finding is that wars and revolutions move oil mainly through </w:t>
      </w:r>
      <w:r>
        <w:rPr>
          <w:b/>
          <w:bCs/>
        </w:rPr>
        <w:t xml:space="preserve">fear, not lost barrels</w:t>
      </w:r>
      <w:r>
        <w:t xml:space="preserve">, and that this fear is </w:t>
      </w:r>
      <w:r>
        <w:rPr>
          <w:b/>
          <w:bCs/>
        </w:rPr>
        <w:t xml:space="preserve">unobservable</w:t>
      </w:r>
      <w:r>
        <w:t xml:space="preserve"> and </w:t>
      </w:r>
      <w:r>
        <w:rPr>
          <w:b/>
          <w:bCs/>
        </w:rPr>
        <w:t xml:space="preserve">non-linearly</w:t>
      </w:r>
      <w:r>
        <w:t xml:space="preserve"> related to anything you can measure. My GPT-4o mini supply-risk scores are an attempt to measure exactly that fear from news, and my tree models are non-linear. This paper is how I justify the whole Model A/B/C comparison.</w:t>
      </w:r>
    </w:p>
    <w:p>
      <w:pPr>
        <w:pStyle w:val="Heading1"/>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Kilian (2009)</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Venue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American Economic Review, one of the top five economics journals. One of the most cited papers in oil economics; the starting point for most later work, including Baumeister &amp; Kilian (2016).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Author</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Lutz Kilian, University of Michigan and CEPR.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Problem</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Studies treated oil price rises as if they came from outside the economy and were all the same. But oil prices respond to the economy, and different causes have different effects.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idea</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w:t>
            </w:r>
            <w:r>
              <w:rPr>
                <w:b w:val="false"/>
                <w:bCs w:val="false"/>
                <w:sz w:val="19"/>
                <w:szCs w:val="19"/>
              </w:rPr>
              <w:t xml:space="preserve">structural VAR</w:t>
            </w:r>
            <w:r>
              <w:rPr>
                <w:b w:val="false"/>
                <w:bCs w:val="false"/>
                <w:sz w:val="19"/>
                <w:szCs w:val="19"/>
              </w:rPr>
              <w:t xml:space="preserve"> on monthly data (1973:1–2007:12) with three variables: % change in world oil production, a </w:t>
            </w:r>
            <w:r>
              <w:rPr>
                <w:b w:val="false"/>
                <w:bCs w:val="false"/>
                <w:sz w:val="19"/>
                <w:szCs w:val="19"/>
              </w:rPr>
              <w:t xml:space="preserve">new index of global real activity built from dry cargo shipping rates</w:t>
            </w:r>
            <w:r>
              <w:rPr>
                <w:b w:val="false"/>
                <w:bCs w:val="false"/>
                <w:sz w:val="19"/>
                <w:szCs w:val="19"/>
              </w:rPr>
              <w:t xml:space="preserve">, and the real oil price. Identified with timing (“delay”) restrictions.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Three shocks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Oil supply shocks</w:t>
            </w:r>
            <w:r>
              <w:rPr>
                <w:b w:val="false"/>
                <w:bCs w:val="false"/>
                <w:sz w:val="19"/>
                <w:szCs w:val="19"/>
              </w:rPr>
              <w:t xml:space="preserve"> (physical production), </w:t>
            </w:r>
            <w:r>
              <w:rPr>
                <w:b w:val="false"/>
                <w:bCs w:val="false"/>
                <w:sz w:val="19"/>
                <w:szCs w:val="19"/>
              </w:rPr>
              <w:t xml:space="preserve">aggregate demand shocks</w:t>
            </w:r>
            <w:r>
              <w:rPr>
                <w:b w:val="false"/>
                <w:bCs w:val="false"/>
                <w:sz w:val="19"/>
                <w:szCs w:val="19"/>
              </w:rPr>
              <w:t xml:space="preserve"> (global business cycle demand for all industrial commodities), </w:t>
            </w:r>
            <w:r>
              <w:rPr>
                <w:b w:val="false"/>
                <w:bCs w:val="false"/>
                <w:sz w:val="19"/>
                <w:szCs w:val="19"/>
              </w:rPr>
              <w:t xml:space="preserve">oil-specific demand shocks</w:t>
            </w:r>
            <w:r>
              <w:rPr>
                <w:b w:val="false"/>
                <w:bCs w:val="false"/>
                <w:sz w:val="19"/>
                <w:szCs w:val="19"/>
              </w:rPr>
              <w:t xml:space="preserve"> (mainly precautionary demand: fear about future shortfalls).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Main result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Supply disruptions have a </w:t>
            </w:r>
            <w:r>
              <w:rPr>
                <w:b w:val="false"/>
                <w:bCs w:val="false"/>
                <w:sz w:val="19"/>
                <w:szCs w:val="19"/>
              </w:rPr>
              <w:t xml:space="preserve">small, short-lived</w:t>
            </w:r>
            <w:r>
              <w:rPr>
                <w:b w:val="false"/>
                <w:bCs w:val="false"/>
                <w:sz w:val="19"/>
                <w:szCs w:val="19"/>
              </w:rPr>
              <w:t xml:space="preserve"> effect on the oil price. Big price rises came mostly from </w:t>
            </w:r>
            <w:r>
              <w:rPr>
                <w:b w:val="false"/>
                <w:bCs w:val="false"/>
                <w:sz w:val="19"/>
                <w:szCs w:val="19"/>
              </w:rPr>
              <w:t xml:space="preserve">global demand</w:t>
            </w:r>
            <w:r>
              <w:rPr>
                <w:b w:val="false"/>
                <w:bCs w:val="false"/>
                <w:sz w:val="19"/>
                <w:szCs w:val="19"/>
              </w:rPr>
              <w:t xml:space="preserve"> (slow, long swings, e.g. 2002–2007) and </w:t>
            </w:r>
            <w:r>
              <w:rPr>
                <w:b w:val="false"/>
                <w:bCs w:val="false"/>
                <w:sz w:val="19"/>
                <w:szCs w:val="19"/>
              </w:rPr>
              <w:t xml:space="preserve">precautionary demand</w:t>
            </w:r>
            <w:r>
              <w:rPr>
                <w:b w:val="false"/>
                <w:bCs w:val="false"/>
                <w:sz w:val="19"/>
                <w:szCs w:val="19"/>
              </w:rPr>
              <w:t xml:space="preserve"> (sudden spikes, e.g. 1979, 1990).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Second part</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III shows the three shocks have different effects on US GDP and inflation, which explains why oil–macro regressions are unstable.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Relevance to me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Very high.</w:t>
            </w:r>
            <w:r>
              <w:rPr>
                <w:b w:val="false"/>
                <w:bCs w:val="false"/>
                <w:sz w:val="19"/>
                <w:szCs w:val="19"/>
              </w:rPr>
              <w:t xml:space="preserve"> It gives the theory for my supply-risk features, the reason news-based scores could add something prices and production data don't, a framework for grouping my features, and a lens for the 2026 Hormuz case study.</w:t>
            </w:r>
          </w:p>
        </w:tc>
      </w:tr>
    </w:tbl>
    <w:p>
      <w:pPr>
        <w:spacing w:after="120"/>
      </w:pPr>
    </w:p>
    <w:p>
      <w:pPr>
        <w:pStyle w:val="Heading1"/>
      </w:pPr>
      <w:r>
        <w:t xml:space="preserve">Introduction (unnumbered, pp. 1053–1054)</w:t>
      </w:r>
    </w:p>
    <w:p>
      <w:pPr>
        <w:spacing w:after="80" w:before="160"/>
      </w:pPr>
      <w:r>
        <w:rPr>
          <w:b/>
          <w:bCs/>
          <w:color w:val="1F4E79"/>
        </w:rPr>
        <w:t xml:space="preserve">What it says</w:t>
      </w:r>
    </w:p>
    <w:p>
      <w:pPr>
        <w:pStyle w:val="ListParagraph"/>
        <w:numPr>
          <w:ilvl w:val="0"/>
          <w:numId w:val="2"/>
        </w:numPr>
        <w:spacing w:after="60"/>
      </w:pPr>
      <w:r>
        <w:t xml:space="preserve">The usual approach asks: what happens to the economy if the oil price changes and </w:t>
      </w:r>
      <w:r>
        <w:rPr>
          <w:b/>
          <w:bCs/>
        </w:rPr>
        <w:t xml:space="preserve">nothing else</w:t>
      </w:r>
      <w:r>
        <w:t xml:space="preserve"> does? Kilian says this thought experiment isn't well defined, for two reasons:</w:t>
      </w:r>
    </w:p>
    <w:p>
      <w:pPr>
        <w:pStyle w:val="ListParagraph"/>
        <w:numPr>
          <w:ilvl w:val="1"/>
          <w:numId w:val="2"/>
        </w:numPr>
        <w:spacing w:after="60"/>
      </w:pPr>
      <w:r>
        <w:rPr>
          <w:b/>
          <w:bCs/>
        </w:rPr>
        <w:t xml:space="preserve">Reverse causality:</w:t>
      </w:r>
      <w:r>
        <w:t xml:space="preserve"> the economy itself moves the oil price.</w:t>
      </w:r>
    </w:p>
    <w:p>
      <w:pPr>
        <w:pStyle w:val="ListParagraph"/>
        <w:numPr>
          <w:ilvl w:val="1"/>
          <w:numId w:val="2"/>
        </w:numPr>
        <w:spacing w:after="60"/>
      </w:pPr>
      <w:r>
        <w:rPr>
          <w:b/>
          <w:bCs/>
        </w:rPr>
        <w:t xml:space="preserve">Different shocks:</w:t>
      </w:r>
      <w:r>
        <w:t xml:space="preserve"> the oil price is driven by distinct supply and demand shocks with different effects. Global demand shocks also hit the US economy directly, not just through the oil price.</w:t>
      </w:r>
    </w:p>
    <w:p>
      <w:pPr>
        <w:pStyle w:val="ListParagraph"/>
        <w:numPr>
          <w:ilvl w:val="0"/>
          <w:numId w:val="2"/>
        </w:numPr>
        <w:spacing w:after="60"/>
      </w:pPr>
      <w:r>
        <w:t xml:space="preserve">He proposes a structural VAR splitting the real oil price into </w:t>
      </w:r>
      <w:r>
        <w:rPr>
          <w:b/>
          <w:bCs/>
        </w:rPr>
        <w:t xml:space="preserve">three components</w:t>
      </w:r>
      <w:r>
        <w:t xml:space="preserve">: crude oil supply shocks, global demand for all industrial commodities, and oil-specific demand shocks (designed to capture </w:t>
      </w:r>
      <w:r>
        <w:rPr>
          <w:b/>
          <w:bCs/>
        </w:rPr>
        <w:t xml:space="preserve">precautionary demand</w:t>
      </w:r>
      <w:r>
        <w:t xml:space="preserve">).</w:t>
      </w:r>
    </w:p>
    <w:p>
      <w:pPr>
        <w:pStyle w:val="ListParagraph"/>
        <w:numPr>
          <w:ilvl w:val="0"/>
          <w:numId w:val="2"/>
        </w:numPr>
        <w:spacing w:after="60"/>
      </w:pPr>
      <w:r>
        <w:t xml:space="preserve">Headline effects: precautionary demand → </w:t>
      </w:r>
      <w:r>
        <w:rPr>
          <w:b/>
          <w:bCs/>
        </w:rPr>
        <w:t xml:space="preserve">immediate, persistent, large</w:t>
      </w:r>
      <w:r>
        <w:t xml:space="preserve"> price rise; aggregate demand → </w:t>
      </w:r>
      <w:r>
        <w:rPr>
          <w:b/>
          <w:bCs/>
        </w:rPr>
        <w:t xml:space="preserve">delayed but sustained</w:t>
      </w:r>
      <w:r>
        <w:t xml:space="preserve">, also large; production disruptions → </w:t>
      </w:r>
      <w:r>
        <w:rPr>
          <w:b/>
          <w:bCs/>
        </w:rPr>
        <w:t xml:space="preserve">small and transitory</w:t>
      </w:r>
      <w:r>
        <w:t xml:space="preserve">, within the first year.</w:t>
      </w:r>
    </w:p>
    <w:p>
      <w:pPr>
        <w:pStyle w:val="ListParagraph"/>
        <w:numPr>
          <w:ilvl w:val="0"/>
          <w:numId w:val="2"/>
        </w:numPr>
        <w:spacing w:after="60"/>
      </w:pPr>
      <w:r>
        <w:t xml:space="preserve">Historically, oil price shocks came mainly from </w:t>
      </w:r>
      <w:r>
        <w:rPr>
          <w:b/>
          <w:bCs/>
        </w:rPr>
        <w:t xml:space="preserve">aggregate demand and precautionary demand</w:t>
      </w:r>
      <w:r>
        <w:t xml:space="preserve">, not supply shocks “as is commonly believed”. The post-2003 surge was demand-driven; the post-1979 rise was strong demand plus a precautionary spike.</w:t>
      </w:r>
    </w:p>
    <w:p>
      <w:pPr>
        <w:pStyle w:val="ListParagraph"/>
        <w:numPr>
          <w:ilvl w:val="0"/>
          <w:numId w:val="2"/>
        </w:numPr>
        <w:spacing w:after="60"/>
      </w:pPr>
      <w:r>
        <w:t xml:space="preserve">When political events matter (Iranian Revolution, Gulf War), it's </w:t>
      </w:r>
      <w:r>
        <w:rPr>
          <w:b/>
          <w:bCs/>
        </w:rPr>
        <w:t xml:space="preserve">fear of future shortfalls</w:t>
      </w:r>
      <w:r>
        <w:t xml:space="preserve">, more than the physical disruption, that drives the price.</w:t>
      </w:r>
    </w:p>
    <w:p>
      <w:pPr>
        <w:spacing w:after="80" w:before="160"/>
      </w:pPr>
      <w:r>
        <w:rPr>
          <w:b/>
          <w:bCs/>
          <w:color w:val="1F4E79"/>
        </w:rPr>
        <w:t xml:space="preserve">What it means for my project</w:t>
      </w:r>
    </w:p>
    <w:p>
      <w:pPr>
        <w:pStyle w:val="ListParagraph"/>
        <w:numPr>
          <w:ilvl w:val="0"/>
          <w:numId w:val="2"/>
        </w:numPr>
        <w:spacing w:after="60"/>
      </w:pPr>
      <w:r>
        <w:t xml:space="preserve">This is the </w:t>
      </w:r>
      <w:r>
        <w:rPr>
          <w:b/>
          <w:bCs/>
        </w:rPr>
        <w:t xml:space="preserve">core argument for my LLM supply-risk features</w:t>
      </w:r>
      <w:r>
        <w:t xml:space="preserve">: if precautionary demand driven by fear moves prices more than actual barrels lost, then a signal built only on production and price data misses the main channel in a crisis.</w:t>
      </w:r>
    </w:p>
    <w:p>
      <w:pPr>
        <w:pStyle w:val="ListParagraph"/>
        <w:numPr>
          <w:ilvl w:val="0"/>
          <w:numId w:val="2"/>
        </w:numPr>
        <w:spacing w:after="60"/>
      </w:pPr>
      <w:r>
        <w:t xml:space="preserve">It also tells me what to expect from different feature types: fear-related features should matter for </w:t>
      </w:r>
      <w:r>
        <w:rPr>
          <w:b/>
          <w:bCs/>
        </w:rPr>
        <w:t xml:space="preserve">sudden moves</w:t>
      </w:r>
      <w:r>
        <w:t xml:space="preserve"> (good for a 5-day horizon), while global demand features should matter for </w:t>
      </w:r>
      <w:r>
        <w:rPr>
          <w:b/>
          <w:bCs/>
        </w:rPr>
        <w:t xml:space="preserve">slow trends</w:t>
      </w:r>
      <w:r>
        <w:t xml:space="preserve">.</w:t>
      </w:r>
    </w:p>
    <w:p>
      <w:pPr>
        <w:pStyle w:val="ListParagraph"/>
        <w:numPr>
          <w:ilvl w:val="0"/>
          <w:numId w:val="2"/>
        </w:numPr>
        <w:spacing w:after="60"/>
      </w:pPr>
      <w:r>
        <w:t xml:space="preserve">The Hormuz case study fits directly: a chokepoint threat is the textbook precautionary demand event.</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“Second, the price of oil (like the price of any other commodity) is driven by distinct demand and supply shocks.”</w:t>
      </w:r>
      <w:r>
        <w:rPr>
          <w:b/>
          <w:bCs/>
          <w:color w:val="1F4E79"/>
        </w:rPr>
        <w:t xml:space="preserve">  (Introduction, p. 1053)</w:t>
      </w:r>
    </w:p>
    <w:p>
      <w:pPr>
        <w:spacing w:after="140"/>
        <w:ind w:left="360"/>
      </w:pPr>
      <w:r>
        <w:rPr>
          <w:b/>
          <w:bCs/>
        </w:rPr>
        <w:t xml:space="preserve">Use it for:</w:t>
      </w:r>
      <w:r>
        <w:t xml:space="preserve"> opening the lit review on what drives oil prices.</w:t>
      </w:r>
    </w:p>
    <w:p>
      <w:pPr>
        <w:pBdr>
          <w:left w:val="single" w:color="1F4E79" w:sz="18" w:space="8"/>
        </w:pBdr>
        <w:shd w:fill="F2F6FA" w:color="auto" w:val="clear"/>
        <w:spacing w:after="40" w:before="120"/>
        <w:ind w:left="360"/>
      </w:pPr>
      <w:r>
        <w:rPr>
          <w:b/>
          <w:bCs/>
          <w:color w:val="C00000"/>
        </w:rPr>
        <w:t xml:space="preserve">★ </w:t>
      </w:r>
      <w:r>
        <w:rPr>
          <w:i/>
          <w:iCs/>
        </w:rPr>
        <w:t xml:space="preserve">“The last shock is designed to capture shifts in the price of oil driven by higher precautionary demand associated with market concerns about the availability of future oil supplies.”</w:t>
      </w:r>
      <w:r>
        <w:rPr>
          <w:b/>
          <w:bCs/>
          <w:color w:val="1F4E79"/>
        </w:rPr>
        <w:t xml:space="preserve">  (Introduction, p. 1053)</w:t>
      </w:r>
    </w:p>
    <w:p>
      <w:pPr>
        <w:spacing w:after="140"/>
        <w:ind w:left="360"/>
      </w:pPr>
      <w:r>
        <w:rPr>
          <w:b/>
          <w:bCs/>
        </w:rPr>
        <w:t xml:space="preserve">Use it for:</w:t>
      </w:r>
      <w:r>
        <w:t xml:space="preserve"> defining precautionary demand, the concept my supply-risk scores try to measure.</w:t>
      </w:r>
    </w:p>
    <w:p>
      <w:pPr>
        <w:pBdr>
          <w:left w:val="single" w:color="1F4E79" w:sz="18" w:space="8"/>
        </w:pBdr>
        <w:shd w:fill="F2F6FA" w:color="auto" w:val="clear"/>
        <w:spacing w:after="40" w:before="120"/>
        <w:ind w:left="360"/>
      </w:pPr>
      <w:r>
        <w:rPr>
          <w:b/>
          <w:bCs/>
          <w:color w:val="C00000"/>
        </w:rPr>
        <w:t xml:space="preserve">★ </w:t>
      </w:r>
      <w:r>
        <w:rPr>
          <w:i/>
          <w:iCs/>
        </w:rPr>
        <w:t xml:space="preserve">“For example, an increase in precautionary demand for crude oil causes an immediate, persistent, and large increase in the real price of crude oil; an increase in aggregate demand for all industrial commodities causes a somewhat delayed, but sustained, increase in the real price of oil that is also substantial; and crude oil production disruptions cause a small and transitory increase in the real price of oil within the first year.”</w:t>
      </w:r>
      <w:r>
        <w:rPr>
          <w:b/>
          <w:bCs/>
          <w:color w:val="1F4E79"/>
        </w:rPr>
        <w:t xml:space="preserve">  (Introduction, p. 1053)</w:t>
      </w:r>
    </w:p>
    <w:p>
      <w:pPr>
        <w:spacing w:after="140"/>
        <w:ind w:left="360"/>
      </w:pPr>
      <w:r>
        <w:rPr>
          <w:b/>
          <w:bCs/>
        </w:rPr>
        <w:t xml:space="preserve">Use it for:</w:t>
      </w:r>
      <w:r>
        <w:t xml:space="preserve"> the three shocks and their different timing. Supports using fast-moving risk features for a weekly signal.</w:t>
      </w:r>
    </w:p>
    <w:p>
      <w:pPr>
        <w:pBdr>
          <w:left w:val="single" w:color="1F4E79" w:sz="18" w:space="8"/>
        </w:pBdr>
        <w:shd w:fill="F2F6FA" w:color="auto" w:val="clear"/>
        <w:spacing w:after="40" w:before="120"/>
        <w:ind w:left="360"/>
      </w:pPr>
      <w:r>
        <w:rPr>
          <w:b/>
          <w:bCs/>
          <w:color w:val="C00000"/>
        </w:rPr>
        <w:t xml:space="preserve">★ </w:t>
      </w:r>
      <w:r>
        <w:rPr>
          <w:i/>
          <w:iCs/>
        </w:rPr>
        <w:t xml:space="preserve">“Decompositions of fluctuations in the real price of oil show that oil price shocks historically have been driven mainly by a combination of global aggregate demand shocks and precautionary demand shocks, rather than oil supply shocks, as is commonly believed.”</w:t>
      </w:r>
      <w:r>
        <w:rPr>
          <w:b/>
          <w:bCs/>
          <w:color w:val="1F4E79"/>
        </w:rPr>
        <w:t xml:space="preserve">  (Introduction, p. 1053)</w:t>
      </w:r>
    </w:p>
    <w:p>
      <w:pPr>
        <w:spacing w:after="140"/>
        <w:ind w:left="360"/>
      </w:pPr>
      <w:r>
        <w:rPr>
          <w:b/>
          <w:bCs/>
        </w:rPr>
        <w:t xml:space="preserve">Use it for:</w:t>
      </w:r>
      <w:r>
        <w:t xml:space="preserve"> the headline finding.</w:t>
      </w:r>
    </w:p>
    <w:p>
      <w:pPr>
        <w:pBdr>
          <w:left w:val="single" w:color="1F4E79" w:sz="18" w:space="8"/>
        </w:pBdr>
        <w:shd w:fill="F2F6FA" w:color="auto" w:val="clear"/>
        <w:spacing w:after="40" w:before="120"/>
        <w:ind w:left="360"/>
      </w:pPr>
      <w:r>
        <w:rPr>
          <w:b/>
          <w:bCs/>
          <w:color w:val="C00000"/>
        </w:rPr>
        <w:t xml:space="preserve">★ </w:t>
      </w:r>
      <w:r>
        <w:rPr>
          <w:i/>
          <w:iCs/>
        </w:rPr>
        <w:t xml:space="preserve">“When exogenous political events do affect oil prices, as happened after the Iranian Revolution and during the Persian Gulf War, my analysis suggests that it is less the physical supply disruptions than the increased precautionary demand for oil triggered by increased uncertainty about future oil supply shortfalls that is driving the price of oil.”</w:t>
      </w:r>
      <w:r>
        <w:rPr>
          <w:b/>
          <w:bCs/>
          <w:color w:val="1F4E79"/>
        </w:rPr>
        <w:t xml:space="preserve">  (Introduction, p. 1054)</w:t>
      </w:r>
    </w:p>
    <w:p>
      <w:pPr>
        <w:spacing w:after="140"/>
        <w:ind w:left="360"/>
      </w:pPr>
      <w:r>
        <w:rPr>
          <w:b/>
          <w:bCs/>
        </w:rPr>
        <w:t xml:space="preserve">Use it for:</w:t>
      </w:r>
      <w:r>
        <w:t xml:space="preserve"> the key line for the Hormuz case study and for why news-based risk scores should matter.</w:t>
      </w:r>
    </w:p>
    <w:p>
      <w:pPr>
        <w:pStyle w:val="Heading1"/>
      </w:pPr>
      <w:r>
        <w:t xml:space="preserve">Section I: Modeling the Global Crude Oil Market</w:t>
      </w:r>
    </w:p>
    <w:p>
      <w:pPr>
        <w:spacing w:after="80" w:before="160"/>
      </w:pPr>
      <w:r>
        <w:rPr>
          <w:b/>
          <w:bCs/>
          <w:color w:val="1F4E79"/>
        </w:rPr>
        <w:t xml:space="preserve">What it says</w:t>
      </w:r>
    </w:p>
    <w:p>
      <w:pPr>
        <w:pStyle w:val="ListParagraph"/>
        <w:numPr>
          <w:ilvl w:val="0"/>
          <w:numId w:val="2"/>
        </w:numPr>
        <w:spacing w:after="60"/>
      </w:pPr>
      <w:r>
        <w:t xml:space="preserve">Three shocks, building on Barsky &amp; Kilian (2002, 2004): </w:t>
      </w:r>
      <w:r>
        <w:rPr>
          <w:b/>
          <w:bCs/>
        </w:rPr>
        <w:t xml:space="preserve">oil supply shocks</w:t>
      </w:r>
      <w:r>
        <w:t xml:space="preserve"> (current physical availability), </w:t>
      </w:r>
      <w:r>
        <w:rPr>
          <w:b/>
          <w:bCs/>
        </w:rPr>
        <w:t xml:space="preserve">aggregate demand shocks</w:t>
      </w:r>
      <w:r>
        <w:t xml:space="preserve"> (global business cycle), </w:t>
      </w:r>
      <w:r>
        <w:rPr>
          <w:b/>
          <w:bCs/>
        </w:rPr>
        <w:t xml:space="preserve">precautionary demand shocks</w:t>
      </w:r>
      <w:r>
        <w:t xml:space="preserve">.</w:t>
      </w:r>
    </w:p>
    <w:p>
      <w:pPr>
        <w:pStyle w:val="ListParagraph"/>
        <w:numPr>
          <w:ilvl w:val="0"/>
          <w:numId w:val="2"/>
        </w:numPr>
        <w:spacing w:after="60"/>
      </w:pPr>
      <w:r>
        <w:t xml:space="preserve">Precautionary demand comes from </w:t>
      </w:r>
      <w:r>
        <w:rPr>
          <w:b/>
          <w:bCs/>
        </w:rPr>
        <w:t xml:space="preserve">uncertainty about future shortfalls</w:t>
      </w:r>
      <w:r>
        <w:t xml:space="preserve"> of supply relative to demand. It's the value of holding oil inventories as insurance. It's a shift in the </w:t>
      </w:r>
      <w:r>
        <w:rPr>
          <w:b/>
          <w:bCs/>
        </w:rPr>
        <w:t xml:space="preserve">conditional variance</w:t>
      </w:r>
      <w:r>
        <w:t xml:space="preserve"> (uncertainty), not the conditional mean, of supply shortfalls.</w:t>
      </w:r>
    </w:p>
    <w:p>
      <w:pPr>
        <w:pStyle w:val="ListParagraph"/>
        <w:numPr>
          <w:ilvl w:val="0"/>
          <w:numId w:val="2"/>
        </w:numPr>
        <w:spacing w:after="60"/>
      </w:pPr>
      <w:r>
        <w:t xml:space="preserve">The problem: there's no ready-made index of global demand for commodities, and the </w:t>
      </w:r>
      <w:r>
        <w:rPr>
          <w:b/>
          <w:bCs/>
        </w:rPr>
        <w:t xml:space="preserve">expectations behind precautionary demand can't be observed</w:t>
      </w:r>
      <w:r>
        <w:t xml:space="preserve">. Even if you knew what drives them, the link is “highly nonlinear” and there's “little hope” of estimating it.</w:t>
      </w:r>
    </w:p>
    <w:p>
      <w:pPr>
        <w:pStyle w:val="ListParagraph"/>
        <w:numPr>
          <w:ilvl w:val="0"/>
          <w:numId w:val="2"/>
        </w:numPr>
        <w:spacing w:after="60"/>
      </w:pPr>
      <w:r>
        <w:t xml:space="preserve">Kilian's workaround: build a measure of global demand, control for supply and demand, and treat oil-specific demand as </w:t>
      </w:r>
      <w:r>
        <w:rPr>
          <w:b/>
          <w:bCs/>
        </w:rPr>
        <w:t xml:space="preserve">the residual</w:t>
      </w:r>
      <w:r>
        <w:t xml:space="preserve">. The residual could contain other things, but he argues (Section II.A) it's mainly precautionary demand.</w:t>
      </w:r>
    </w:p>
    <w:p>
      <w:pPr>
        <w:spacing w:after="80" w:before="160"/>
      </w:pPr>
      <w:r>
        <w:rPr>
          <w:b/>
          <w:bCs/>
          <w:color w:val="1F4E79"/>
        </w:rPr>
        <w:t xml:space="preserve">What it means for my project</w:t>
      </w:r>
    </w:p>
    <w:p>
      <w:pPr>
        <w:pStyle w:val="ListParagraph"/>
        <w:numPr>
          <w:ilvl w:val="0"/>
          <w:numId w:val="2"/>
        </w:numPr>
        <w:spacing w:after="60"/>
      </w:pPr>
      <w:r>
        <w:t xml:space="preserve">The “unobservable, highly nonlinear” line is </w:t>
      </w:r>
      <w:r>
        <w:rPr>
          <w:b/>
          <w:bCs/>
        </w:rPr>
        <w:t xml:space="preserve">the gap my project tries to fill</w:t>
      </w:r>
      <w:r>
        <w:t xml:space="preserve">. Kilian couldn't measure expectations directly, so he backed them out as a residual. I try to measure them from news text with an LLM and let non-linear tree models learn the link. That's a clear, honest way to state my contribution.</w:t>
      </w:r>
    </w:p>
    <w:p>
      <w:pPr>
        <w:pStyle w:val="ListParagraph"/>
        <w:numPr>
          <w:ilvl w:val="0"/>
          <w:numId w:val="2"/>
        </w:numPr>
        <w:spacing w:after="60"/>
      </w:pPr>
      <w:r>
        <w:t xml:space="preserve">But I shouldn't overclaim: my LLM scores are a </w:t>
      </w:r>
      <w:r>
        <w:rPr>
          <w:b/>
          <w:bCs/>
        </w:rPr>
        <w:t xml:space="preserve">proxy</w:t>
      </w:r>
      <w:r>
        <w:t xml:space="preserve"> for how worried the news sounds, not a measure of precautionary demand itself. Phrase it as “an observable proxy for the expectation shifts Kilian (2009) treats as unobservable”.</w:t>
      </w:r>
    </w:p>
    <w:p>
      <w:pPr>
        <w:pStyle w:val="ListParagraph"/>
        <w:numPr>
          <w:ilvl w:val="0"/>
          <w:numId w:val="2"/>
        </w:numPr>
        <w:spacing w:after="60"/>
      </w:pPr>
      <w:r>
        <w:t xml:space="preserve">The </w:t>
      </w:r>
      <w:r>
        <w:rPr>
          <w:b/>
          <w:bCs/>
        </w:rPr>
        <w:t xml:space="preserve">variance, not mean</w:t>
      </w:r>
      <w:r>
        <w:t xml:space="preserve"> point is useful: it suggests my risk features may predict </w:t>
      </w:r>
      <w:r>
        <w:rPr>
          <w:b/>
          <w:bCs/>
        </w:rPr>
        <w:t xml:space="preserve">bigger moves</w:t>
      </w:r>
      <w:r>
        <w:t xml:space="preserve"> (volatility) as much as direction. My ±1.5% threshold means big moves either way fall out of “hold”, so this could show up as fewer hold calls in risky weeks (my idea, worth checking).</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“Precautionary demand arises from the uncertainty about shortfalls of expected supply relative to expected demand.”</w:t>
      </w:r>
      <w:r>
        <w:rPr>
          <w:b/>
          <w:bCs/>
          <w:color w:val="1F4E79"/>
        </w:rPr>
        <w:t xml:space="preserve">  (Section I, p. 1054)</w:t>
      </w:r>
    </w:p>
    <w:p>
      <w:pPr>
        <w:spacing w:after="140"/>
        <w:ind w:left="360"/>
      </w:pPr>
      <w:r>
        <w:rPr>
          <w:b/>
          <w:bCs/>
        </w:rPr>
        <w:t xml:space="preserve">Use it for:</w:t>
      </w:r>
      <w:r>
        <w:t xml:space="preserve"> a short definition of precautionary demand.</w:t>
      </w:r>
    </w:p>
    <w:p>
      <w:pPr>
        <w:pBdr>
          <w:left w:val="single" w:color="1F4E79" w:sz="18" w:space="8"/>
        </w:pBdr>
        <w:shd w:fill="F2F6FA" w:color="auto" w:val="clear"/>
        <w:spacing w:after="40" w:before="120"/>
        <w:ind w:left="360"/>
      </w:pPr>
      <w:r>
        <w:rPr>
          <w:i/>
          <w:iCs/>
        </w:rPr>
        <w:t xml:space="preserve">“One can interpret precautionary demand shocks as arising from a shift in the conditional variance, as opposed to the conditional mean, of oil supply shortfalls.”</w:t>
      </w:r>
      <w:r>
        <w:rPr>
          <w:b/>
          <w:bCs/>
          <w:color w:val="1F4E79"/>
        </w:rPr>
        <w:t xml:space="preserve">  (Section I, p. 1054)</w:t>
      </w:r>
    </w:p>
    <w:p>
      <w:pPr>
        <w:spacing w:after="140"/>
        <w:ind w:left="360"/>
      </w:pPr>
      <w:r>
        <w:rPr>
          <w:b/>
          <w:bCs/>
        </w:rPr>
        <w:t xml:space="preserve">Use it for:</w:t>
      </w:r>
      <w:r>
        <w:t xml:space="preserve"> if I argue that risk scores relate to the size of moves, not just direction.</w:t>
      </w:r>
    </w:p>
    <w:p>
      <w:pPr>
        <w:pBdr>
          <w:left w:val="single" w:color="1F4E79" w:sz="18" w:space="8"/>
        </w:pBdr>
        <w:shd w:fill="F2F6FA" w:color="auto" w:val="clear"/>
        <w:spacing w:after="40" w:before="120"/>
        <w:ind w:left="360"/>
      </w:pPr>
      <w:r>
        <w:rPr>
          <w:b/>
          <w:bCs/>
          <w:color w:val="C00000"/>
        </w:rPr>
        <w:t xml:space="preserve">★ </w:t>
      </w:r>
      <w:r>
        <w:rPr>
          <w:i/>
          <w:iCs/>
        </w:rPr>
        <w:t xml:space="preserve">“An additional difficulty is that the expectation shifts underlying precautionary demand shocks are not observable. Even if one could identify the observables that are driving these expectations, the link from observables to shifts in the uncertainty about future oil supply shortfalls is highly nonlinear, and there is little hope of being able to estimate this link from the data.”</w:t>
      </w:r>
      <w:r>
        <w:rPr>
          <w:b/>
          <w:bCs/>
          <w:color w:val="1F4E79"/>
        </w:rPr>
        <w:t xml:space="preserve">  (Section I, p. 1055)</w:t>
      </w:r>
    </w:p>
    <w:p>
      <w:pPr>
        <w:spacing w:after="140"/>
        <w:ind w:left="360"/>
      </w:pPr>
      <w:r>
        <w:rPr>
          <w:b/>
          <w:bCs/>
        </w:rPr>
        <w:t xml:space="preserve">Use it for:</w:t>
      </w:r>
      <w:r>
        <w:t xml:space="preserve"> the gap my project addresses: news-based LLM scores as observables, tree models for the non-linear link.</w:t>
      </w:r>
    </w:p>
    <w:p>
      <w:pPr>
        <w:pBdr>
          <w:left w:val="single" w:color="1F4E79" w:sz="18" w:space="8"/>
        </w:pBdr>
        <w:shd w:fill="F2F6FA" w:color="auto" w:val="clear"/>
        <w:spacing w:after="40" w:before="120"/>
        <w:ind w:left="360"/>
      </w:pPr>
      <w:r>
        <w:rPr>
          <w:i/>
          <w:iCs/>
        </w:rPr>
        <w:t xml:space="preserve">“This oil market–specific demand shock could, in principle, capture any number of omitted factors”</w:t>
      </w:r>
      <w:r>
        <w:rPr>
          <w:b/>
          <w:bCs/>
          <w:color w:val="1F4E79"/>
        </w:rPr>
        <w:t xml:space="preserve">  (Section I, p. 1055)</w:t>
      </w:r>
    </w:p>
    <w:p>
      <w:pPr>
        <w:spacing w:after="140"/>
        <w:ind w:left="360"/>
      </w:pPr>
      <w:r>
        <w:rPr>
          <w:b/>
          <w:bCs/>
        </w:rPr>
        <w:t xml:space="preserve">Use it for:</w:t>
      </w:r>
      <w:r>
        <w:t xml:space="preserve"> critical point: precautionary demand is identified as a residual, not measured directly.</w:t>
      </w:r>
    </w:p>
    <w:p>
      <w:pPr>
        <w:pStyle w:val="Heading2"/>
      </w:pPr>
      <w:r>
        <w:t xml:space="preserve">I.A A Monthly Measure of Global Real Economic Activity</w:t>
      </w:r>
    </w:p>
    <w:p>
      <w:pPr>
        <w:spacing w:after="80" w:before="160"/>
      </w:pPr>
      <w:r>
        <w:rPr>
          <w:b/>
          <w:bCs/>
          <w:color w:val="1F4E79"/>
        </w:rPr>
        <w:t xml:space="preserve">What it says</w:t>
      </w:r>
    </w:p>
    <w:p>
      <w:pPr>
        <w:pStyle w:val="ListParagraph"/>
        <w:numPr>
          <w:ilvl w:val="0"/>
          <w:numId w:val="2"/>
        </w:numPr>
        <w:spacing w:after="60"/>
      </w:pPr>
      <w:r>
        <w:t xml:space="preserve">A new monthly index of global real activity built from </w:t>
      </w:r>
      <w:r>
        <w:rPr>
          <w:b/>
          <w:bCs/>
        </w:rPr>
        <w:t xml:space="preserve">dry cargo single-voyage ocean freight rates</w:t>
      </w:r>
      <w:r>
        <w:t xml:space="preserve"> (grain, oilseeds, coal, iron ore, fertilizer, scrap metal), from Drewry's, back to January 1968.</w:t>
      </w:r>
    </w:p>
    <w:p>
      <w:pPr>
        <w:pStyle w:val="ListParagraph"/>
        <w:numPr>
          <w:ilvl w:val="0"/>
          <w:numId w:val="2"/>
        </w:numPr>
        <w:spacing w:after="60"/>
      </w:pPr>
      <w:r>
        <w:t xml:space="preserve">Logic: shipping supply is fixed in the short run, so when global demand for commodities rises, freight rates rise. Freight rates therefore signal global demand pressure.</w:t>
      </w:r>
    </w:p>
    <w:p>
      <w:pPr>
        <w:pStyle w:val="ListParagraph"/>
        <w:numPr>
          <w:ilvl w:val="0"/>
          <w:numId w:val="2"/>
        </w:numPr>
        <w:spacing w:after="60"/>
      </w:pPr>
      <w:r>
        <w:t xml:space="preserve">Advantages over industrial production: no exchange-rate weighting, covers all countries automatically, adapts to changing country weights. Drawback: the </w:t>
      </w:r>
      <w:r>
        <w:rPr>
          <w:b/>
          <w:bCs/>
        </w:rPr>
        <w:t xml:space="preserve">shipbuilding cycle</w:t>
      </w:r>
      <w:r>
        <w:t xml:space="preserve"> can blur the link.</w:t>
      </w:r>
    </w:p>
    <w:p>
      <w:pPr>
        <w:pStyle w:val="ListParagraph"/>
        <w:numPr>
          <w:ilvl w:val="0"/>
          <w:numId w:val="2"/>
        </w:numPr>
        <w:spacing w:after="60"/>
      </w:pPr>
      <w:r>
        <w:rPr>
          <w:b/>
          <w:bCs/>
        </w:rPr>
        <w:t xml:space="preserve">Construction:</w:t>
      </w:r>
      <w:r>
        <w:t xml:space="preserve"> growth rates of each series → equal-weighted average → cumulated (Jan 1968 = 1) → deflated by US CPI → </w:t>
      </w:r>
      <w:r>
        <w:rPr>
          <w:b/>
          <w:bCs/>
        </w:rPr>
        <w:t xml:space="preserve">linearly detrended</w:t>
      </w:r>
      <w:r>
        <w:t xml:space="preserve">.</w:t>
      </w:r>
    </w:p>
    <w:p>
      <w:pPr>
        <w:pStyle w:val="ListParagraph"/>
        <w:numPr>
          <w:ilvl w:val="0"/>
          <w:numId w:val="2"/>
        </w:numPr>
        <w:spacing w:after="60"/>
      </w:pPr>
      <w:r>
        <w:t xml:space="preserve">Concern that freight rates rise because of fuel costs: he allows oil prices to feed into freight rates, but only with a one-month delay, and notes the same-month correlation with bunker fuel prices is about zero.</w:t>
      </w:r>
    </w:p>
    <w:p>
      <w:pPr>
        <w:pStyle w:val="ListParagraph"/>
        <w:numPr>
          <w:ilvl w:val="0"/>
          <w:numId w:val="2"/>
        </w:numPr>
        <w:spacing w:after="60"/>
      </w:pPr>
      <w:r>
        <w:t xml:space="preserve">Figure 1 matches known booms (1972–74, 1978–80, after 2002) and recessions. Many political events coincided with booms, so you shouldn't blame price rises on the events alone.</w:t>
      </w:r>
    </w:p>
    <w:p>
      <w:pPr>
        <w:spacing w:after="80" w:before="160"/>
      </w:pPr>
      <w:r>
        <w:rPr>
          <w:b/>
          <w:bCs/>
          <w:color w:val="1F4E79"/>
        </w:rPr>
        <w:t xml:space="preserve">What it means for my project</w:t>
      </w:r>
    </w:p>
    <w:p>
      <w:pPr>
        <w:pStyle w:val="ListParagraph"/>
        <w:numPr>
          <w:ilvl w:val="0"/>
          <w:numId w:val="2"/>
        </w:numPr>
        <w:spacing w:after="60"/>
      </w:pPr>
      <w:r>
        <w:t xml:space="preserve">Direct support for my </w:t>
      </w:r>
      <w:r>
        <w:rPr>
          <w:b/>
          <w:bCs/>
        </w:rPr>
        <w:t xml:space="preserve">shipping and tanker rate features</w:t>
      </w:r>
      <w:r>
        <w:t xml:space="preserve">. Footnote 1 even mentions the </w:t>
      </w:r>
      <w:r>
        <w:rPr>
          <w:b/>
          <w:bCs/>
        </w:rPr>
        <w:t xml:space="preserve">Baltic Exchange Dry Index</w:t>
      </w:r>
      <w:r>
        <w:t xml:space="preserve"> as what practitioners use. Note mine are </w:t>
      </w:r>
      <w:r>
        <w:rPr>
          <w:b/>
          <w:bCs/>
        </w:rPr>
        <w:t xml:space="preserve">tanker</w:t>
      </w:r>
      <w:r>
        <w:t xml:space="preserve"> rates, which also reflect oil-specific things (war-risk insurance, rerouting), so they're not the same as Kilian's dry cargo measure.</w:t>
      </w:r>
    </w:p>
    <w:p>
      <w:pPr>
        <w:pStyle w:val="ListParagraph"/>
        <w:numPr>
          <w:ilvl w:val="0"/>
          <w:numId w:val="2"/>
        </w:numPr>
        <w:spacing w:after="60"/>
      </w:pPr>
      <w:r>
        <w:t xml:space="preserve">I could add Kilian's index itself as a feature. An updated version is published online (FRED series IGREA, from the Dallas Fed; </w:t>
      </w:r>
      <w:r>
        <w:rPr>
          <w:b/>
          <w:bCs/>
        </w:rPr>
        <w:t xml:space="preserve">check this before relying on it</w:t>
      </w:r>
      <w:r>
        <w:t xml:space="preserve">). It's monthly, so I'd use it with a publication lag.</w:t>
      </w:r>
    </w:p>
    <w:p>
      <w:pPr>
        <w:pStyle w:val="ListParagraph"/>
        <w:numPr>
          <w:ilvl w:val="0"/>
          <w:numId w:val="2"/>
        </w:numPr>
        <w:spacing w:after="60"/>
      </w:pPr>
      <w:r>
        <w:t xml:space="preserve">The “be careful about associating price rises with events” line is a good warning for my </w:t>
      </w:r>
      <w:r>
        <w:rPr>
          <w:b/>
          <w:bCs/>
        </w:rPr>
        <w:t xml:space="preserve">Hormuz case study</w:t>
      </w:r>
      <w:r>
        <w:t xml:space="preserve">: if the world economy was also strong or weak at the time, not every price move is the crisis.</w:t>
      </w:r>
    </w:p>
    <w:p>
      <w:pPr>
        <w:pBdr>
          <w:left w:val="single" w:color="C55A11" w:sz="18" w:space="8"/>
        </w:pBdr>
        <w:shd w:fill="FDF3E7" w:color="auto" w:val="clear"/>
        <w:spacing w:after="120" w:before="100"/>
        <w:ind w:left="360"/>
      </w:pPr>
      <w:r>
        <w:rPr>
          <w:b/>
          <w:bCs/>
        </w:rPr>
        <w:t xml:space="preserve">Careful — look-ahead in the index:</w:t>
      </w:r>
      <w:r>
        <w:t xml:space="preserve"> the index is </w:t>
      </w:r>
      <w:r>
        <w:rPr>
          <w:b/>
          <w:bCs/>
        </w:rPr>
        <w:t xml:space="preserve">linearly detrended over the full sample</w:t>
      </w:r>
      <w:r>
        <w:t xml:space="preserve">, so each month's value depends on data from the future. That's fine for Kilian's historical analysis but is </w:t>
      </w:r>
      <w:r>
        <w:rPr>
          <w:b/>
          <w:bCs/>
        </w:rPr>
        <w:t xml:space="preserve">leakage</w:t>
      </w:r>
      <w:r>
        <w:t xml:space="preserve"> in a forecasting backtest. If I use it (or build something similar from my shipping data), I either detrend using only past data in each walk-forward fold, use growth rates instead of levels, or at minimum flag it. The same applies to anything else I standardise or detrend.</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“It is widely accepted that world economic activity is by far the most important determinant of the demand for transport services (see, e.g., Klovland 2004).”</w:t>
      </w:r>
      <w:r>
        <w:rPr>
          <w:b/>
          <w:bCs/>
          <w:color w:val="1F4E79"/>
        </w:rPr>
        <w:t xml:space="preserve">  (Section I.A, p. 1055)</w:t>
      </w:r>
    </w:p>
    <w:p>
      <w:pPr>
        <w:spacing w:after="140"/>
        <w:ind w:left="360"/>
      </w:pPr>
      <w:r>
        <w:rPr>
          <w:b/>
          <w:bCs/>
        </w:rPr>
        <w:t xml:space="preserve">Use it for:</w:t>
      </w:r>
      <w:r>
        <w:t xml:space="preserve"> justifying shipping/tanker rate features as a demand signal.</w:t>
      </w:r>
    </w:p>
    <w:p>
      <w:pPr>
        <w:pBdr>
          <w:left w:val="single" w:color="1F4E79" w:sz="18" w:space="8"/>
        </w:pBdr>
        <w:shd w:fill="F2F6FA" w:color="auto" w:val="clear"/>
        <w:spacing w:after="40" w:before="120"/>
        <w:ind w:left="360"/>
      </w:pPr>
      <w:r>
        <w:rPr>
          <w:b/>
          <w:bCs/>
          <w:color w:val="C00000"/>
        </w:rPr>
        <w:t xml:space="preserve">★ </w:t>
      </w:r>
      <w:r>
        <w:rPr>
          <w:i/>
          <w:iCs/>
        </w:rPr>
        <w:t xml:space="preserve">“Shipping rate indices such as the Baltic Exchange Dry Index are also being used by market practitioners in assessing global demand pressures.”</w:t>
      </w:r>
      <w:r>
        <w:rPr>
          <w:b/>
          <w:bCs/>
          <w:color w:val="1F4E79"/>
        </w:rPr>
        <w:t xml:space="preserve">  (Section I.A, footnote 1, p. 1055)</w:t>
      </w:r>
    </w:p>
    <w:p>
      <w:pPr>
        <w:spacing w:after="140"/>
        <w:ind w:left="360"/>
      </w:pPr>
      <w:r>
        <w:rPr>
          <w:b/>
          <w:bCs/>
        </w:rPr>
        <w:t xml:space="preserve">Use it for:</w:t>
      </w:r>
      <w:r>
        <w:t xml:space="preserve"> backing up the use of shipping indices as features.</w:t>
      </w:r>
    </w:p>
    <w:p>
      <w:pPr>
        <w:pBdr>
          <w:left w:val="single" w:color="1F4E79" w:sz="18" w:space="8"/>
        </w:pBdr>
        <w:shd w:fill="F2F6FA" w:color="auto" w:val="clear"/>
        <w:spacing w:after="40" w:before="120"/>
        <w:ind w:left="360"/>
      </w:pPr>
      <w:r>
        <w:rPr>
          <w:i/>
          <w:iCs/>
        </w:rPr>
        <w:t xml:space="preserve">“This line of reasoning suggests that increases in freight rates may be used as indicators of strong cumulative global demand pressures.”</w:t>
      </w:r>
      <w:r>
        <w:rPr>
          <w:b/>
          <w:bCs/>
          <w:color w:val="1F4E79"/>
        </w:rPr>
        <w:t xml:space="preserve">  (Section I.A, p. 1056)</w:t>
      </w:r>
    </w:p>
    <w:p>
      <w:pPr>
        <w:spacing w:after="140"/>
        <w:ind w:left="360"/>
      </w:pPr>
      <w:r>
        <w:rPr>
          <w:b/>
          <w:bCs/>
        </w:rPr>
        <w:t xml:space="preserve">Use it for:</w:t>
      </w:r>
      <w:r>
        <w:t xml:space="preserve"> the core logic of the freight-rate index.</w:t>
      </w:r>
    </w:p>
    <w:p>
      <w:pPr>
        <w:pBdr>
          <w:left w:val="single" w:color="1F4E79" w:sz="18" w:space="8"/>
        </w:pBdr>
        <w:shd w:fill="F2F6FA" w:color="auto" w:val="clear"/>
        <w:spacing w:after="40" w:before="120"/>
        <w:ind w:left="360"/>
      </w:pPr>
      <w:r>
        <w:rPr>
          <w:i/>
          <w:iCs/>
        </w:rPr>
        <w:t xml:space="preserve">“As my interest in this paper centers on cyclical variation in ocean freight rates rather than on long-term trends, I linearly detrend the real freight rate index.”</w:t>
      </w:r>
      <w:r>
        <w:rPr>
          <w:b/>
          <w:bCs/>
          <w:color w:val="1F4E79"/>
        </w:rPr>
        <w:t xml:space="preserve">  (Section I.A, p. 1056)</w:t>
      </w:r>
    </w:p>
    <w:p>
      <w:pPr>
        <w:spacing w:after="140"/>
        <w:ind w:left="360"/>
      </w:pPr>
      <w:r>
        <w:rPr>
          <w:b/>
          <w:bCs/>
        </w:rPr>
        <w:t xml:space="preserve">Use it for:</w:t>
      </w:r>
      <w:r>
        <w:t xml:space="preserve"> pointing out the full-sample detrending, which would be leakage in my backtest.</w:t>
      </w:r>
    </w:p>
    <w:p>
      <w:pPr>
        <w:pBdr>
          <w:left w:val="single" w:color="1F4E79" w:sz="18" w:space="8"/>
        </w:pBdr>
        <w:shd w:fill="F2F6FA" w:color="auto" w:val="clear"/>
        <w:spacing w:after="40" w:before="120"/>
        <w:ind w:left="360"/>
      </w:pPr>
      <w:r>
        <w:rPr>
          <w:b/>
          <w:bCs/>
          <w:color w:val="C00000"/>
        </w:rPr>
        <w:t xml:space="preserve">★ </w:t>
      </w:r>
      <w:r>
        <w:rPr>
          <w:i/>
          <w:iCs/>
        </w:rPr>
        <w:t xml:space="preserve">“Thus, one would want to be careful about associating the concurrent increases in the real price of oil with these events.”</w:t>
      </w:r>
      <w:r>
        <w:rPr>
          <w:b/>
          <w:bCs/>
          <w:color w:val="1F4E79"/>
        </w:rPr>
        <w:t xml:space="preserve">  (Section I.A, p. 1058)</w:t>
      </w:r>
    </w:p>
    <w:p>
      <w:pPr>
        <w:spacing w:after="140"/>
        <w:ind w:left="360"/>
      </w:pPr>
      <w:r>
        <w:rPr>
          <w:b/>
          <w:bCs/>
        </w:rPr>
        <w:t xml:space="preserve">Use it for:</w:t>
      </w:r>
      <w:r>
        <w:t xml:space="preserve"> a caution for the Hormuz case study: not every price move during a crisis is caused by it.</w:t>
      </w:r>
    </w:p>
    <w:p>
      <w:pPr>
        <w:pStyle w:val="Heading1"/>
      </w:pPr>
      <w:r>
        <w:t xml:space="preserve">Section II: Decomposing the Real Price of Oil</w:t>
      </w:r>
    </w:p>
    <w:p>
      <w:pPr>
        <w:spacing w:after="80" w:before="160"/>
      </w:pPr>
      <w:r>
        <w:rPr>
          <w:b/>
          <w:bCs/>
          <w:color w:val="1F4E79"/>
        </w:rPr>
        <w:t xml:space="preserve">What it says</w:t>
      </w:r>
    </w:p>
    <w:p>
      <w:pPr>
        <w:pStyle w:val="ListParagraph"/>
        <w:numPr>
          <w:ilvl w:val="0"/>
          <w:numId w:val="2"/>
        </w:numPr>
        <w:spacing w:after="60"/>
      </w:pPr>
      <w:r>
        <w:t xml:space="preserve">Treating the oil price as exogenous is wrong: it responds to the economy. Without a well-defined cause, you can't estimate an effect (Cooley &amp; LeRoy 1985).</w:t>
      </w:r>
    </w:p>
    <w:p>
      <w:pPr>
        <w:pStyle w:val="ListParagraph"/>
        <w:numPr>
          <w:ilvl w:val="0"/>
          <w:numId w:val="2"/>
        </w:numPr>
        <w:spacing w:after="60"/>
      </w:pPr>
      <w:r>
        <w:t xml:space="preserve">Even the big price rises can't be assumed exogenous (Kilian 2008a). So </w:t>
      </w:r>
      <w:r>
        <w:rPr>
          <w:b/>
          <w:bCs/>
        </w:rPr>
        <w:t xml:space="preserve">you need to know why the price rose</w:t>
      </w:r>
      <w:r>
        <w:t xml:space="preserve"> to predict its effects.</w:t>
      </w:r>
    </w:p>
    <w:p>
      <w:pPr>
        <w:spacing w:after="80" w:before="160"/>
      </w:pPr>
      <w:r>
        <w:rPr>
          <w:b/>
          <w:bCs/>
          <w:color w:val="1F4E79"/>
        </w:rPr>
        <w:t xml:space="preserve">What it means for my project</w:t>
      </w:r>
    </w:p>
    <w:p>
      <w:pPr>
        <w:pStyle w:val="ListParagraph"/>
        <w:numPr>
          <w:ilvl w:val="0"/>
          <w:numId w:val="2"/>
        </w:numPr>
        <w:spacing w:after="60"/>
      </w:pPr>
      <w:r>
        <w:t xml:space="preserve">For a forecasting model the takeaway is: </w:t>
      </w:r>
      <w:r>
        <w:rPr>
          <w:b/>
          <w:bCs/>
        </w:rPr>
        <w:t xml:space="preserve">the same price move can mean different things</w:t>
      </w:r>
      <w:r>
        <w:t xml:space="preserve"> depending on what caused it. That's an argument for giving the model features about the cause (supply data, demand data, risk scores), not just past prices.</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“This means that without knowing what drove up the price of oil in the first place, it will be impossible to predict accurately the implications of higher oil prices.”</w:t>
      </w:r>
      <w:r>
        <w:rPr>
          <w:b/>
          <w:bCs/>
          <w:color w:val="1F4E79"/>
        </w:rPr>
        <w:t xml:space="preserve">  (Section II, p. 1058)</w:t>
      </w:r>
    </w:p>
    <w:p>
      <w:pPr>
        <w:spacing w:after="140"/>
        <w:ind w:left="360"/>
      </w:pPr>
      <w:r>
        <w:rPr>
          <w:b/>
          <w:bCs/>
        </w:rPr>
        <w:t xml:space="preserve">Use it for:</w:t>
      </w:r>
      <w:r>
        <w:t xml:space="preserve"> why my model needs features about the cause of price moves, not just price history.</w:t>
      </w:r>
    </w:p>
    <w:p>
      <w:pPr>
        <w:pStyle w:val="Heading2"/>
      </w:pPr>
      <w:r>
        <w:t xml:space="preserve">II.A The Structural VAR Model</w:t>
      </w:r>
    </w:p>
    <w:p>
      <w:pPr>
        <w:spacing w:after="80" w:before="160"/>
      </w:pPr>
      <w:r>
        <w:rPr>
          <w:b/>
          <w:bCs/>
          <w:color w:val="1F4E79"/>
        </w:rPr>
        <w:t xml:space="preserve">What it says</w:t>
      </w:r>
    </w:p>
    <w:p>
      <w:pPr>
        <w:pStyle w:val="ListParagraph"/>
        <w:numPr>
          <w:ilvl w:val="0"/>
          <w:numId w:val="2"/>
        </w:numPr>
        <w:spacing w:after="60"/>
      </w:pPr>
      <w:r>
        <w:t xml:space="preserve">Monthly VAR on z_t = (Δprod_t, rea_t, rpo_t): % change in world oil production, the real activity index (Section I), and the real oil price (refiner acquisition cost of imported crude, deflated by US CPI). Activity and price in logs. </w:t>
      </w:r>
      <w:r>
        <w:rPr>
          <w:b/>
          <w:bCs/>
        </w:rPr>
        <w:t xml:space="preserve">24 lags</w:t>
      </w:r>
      <w:r>
        <w:t xml:space="preserve">. Sample </w:t>
      </w:r>
      <w:r>
        <w:rPr>
          <w:b/>
          <w:bCs/>
        </w:rPr>
        <w:t xml:space="preserve">1973:1–2007:12</w:t>
      </w:r>
      <w:r>
        <w:t xml:space="preserve">.</w:t>
      </w:r>
    </w:p>
    <w:p>
      <w:pPr>
        <w:pStyle w:val="ListParagraph"/>
        <w:numPr>
          <w:ilvl w:val="0"/>
          <w:numId w:val="2"/>
        </w:numPr>
        <w:spacing w:after="60"/>
      </w:pPr>
      <w:r>
        <w:rPr>
          <w:b/>
          <w:bCs/>
        </w:rPr>
        <w:t xml:space="preserve">Recursive (Cholesky) identification</w:t>
      </w:r>
      <w:r>
        <w:t xml:space="preserve">, i.e. timing assumptions about what can react within the same month:</w:t>
      </w:r>
    </w:p>
    <w:p>
      <w:pPr>
        <w:pStyle w:val="ListParagraph"/>
        <w:numPr>
          <w:ilvl w:val="1"/>
          <w:numId w:val="2"/>
        </w:numPr>
        <w:spacing w:after="60"/>
      </w:pPr>
      <w:r>
        <w:rPr>
          <w:b/>
          <w:bCs/>
        </w:rPr>
        <w:t xml:space="preserve">Supply</w:t>
      </w:r>
      <w:r>
        <w:t xml:space="preserve"> doesn't react to demand within the month (adjusting production is slow and costly). This means a </w:t>
      </w:r>
      <w:r>
        <w:rPr>
          <w:b/>
          <w:bCs/>
        </w:rPr>
        <w:t xml:space="preserve">vertical short-run supply curve</w:t>
      </w:r>
      <w:r>
        <w:t xml:space="preserve">.</w:t>
      </w:r>
    </w:p>
    <w:p>
      <w:pPr>
        <w:pStyle w:val="ListParagraph"/>
        <w:numPr>
          <w:ilvl w:val="1"/>
          <w:numId w:val="2"/>
        </w:numPr>
        <w:spacing w:after="60"/>
      </w:pPr>
      <w:r>
        <w:rPr>
          <w:b/>
          <w:bCs/>
        </w:rPr>
        <w:t xml:space="preserve">Global activity</w:t>
      </w:r>
      <w:r>
        <w:t xml:space="preserve"> doesn't react to oil-specific demand shocks within the month (it reacts with at least a month's delay).</w:t>
      </w:r>
    </w:p>
    <w:p>
      <w:pPr>
        <w:pStyle w:val="ListParagraph"/>
        <w:numPr>
          <w:ilvl w:val="1"/>
          <w:numId w:val="2"/>
        </w:numPr>
        <w:spacing w:after="60"/>
      </w:pPr>
      <w:r>
        <w:rPr>
          <w:b/>
          <w:bCs/>
        </w:rPr>
        <w:t xml:space="preserve">Oil-specific demand</w:t>
      </w:r>
      <w:r>
        <w:t xml:space="preserve"> is whatever's left in the oil price after the first two.</w:t>
      </w:r>
    </w:p>
    <w:p>
      <w:pPr>
        <w:pStyle w:val="ListParagraph"/>
        <w:numPr>
          <w:ilvl w:val="0"/>
          <w:numId w:val="2"/>
        </w:numPr>
        <w:spacing w:after="60"/>
      </w:pPr>
      <w:r>
        <w:t xml:space="preserve">Why the residual is precautionary demand: (1) no other plausible candidates (not Asian demand for cars, not weather); (2) the large immediate effect suggests expectation shifts; (3) timing matches events like the Gulf War; (4) overshooting matches precautionary demand theory; (5) correlation up to </w:t>
      </w:r>
      <w:r>
        <w:rPr>
          <w:b/>
          <w:bCs/>
        </w:rPr>
        <w:t xml:space="preserve">80%</w:t>
      </w:r>
      <w:r>
        <w:t xml:space="preserve"> with a futures-based measure (Alquist &amp; Kilian).</w:t>
      </w:r>
    </w:p>
    <w:p>
      <w:pPr>
        <w:pStyle w:val="ListParagraph"/>
        <w:numPr>
          <w:ilvl w:val="0"/>
          <w:numId w:val="2"/>
        </w:numPr>
        <w:spacing w:after="60"/>
      </w:pPr>
      <w:r>
        <w:t xml:space="preserve">Low US interest rates and a weak dollar would show up as aggregate demand. OPEC cuts would show up as supply shocks, but he finds little evidence cartel behaviour mattered in the sample.</w:t>
      </w:r>
    </w:p>
    <w:p>
      <w:pPr>
        <w:spacing w:after="80" w:before="160"/>
      </w:pPr>
      <w:r>
        <w:rPr>
          <w:b/>
          <w:bCs/>
          <w:color w:val="1F4E79"/>
        </w:rPr>
        <w:t xml:space="preserve">What it means for my project</w:t>
      </w:r>
    </w:p>
    <w:p>
      <w:pPr>
        <w:pStyle w:val="ListParagraph"/>
        <w:numPr>
          <w:ilvl w:val="0"/>
          <w:numId w:val="2"/>
        </w:numPr>
        <w:spacing w:after="60"/>
      </w:pPr>
      <w:r>
        <w:t xml:space="preserve">I'm </w:t>
      </w:r>
      <w:r>
        <w:rPr>
          <w:b/>
          <w:bCs/>
        </w:rPr>
        <w:t xml:space="preserve">not</w:t>
      </w:r>
      <w:r>
        <w:t xml:space="preserve"> running a structural VAR, but the three-shock split gives me a clean way to </w:t>
      </w:r>
      <w:r>
        <w:rPr>
          <w:b/>
          <w:bCs/>
        </w:rPr>
        <w:t xml:space="preserve">group my features</w:t>
      </w:r>
      <w:r>
        <w:t xml:space="preserve"> (my suggestion): </w:t>
      </w:r>
      <w:r>
        <w:rPr>
          <w:b/>
          <w:bCs/>
        </w:rPr>
        <w:t xml:space="preserve">supply</w:t>
      </w:r>
      <w:r>
        <w:t xml:space="preserve"> (OPEC/EIA production, chokepoint flows), </w:t>
      </w:r>
      <w:r>
        <w:rPr>
          <w:b/>
          <w:bCs/>
        </w:rPr>
        <w:t xml:space="preserve">global demand</w:t>
      </w:r>
      <w:r>
        <w:t xml:space="preserve"> (shipping/tanker rates, USD index, activity measures), </w:t>
      </w:r>
      <w:r>
        <w:rPr>
          <w:b/>
          <w:bCs/>
        </w:rPr>
        <w:t xml:space="preserve">precautionary/risk</w:t>
      </w:r>
      <w:r>
        <w:t xml:space="preserve"> (GPR, my LLM supply-risk scores, volatility). Then I can report </w:t>
      </w:r>
      <w:r>
        <w:rPr>
          <w:b/>
          <w:bCs/>
        </w:rPr>
        <w:t xml:space="preserve">grouped SHAP</w:t>
      </w:r>
      <w:r>
        <w:t xml:space="preserve"> by Kilian's categories. That links the SHAP notes and this paper neatly.</w:t>
      </w:r>
    </w:p>
    <w:p>
      <w:pPr>
        <w:pStyle w:val="ListParagraph"/>
        <w:numPr>
          <w:ilvl w:val="0"/>
          <w:numId w:val="2"/>
        </w:numPr>
        <w:spacing w:after="60"/>
      </w:pPr>
      <w:r>
        <w:t xml:space="preserve">The identification depends on </w:t>
      </w:r>
      <w:r>
        <w:rPr>
          <w:b/>
          <w:bCs/>
        </w:rPr>
        <w:t xml:space="preserve">monthly</w:t>
      </w:r>
      <w:r>
        <w:t xml:space="preserve"> timing. At weekly frequency the “nothing reacts within the period” assumptions are even easier to defend for supply, but I'm not estimating shocks anyway. If I ever wanted Kilian-style shocks as features, I'd have to build them monthly and re-estimate inside each walk-forward fold.</w:t>
      </w:r>
    </w:p>
    <w:p>
      <w:pPr>
        <w:pBdr>
          <w:left w:val="single" w:color="C55A11" w:sz="18" w:space="8"/>
        </w:pBdr>
        <w:shd w:fill="FDF3E7" w:color="auto" w:val="clear"/>
        <w:spacing w:after="120" w:before="100"/>
        <w:ind w:left="360"/>
      </w:pPr>
      <w:r>
        <w:rPr>
          <w:b/>
          <w:bCs/>
        </w:rPr>
        <w:t xml:space="preserve">Careful — the vertical supply curve:</w:t>
      </w:r>
      <w:r>
        <w:t xml:space="preserve"> assuming oil supply can't respond within a month (zero short-run supply elasticity) is the paper's most criticised assumption. Kilian &amp; Murphy (2012, 2014) relax it with sign restrictions and inventories; Baumeister &amp; Hamilton (2019) argue it understates supply shocks. If I lean on “supply shocks don't matter much”, I should mention this debate in one sentence, and point to Baumeister &amp; Kilian (2016) for the updated view.</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“This model postulates a vertical short-run supply curve of crude oil.”</w:t>
      </w:r>
      <w:r>
        <w:rPr>
          <w:b/>
          <w:bCs/>
          <w:color w:val="1F4E79"/>
        </w:rPr>
        <w:t xml:space="preserve">  (Section II.A, p. 1059)</w:t>
      </w:r>
    </w:p>
    <w:p>
      <w:pPr>
        <w:spacing w:after="140"/>
        <w:ind w:left="360"/>
      </w:pPr>
      <w:r>
        <w:rPr>
          <w:b/>
          <w:bCs/>
        </w:rPr>
        <w:t xml:space="preserve">Use it for:</w:t>
      </w:r>
      <w:r>
        <w:t xml:space="preserve"> stating the key identifying assumption (and its critique).</w:t>
      </w:r>
    </w:p>
    <w:p>
      <w:pPr>
        <w:pBdr>
          <w:left w:val="single" w:color="1F4E79" w:sz="18" w:space="8"/>
        </w:pBdr>
        <w:shd w:fill="F2F6FA" w:color="auto" w:val="clear"/>
        <w:spacing w:after="40" w:before="120"/>
        <w:ind w:left="360"/>
      </w:pPr>
      <w:r>
        <w:rPr>
          <w:i/>
          <w:iCs/>
        </w:rPr>
        <w:t xml:space="preserve">“That exclusion restriction is plausible because, in practice, oil-producing countries will be slow to respond to demand shocks, given the costs of adjusting oil production and the uncertainty about the state of the crude oil market.”</w:t>
      </w:r>
      <w:r>
        <w:rPr>
          <w:b/>
          <w:bCs/>
          <w:color w:val="1F4E79"/>
        </w:rPr>
        <w:t xml:space="preserve">  (Section II.A, p. 1059)</w:t>
      </w:r>
    </w:p>
    <w:p>
      <w:pPr>
        <w:spacing w:after="140"/>
        <w:ind w:left="360"/>
      </w:pPr>
      <w:r>
        <w:rPr>
          <w:b/>
          <w:bCs/>
        </w:rPr>
        <w:t xml:space="preserve">Use it for:</w:t>
      </w:r>
      <w:r>
        <w:t xml:space="preserve"> why production data reacts slowly, so it's a slow-moving feature.</w:t>
      </w:r>
    </w:p>
    <w:p>
      <w:pPr>
        <w:pBdr>
          <w:left w:val="single" w:color="1F4E79" w:sz="18" w:space="8"/>
        </w:pBdr>
        <w:shd w:fill="F2F6FA" w:color="auto" w:val="clear"/>
        <w:spacing w:after="40" w:before="120"/>
        <w:ind w:left="360"/>
      </w:pPr>
      <w:r>
        <w:rPr>
          <w:b/>
          <w:bCs/>
          <w:color w:val="C00000"/>
        </w:rPr>
        <w:t xml:space="preserve">★ </w:t>
      </w:r>
      <w:r>
        <w:rPr>
          <w:i/>
          <w:iCs/>
        </w:rPr>
        <w:t xml:space="preserve">“The latter structural shock will reflect, in particular, fluctuations in precautionary demand for oil driven by uncertainty about future oil supply shortfalls.”</w:t>
      </w:r>
      <w:r>
        <w:rPr>
          <w:b/>
          <w:bCs/>
          <w:color w:val="1F4E79"/>
        </w:rPr>
        <w:t xml:space="preserve">  (Section II.A, p. 1059)</w:t>
      </w:r>
    </w:p>
    <w:p>
      <w:pPr>
        <w:spacing w:after="140"/>
        <w:ind w:left="360"/>
      </w:pPr>
      <w:r>
        <w:rPr>
          <w:b/>
          <w:bCs/>
        </w:rPr>
        <w:t xml:space="preserve">Use it for:</w:t>
      </w:r>
      <w:r>
        <w:t xml:space="preserve"> linking the oil-specific demand shock to precautionary demand.</w:t>
      </w:r>
    </w:p>
    <w:p>
      <w:pPr>
        <w:pBdr>
          <w:left w:val="single" w:color="1F4E79" w:sz="18" w:space="8"/>
        </w:pBdr>
        <w:shd w:fill="F2F6FA" w:color="auto" w:val="clear"/>
        <w:spacing w:after="40" w:before="120"/>
        <w:ind w:left="360"/>
      </w:pPr>
      <w:r>
        <w:rPr>
          <w:i/>
          <w:iCs/>
        </w:rPr>
        <w:t xml:space="preserve">“Using oil futures market data since 1989, Alquist and Kilian (forthcoming) show that this correlation may be as high as 80 percent, notwithstanding the use of a completely different dataset and methodology.”</w:t>
      </w:r>
      <w:r>
        <w:rPr>
          <w:b/>
          <w:bCs/>
          <w:color w:val="1F4E79"/>
        </w:rPr>
        <w:t xml:space="preserve">  (Section II.A, p. 1060)</w:t>
      </w:r>
    </w:p>
    <w:p>
      <w:pPr>
        <w:spacing w:after="140"/>
        <w:ind w:left="360"/>
      </w:pPr>
      <w:r>
        <w:rPr>
          <w:b/>
          <w:bCs/>
        </w:rPr>
        <w:t xml:space="preserve">Use it for:</w:t>
      </w:r>
      <w:r>
        <w:t xml:space="preserve"> evidence that the residual really is precautionary demand; also hints that futures data carry risk information.</w:t>
      </w:r>
    </w:p>
    <w:p>
      <w:pPr>
        <w:pStyle w:val="Heading2"/>
      </w:pPr>
      <w:r>
        <w:t xml:space="preserve">II.B Empirical Results</w:t>
      </w:r>
    </w:p>
    <w:p>
      <w:pPr>
        <w:spacing w:after="120"/>
      </w:pPr>
      <w:r>
        <w:t xml:space="preserve">Least-squares estimation; inference with a </w:t>
      </w:r>
      <w:r>
        <w:rPr>
          <w:b/>
          <w:bCs/>
        </w:rPr>
        <w:t xml:space="preserve">recursive-design wild bootstrap, 2,000 replications</w:t>
      </w:r>
      <w:r>
        <w:t xml:space="preserve">. Four run-in subsections.</w:t>
      </w:r>
    </w:p>
    <w:p>
      <w:pPr>
        <w:pStyle w:val="Heading3"/>
      </w:pPr>
      <w:r>
        <w:t xml:space="preserve">Quantifying the evolution of the shocks (Figure 2)</w:t>
      </w:r>
    </w:p>
    <w:p>
      <w:pPr>
        <w:pStyle w:val="ListParagraph"/>
        <w:numPr>
          <w:ilvl w:val="0"/>
          <w:numId w:val="2"/>
        </w:numPr>
        <w:spacing w:after="60"/>
      </w:pPr>
      <w:r>
        <w:t xml:space="preserve">At any time, the oil price is hit by </w:t>
      </w:r>
      <w:r>
        <w:rPr>
          <w:b/>
          <w:bCs/>
        </w:rPr>
        <w:t xml:space="preserve">several shocks at once</w:t>
      </w:r>
      <w:r>
        <w:t xml:space="preserve">, and the </w:t>
      </w:r>
      <w:r>
        <w:rPr>
          <w:b/>
          <w:bCs/>
        </w:rPr>
        <w:t xml:space="preserve">mix changes over time</w:t>
      </w:r>
      <w:r>
        <w:t xml:space="preserve">.</w:t>
      </w:r>
    </w:p>
    <w:p>
      <w:pPr>
        <w:pStyle w:val="ListParagraph"/>
        <w:numPr>
          <w:ilvl w:val="0"/>
          <w:numId w:val="2"/>
        </w:numPr>
        <w:spacing w:after="60"/>
      </w:pPr>
      <w:r>
        <w:t xml:space="preserve">1979–80 example: no global supply disruption in 1978–79 (Iranian cuts offset elsewhere), a disruption in 1980 (Iran–Iraq War), repeated positive demand shocks 1978–80, and a big oil-specific demand shock in </w:t>
      </w:r>
      <w:r>
        <w:rPr>
          <w:b/>
          <w:bCs/>
        </w:rPr>
        <w:t xml:space="preserve">1979 only</w:t>
      </w:r>
      <w:r>
        <w:t xml:space="preserve"> (revolution, hostage crisis, Soviet invasion of Afghanistan).</w:t>
      </w:r>
    </w:p>
    <w:p>
      <w:pPr>
        <w:pStyle w:val="Heading3"/>
      </w:pPr>
      <w:r>
        <w:t xml:space="preserve">Responses to the shocks (Figure 3)</w:t>
      </w:r>
    </w:p>
    <w:p>
      <w:pPr>
        <w:pStyle w:val="ListParagraph"/>
        <w:numPr>
          <w:ilvl w:val="0"/>
          <w:numId w:val="2"/>
        </w:numPr>
        <w:spacing w:after="60"/>
      </w:pPr>
      <w:r>
        <w:rPr>
          <w:b/>
          <w:bCs/>
        </w:rPr>
        <w:t xml:space="preserve">Supply disruption:</w:t>
      </w:r>
      <w:r>
        <w:t xml:space="preserve"> production falls sharply, then partly recovers within a year (other producers step in). Price rises only </w:t>
      </w:r>
      <w:r>
        <w:rPr>
          <w:b/>
          <w:bCs/>
        </w:rPr>
        <w:t xml:space="preserve">slightly and temporarily</w:t>
      </w:r>
      <w:r>
        <w:t xml:space="preserve"> (about 8 months).</w:t>
      </w:r>
    </w:p>
    <w:p>
      <w:pPr>
        <w:pStyle w:val="ListParagraph"/>
        <w:numPr>
          <w:ilvl w:val="0"/>
          <w:numId w:val="2"/>
        </w:numPr>
        <w:spacing w:after="60"/>
      </w:pPr>
      <w:r>
        <w:rPr>
          <w:b/>
          <w:bCs/>
        </w:rPr>
        <w:t xml:space="preserve">Aggregate demand expansion:</w:t>
      </w:r>
      <w:r>
        <w:t xml:space="preserve"> activity stays high for over a year; the price rise is </w:t>
      </w:r>
      <w:r>
        <w:rPr>
          <w:b/>
          <w:bCs/>
        </w:rPr>
        <w:t xml:space="preserve">large and persistent</w:t>
      </w:r>
      <w:r>
        <w:t xml:space="preserve"> but much of it is </w:t>
      </w:r>
      <w:r>
        <w:rPr>
          <w:b/>
          <w:bCs/>
        </w:rPr>
        <w:t xml:space="preserve">delayed by about half a year</w:t>
      </w:r>
      <w:r>
        <w:t xml:space="preserve">.</w:t>
      </w:r>
    </w:p>
    <w:p>
      <w:pPr>
        <w:pStyle w:val="ListParagraph"/>
        <w:numPr>
          <w:ilvl w:val="0"/>
          <w:numId w:val="2"/>
        </w:numPr>
        <w:spacing w:after="60"/>
      </w:pPr>
      <w:r>
        <w:rPr>
          <w:b/>
          <w:bCs/>
        </w:rPr>
        <w:t xml:space="preserve">Oil-specific demand increase:</w:t>
      </w:r>
      <w:r>
        <w:t xml:space="preserve"> </w:t>
      </w:r>
      <w:r>
        <w:rPr>
          <w:b/>
          <w:bCs/>
        </w:rPr>
        <w:t xml:space="preserve">immediate, large, persistent</w:t>
      </w:r>
      <w:r>
        <w:t xml:space="preserve"> price rise, with </w:t>
      </w:r>
      <w:r>
        <w:rPr>
          <w:b/>
          <w:bCs/>
        </w:rPr>
        <w:t xml:space="preserve">overshooting</w:t>
      </w:r>
      <w:r>
        <w:t xml:space="preserve">. Production doesn't rise.</w:t>
      </w:r>
    </w:p>
    <w:p>
      <w:pPr>
        <w:pStyle w:val="ListParagraph"/>
        <w:numPr>
          <w:ilvl w:val="0"/>
          <w:numId w:val="2"/>
        </w:numPr>
        <w:spacing w:after="60"/>
      </w:pPr>
      <w:r>
        <w:t xml:space="preserve">Most striking result: supply disruptions barely move the price. The answer to “what moves prices after Middle East events?” is </w:t>
      </w:r>
      <w:r>
        <w:rPr>
          <w:b/>
          <w:bCs/>
        </w:rPr>
        <w:t xml:space="preserve">precautionary demand</w:t>
      </w:r>
      <w:r>
        <w:t xml:space="preserve">, because expectations can change </w:t>
      </w:r>
      <w:r>
        <w:rPr>
          <w:b/>
          <w:bCs/>
        </w:rPr>
        <w:t xml:space="preserve">almost instantly</w:t>
      </w:r>
      <w:r>
        <w:t xml:space="preserve">.</w:t>
      </w:r>
    </w:p>
    <w:p>
      <w:pPr>
        <w:pStyle w:val="Heading3"/>
      </w:pPr>
      <w:r>
        <w:t xml:space="preserve">Historical decomposition (Figure 4, 1976:1–2007:12)</w:t>
      </w:r>
    </w:p>
    <w:p>
      <w:pPr>
        <w:pStyle w:val="ListParagraph"/>
        <w:numPr>
          <w:ilvl w:val="0"/>
          <w:numId w:val="2"/>
        </w:numPr>
        <w:spacing w:after="60"/>
      </w:pPr>
      <w:r>
        <w:t xml:space="preserve">Supply shocks contributed </w:t>
      </w:r>
      <w:r>
        <w:rPr>
          <w:b/>
          <w:bCs/>
        </w:rPr>
        <w:t xml:space="preserve">little</w:t>
      </w:r>
      <w:r>
        <w:t xml:space="preserve">. Aggregate demand → </w:t>
      </w:r>
      <w:r>
        <w:rPr>
          <w:b/>
          <w:bCs/>
        </w:rPr>
        <w:t xml:space="preserve">long swings</w:t>
      </w:r>
      <w:r>
        <w:t xml:space="preserve">. Oil-specific demand → </w:t>
      </w:r>
      <w:r>
        <w:rPr>
          <w:b/>
          <w:bCs/>
        </w:rPr>
        <w:t xml:space="preserve">sharp spikes and drops</w:t>
      </w:r>
      <w:r>
        <w:t xml:space="preserve">.</w:t>
      </w:r>
    </w:p>
    <w:p>
      <w:pPr>
        <w:pStyle w:val="ListParagraph"/>
        <w:numPr>
          <w:ilvl w:val="0"/>
          <w:numId w:val="2"/>
        </w:numPr>
        <w:spacing w:after="60"/>
      </w:pPr>
      <w:r>
        <w:t xml:space="preserve">Episodes: 1979–80 = precautionary spike on top of a demand boom; 1986 collapse = fall in precautionary demand after OPEC broke down; </w:t>
      </w:r>
      <w:r>
        <w:rPr>
          <w:b/>
          <w:bCs/>
        </w:rPr>
        <w:t xml:space="preserve">1990–91 Kuwait = almost entirely precautionary demand</w:t>
      </w:r>
      <w:r>
        <w:t xml:space="preserve">; 1997–98 Asian crisis = precautionary demand “all but vanished”; fall after 9/11; </w:t>
      </w:r>
      <w:r>
        <w:rPr>
          <w:b/>
          <w:bCs/>
        </w:rPr>
        <w:t xml:space="preserve">2002–2007 rise almost entirely global demand</w:t>
      </w:r>
      <w:r>
        <w:t xml:space="preserve">, no role for precautionary demand or supply.</w:t>
      </w:r>
    </w:p>
    <w:p>
      <w:pPr>
        <w:pStyle w:val="ListParagraph"/>
        <w:numPr>
          <w:ilvl w:val="0"/>
          <w:numId w:val="2"/>
        </w:numPr>
        <w:spacing w:after="60"/>
      </w:pPr>
      <w:r>
        <w:t xml:space="preserve">Big point: production-based measures miss expectation shifts. The main channel for wars and revolutions is precautionary demand, which can move prices </w:t>
      </w:r>
      <w:r>
        <w:rPr>
          <w:b/>
          <w:bCs/>
        </w:rPr>
        <w:t xml:space="preserve">even when production hasn't changed</w:t>
      </w:r>
      <w:r>
        <w:t xml:space="preserve">. This had “never been quantified before” because expectations aren't observable or linearly related to observables.</w:t>
      </w:r>
    </w:p>
    <w:p>
      <w:pPr>
        <w:pStyle w:val="Heading3"/>
      </w:pPr>
      <w:r>
        <w:t xml:space="preserve">Sensitivity analysis</w:t>
      </w:r>
    </w:p>
    <w:p>
      <w:pPr>
        <w:pStyle w:val="ListParagraph"/>
        <w:numPr>
          <w:ilvl w:val="0"/>
          <w:numId w:val="2"/>
        </w:numPr>
        <w:spacing w:after="60"/>
      </w:pPr>
      <w:r>
        <w:t xml:space="preserve">The identification relies on delay restrictions that are “economically plausible only at monthly frequency”.</w:t>
      </w:r>
    </w:p>
    <w:p>
      <w:pPr>
        <w:pStyle w:val="ListParagraph"/>
        <w:numPr>
          <w:ilvl w:val="0"/>
          <w:numId w:val="2"/>
        </w:numPr>
        <w:spacing w:after="60"/>
      </w:pPr>
      <w:r>
        <w:t xml:space="preserve">Using OECD industrial production instead of the freight index gives similar results for supply and oil-specific shocks, but misses the post-2002 Asian boom, so it wrongly blames recent rises on precautionary demand. A </w:t>
      </w:r>
      <w:r>
        <w:rPr>
          <w:b/>
          <w:bCs/>
        </w:rPr>
        <w:t xml:space="preserve">truly global</w:t>
      </w:r>
      <w:r>
        <w:t xml:space="preserve"> activity measure matters.</w:t>
      </w:r>
    </w:p>
    <w:p>
      <w:pPr>
        <w:spacing w:after="80" w:before="160"/>
      </w:pPr>
      <w:r>
        <w:rPr>
          <w:b/>
          <w:bCs/>
          <w:color w:val="1F4E79"/>
        </w:rPr>
        <w:t xml:space="preserve">What it means for my project</w:t>
      </w:r>
    </w:p>
    <w:p>
      <w:pPr>
        <w:pStyle w:val="ListParagraph"/>
        <w:numPr>
          <w:ilvl w:val="0"/>
          <w:numId w:val="2"/>
        </w:numPr>
        <w:spacing w:after="60"/>
      </w:pPr>
      <w:r>
        <w:rPr>
          <w:b/>
          <w:bCs/>
        </w:rPr>
        <w:t xml:space="preserve">Timing matters for my 5-day horizon.</w:t>
      </w:r>
      <w:r>
        <w:t xml:space="preserve"> Precautionary shocks hit the price </w:t>
      </w:r>
      <w:r>
        <w:rPr>
          <w:b/>
          <w:bCs/>
        </w:rPr>
        <w:t xml:space="preserve">immediately</w:t>
      </w:r>
      <w:r>
        <w:t xml:space="preserve">; aggregate demand works with a </w:t>
      </w:r>
      <w:r>
        <w:rPr>
          <w:b/>
          <w:bCs/>
        </w:rPr>
        <w:t xml:space="preserve">6-month delay</w:t>
      </w:r>
      <w:r>
        <w:t xml:space="preserve">. So for a weekly signal I'd expect risk/news features to matter most in crisis weeks, and demand features to act more like slow background (regime) variables. I can test this with SHAP importance over time.</w:t>
      </w:r>
    </w:p>
    <w:p>
      <w:pPr>
        <w:pStyle w:val="ListParagraph"/>
        <w:numPr>
          <w:ilvl w:val="0"/>
          <w:numId w:val="2"/>
        </w:numPr>
        <w:spacing w:after="60"/>
      </w:pPr>
      <w:r>
        <w:rPr>
          <w:b/>
          <w:bCs/>
        </w:rPr>
        <w:t xml:space="preserve">The mix of shocks changes over time</w:t>
      </w:r>
      <w:r>
        <w:t xml:space="preserve"> (Figure 2), which is the economic reason relationships in my data won't be stable. That supports </w:t>
      </w:r>
      <w:r>
        <w:rPr>
          <w:b/>
          <w:bCs/>
        </w:rPr>
        <w:t xml:space="preserve">walk-forward retraining</w:t>
      </w:r>
      <w:r>
        <w:t xml:space="preserve"> and </w:t>
      </w:r>
      <w:r>
        <w:rPr>
          <w:b/>
          <w:bCs/>
        </w:rPr>
        <w:t xml:space="preserve">regime detection</w:t>
      </w:r>
      <w:r>
        <w:t xml:space="preserve">, and it's a better justification than “markets change”.</w:t>
      </w:r>
    </w:p>
    <w:p>
      <w:pPr>
        <w:pStyle w:val="ListParagraph"/>
        <w:numPr>
          <w:ilvl w:val="0"/>
          <w:numId w:val="2"/>
        </w:numPr>
        <w:spacing w:after="60"/>
      </w:pPr>
      <w:r>
        <w:rPr>
          <w:b/>
          <w:bCs/>
        </w:rPr>
        <w:t xml:space="preserve">Overshooting</w:t>
      </w:r>
      <w:r>
        <w:t xml:space="preserve"> after precautionary shocks means sharp fear-driven spikes tend to partly reverse. That might show up as sell signals after spikes (my idea; I shouldn't claim it without checking my results).</w:t>
      </w:r>
    </w:p>
    <w:p>
      <w:pPr>
        <w:pStyle w:val="ListParagraph"/>
        <w:numPr>
          <w:ilvl w:val="0"/>
          <w:numId w:val="2"/>
        </w:numPr>
        <w:spacing w:after="60"/>
      </w:pPr>
      <w:r>
        <w:rPr>
          <w:b/>
          <w:bCs/>
        </w:rPr>
        <w:t xml:space="preserve">Supply disruptions alone barely move prices</w:t>
      </w:r>
      <w:r>
        <w:t xml:space="preserve">, partly because other producers make up the gap. So in the Hormuz case study, I should ask: did the price move because of </w:t>
      </w:r>
      <w:r>
        <w:rPr>
          <w:b/>
          <w:bCs/>
        </w:rPr>
        <w:t xml:space="preserve">lost flows</w:t>
      </w:r>
      <w:r>
        <w:t xml:space="preserve"> or because of </w:t>
      </w:r>
      <w:r>
        <w:rPr>
          <w:b/>
          <w:bCs/>
        </w:rPr>
        <w:t xml:space="preserve">fear</w:t>
      </w:r>
      <w:r>
        <w:t xml:space="preserve">? Comparing chokepoint-flow features with LLM-score features in SHAP is a direct test of Kilian's claim in a new episode. I shouldn't assume the answer; the 2026 crisis may have involved real physical disruption, unlike most of his sample.</w:t>
      </w:r>
    </w:p>
    <w:p>
      <w:pPr>
        <w:pStyle w:val="ListParagraph"/>
        <w:numPr>
          <w:ilvl w:val="0"/>
          <w:numId w:val="2"/>
        </w:numPr>
        <w:spacing w:after="60"/>
      </w:pPr>
      <w:r>
        <w:rPr>
          <w:b/>
          <w:bCs/>
        </w:rPr>
        <w:t xml:space="preserve">OECD vs global activity:</w:t>
      </w:r>
      <w:r>
        <w:t xml:space="preserve"> a reminder that my demand features should cover emerging markets (China/India), not just the US/OECD.</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b/>
          <w:bCs/>
          <w:color w:val="C00000"/>
        </w:rPr>
        <w:t xml:space="preserve">★ </w:t>
      </w:r>
      <w:r>
        <w:rPr>
          <w:i/>
          <w:iCs/>
        </w:rPr>
        <w:t xml:space="preserve">“Figure 2 shows that, at any point in time, the real price of oil responds to a multitude of shocks, the composition of which evolves over time.”</w:t>
      </w:r>
      <w:r>
        <w:rPr>
          <w:b/>
          <w:bCs/>
          <w:color w:val="1F4E79"/>
        </w:rPr>
        <w:t xml:space="preserve">  (Section II.B, p. 1060)</w:t>
      </w:r>
    </w:p>
    <w:p>
      <w:pPr>
        <w:spacing w:after="140"/>
        <w:ind w:left="360"/>
      </w:pPr>
      <w:r>
        <w:rPr>
          <w:b/>
          <w:bCs/>
        </w:rPr>
        <w:t xml:space="preserve">Use it for:</w:t>
      </w:r>
      <w:r>
        <w:t xml:space="preserve"> the economic reason for walk-forward retraining and regime detection.</w:t>
      </w:r>
    </w:p>
    <w:p>
      <w:pPr>
        <w:pBdr>
          <w:left w:val="single" w:color="1F4E79" w:sz="18" w:space="8"/>
        </w:pBdr>
        <w:shd w:fill="F2F6FA" w:color="auto" w:val="clear"/>
        <w:spacing w:after="40" w:before="120"/>
        <w:ind w:left="360"/>
      </w:pPr>
      <w:r>
        <w:rPr>
          <w:b/>
          <w:bCs/>
          <w:color w:val="C00000"/>
        </w:rPr>
        <w:t xml:space="preserve">★ </w:t>
      </w:r>
      <w:r>
        <w:rPr>
          <w:i/>
          <w:iCs/>
        </w:rPr>
        <w:t xml:space="preserve">“Perhaps the most striking result in Figure 3 is the fact that unanticipated oil supply disruptions have only a small positive effect on the real price of oil.”</w:t>
      </w:r>
      <w:r>
        <w:rPr>
          <w:b/>
          <w:bCs/>
          <w:color w:val="1F4E79"/>
        </w:rPr>
        <w:t xml:space="preserve">  (Section II.B, p. 1062)</w:t>
      </w:r>
    </w:p>
    <w:p>
      <w:pPr>
        <w:spacing w:after="140"/>
        <w:ind w:left="360"/>
      </w:pPr>
      <w:r>
        <w:rPr>
          <w:b/>
          <w:bCs/>
        </w:rPr>
        <w:t xml:space="preserve">Use it for:</w:t>
      </w:r>
      <w:r>
        <w:t xml:space="preserve"> why production data alone isn't enough to forecast crisis-driven moves.</w:t>
      </w:r>
    </w:p>
    <w:p>
      <w:pPr>
        <w:pBdr>
          <w:left w:val="single" w:color="1F4E79" w:sz="18" w:space="8"/>
        </w:pBdr>
        <w:shd w:fill="F2F6FA" w:color="auto" w:val="clear"/>
        <w:spacing w:after="40" w:before="120"/>
        <w:ind w:left="360"/>
      </w:pPr>
      <w:r>
        <w:rPr>
          <w:i/>
          <w:iCs/>
        </w:rPr>
        <w:t xml:space="preserve">“Part of the explanation is that oil supply disruptions in one region tend to trigger endogenous expansions of crude oil production elsewhere in the world that help offset the initial production shortfall.”</w:t>
      </w:r>
      <w:r>
        <w:rPr>
          <w:b/>
          <w:bCs/>
          <w:color w:val="1F4E79"/>
        </w:rPr>
        <w:t xml:space="preserve">  (Section II.B, p. 1062)</w:t>
      </w:r>
    </w:p>
    <w:p>
      <w:pPr>
        <w:spacing w:after="140"/>
        <w:ind w:left="360"/>
      </w:pPr>
      <w:r>
        <w:rPr>
          <w:b/>
          <w:bCs/>
        </w:rPr>
        <w:t xml:space="preserve">Use it for:</w:t>
      </w:r>
      <w:r>
        <w:t xml:space="preserve"> explaining why supply shocks fade; useful for interpreting Hormuz (spare capacity, rerouting).</w:t>
      </w:r>
    </w:p>
    <w:p>
      <w:pPr>
        <w:pBdr>
          <w:left w:val="single" w:color="1F4E79" w:sz="18" w:space="8"/>
        </w:pBdr>
        <w:shd w:fill="F2F6FA" w:color="auto" w:val="clear"/>
        <w:spacing w:after="40" w:before="120"/>
        <w:ind w:left="360"/>
      </w:pPr>
      <w:r>
        <w:rPr>
          <w:b/>
          <w:bCs/>
          <w:color w:val="C00000"/>
        </w:rPr>
        <w:t xml:space="preserve">★ </w:t>
      </w:r>
      <w:r>
        <w:rPr>
          <w:i/>
          <w:iCs/>
        </w:rPr>
        <w:t xml:space="preserve">“As shifts in precautionary demand are ultimately driven by expectations about future oil supply shortfalls, and such expectations can change almost instantaneously in response to exogenous political events, they tend to trigger an immediate and sharp increase in the real price of oil.”</w:t>
      </w:r>
      <w:r>
        <w:rPr>
          <w:b/>
          <w:bCs/>
          <w:color w:val="1F4E79"/>
        </w:rPr>
        <w:t xml:space="preserve">  (Section II.B, p. 1062)</w:t>
      </w:r>
    </w:p>
    <w:p>
      <w:pPr>
        <w:spacing w:after="140"/>
        <w:ind w:left="360"/>
      </w:pPr>
      <w:r>
        <w:rPr>
          <w:b/>
          <w:bCs/>
        </w:rPr>
        <w:t xml:space="preserve">Use it for:</w:t>
      </w:r>
      <w:r>
        <w:t xml:space="preserve"> why fast news-based features suit a weekly horizon.</w:t>
      </w:r>
    </w:p>
    <w:p>
      <w:pPr>
        <w:pBdr>
          <w:left w:val="single" w:color="1F4E79" w:sz="18" w:space="8"/>
        </w:pBdr>
        <w:shd w:fill="F2F6FA" w:color="auto" w:val="clear"/>
        <w:spacing w:after="40" w:before="120"/>
        <w:ind w:left="360"/>
      </w:pPr>
      <w:r>
        <w:rPr>
          <w:i/>
          <w:iCs/>
        </w:rPr>
        <w:t xml:space="preserve">“There is evidence of overshooting in the response, as predicted by theoretical models of precautionary demand (see Alquist and Kilian forthcoming).”</w:t>
      </w:r>
      <w:r>
        <w:rPr>
          <w:b/>
          <w:bCs/>
          <w:color w:val="1F4E79"/>
        </w:rPr>
        <w:t xml:space="preserve">  (Section II.B, p. 1062)</w:t>
      </w:r>
    </w:p>
    <w:p>
      <w:pPr>
        <w:spacing w:after="140"/>
        <w:ind w:left="360"/>
      </w:pPr>
      <w:r>
        <w:rPr>
          <w:b/>
          <w:bCs/>
        </w:rPr>
        <w:t xml:space="preserve">Use it for:</w:t>
      </w:r>
      <w:r>
        <w:t xml:space="preserve"> if I look at partial reversals after fear-driven spikes.</w:t>
      </w:r>
    </w:p>
    <w:p>
      <w:pPr>
        <w:pBdr>
          <w:left w:val="single" w:color="1F4E79" w:sz="18" w:space="8"/>
        </w:pBdr>
        <w:shd w:fill="F2F6FA" w:color="auto" w:val="clear"/>
        <w:spacing w:after="40" w:before="120"/>
        <w:ind w:left="360"/>
      </w:pPr>
      <w:r>
        <w:rPr>
          <w:b/>
          <w:bCs/>
          <w:color w:val="C00000"/>
        </w:rPr>
        <w:t xml:space="preserve">★ </w:t>
      </w:r>
      <w:r>
        <w:rPr>
          <w:i/>
          <w:iCs/>
        </w:rPr>
        <w:t xml:space="preserve">“Whereas the aggregate demand shock caused long swings in the real price of oil, the oil market–specific demand shock is responsible for fairly sharply defined increases and decreases in the price of oil.”</w:t>
      </w:r>
      <w:r>
        <w:rPr>
          <w:b/>
          <w:bCs/>
          <w:color w:val="1F4E79"/>
        </w:rPr>
        <w:t xml:space="preserve">  (Section II.B, p. 1062)</w:t>
      </w:r>
    </w:p>
    <w:p>
      <w:pPr>
        <w:spacing w:after="140"/>
        <w:ind w:left="360"/>
      </w:pPr>
      <w:r>
        <w:rPr>
          <w:b/>
          <w:bCs/>
        </w:rPr>
        <w:t xml:space="preserve">Use it for:</w:t>
      </w:r>
      <w:r>
        <w:t xml:space="preserve"> demand features = slow swings, risk features = sharp moves.</w:t>
      </w:r>
    </w:p>
    <w:p>
      <w:pPr>
        <w:pBdr>
          <w:left w:val="single" w:color="1F4E79" w:sz="18" w:space="8"/>
        </w:pBdr>
        <w:shd w:fill="F2F6FA" w:color="auto" w:val="clear"/>
        <w:spacing w:after="40" w:before="120"/>
        <w:ind w:left="360"/>
      </w:pPr>
      <w:r>
        <w:rPr>
          <w:i/>
          <w:iCs/>
        </w:rPr>
        <w:t xml:space="preserve">“Similarly, the sharp spike in the real price of oil in 1990–1991 after the invasion of Kuwait is almost entirely due to an increase in precautionary demand.”</w:t>
      </w:r>
      <w:r>
        <w:rPr>
          <w:b/>
          <w:bCs/>
          <w:color w:val="1F4E79"/>
        </w:rPr>
        <w:t xml:space="preserve">  (Section II.B, p. 1063)</w:t>
      </w:r>
    </w:p>
    <w:p>
      <w:pPr>
        <w:spacing w:after="140"/>
        <w:ind w:left="360"/>
      </w:pPr>
      <w:r>
        <w:rPr>
          <w:b/>
          <w:bCs/>
        </w:rPr>
        <w:t xml:space="preserve">Use it for:</w:t>
      </w:r>
      <w:r>
        <w:t xml:space="preserve"> the closest historical comparison for a Gulf crisis like Hormuz.</w:t>
      </w:r>
    </w:p>
    <w:p>
      <w:pPr>
        <w:pBdr>
          <w:left w:val="single" w:color="1F4E79" w:sz="18" w:space="8"/>
        </w:pBdr>
        <w:shd w:fill="F2F6FA" w:color="auto" w:val="clear"/>
        <w:spacing w:after="40" w:before="120"/>
        <w:ind w:left="360"/>
      </w:pPr>
      <w:r>
        <w:rPr>
          <w:i/>
          <w:iCs/>
        </w:rPr>
        <w:t xml:space="preserve">“The most striking observation in Figure 4 is that the rise in the real price of oil since early 2002 is almost entirely due to a surge in real economic activity that started around 2001.”</w:t>
      </w:r>
      <w:r>
        <w:rPr>
          <w:b/>
          <w:bCs/>
          <w:color w:val="1F4E79"/>
        </w:rPr>
        <w:t xml:space="preserve">  (Section II.B, p. 1064)</w:t>
      </w:r>
    </w:p>
    <w:p>
      <w:pPr>
        <w:spacing w:after="140"/>
        <w:ind w:left="360"/>
      </w:pPr>
      <w:r>
        <w:rPr>
          <w:b/>
          <w:bCs/>
        </w:rPr>
        <w:t xml:space="preserve">Use it for:</w:t>
      </w:r>
      <w:r>
        <w:t xml:space="preserve"> showing not every big rise is about risk, so demand features are needed too.</w:t>
      </w:r>
    </w:p>
    <w:p>
      <w:pPr>
        <w:pBdr>
          <w:left w:val="single" w:color="1F4E79" w:sz="18" w:space="8"/>
        </w:pBdr>
        <w:shd w:fill="F2F6FA" w:color="auto" w:val="clear"/>
        <w:spacing w:after="40" w:before="120"/>
        <w:ind w:left="360"/>
      </w:pPr>
      <w:r>
        <w:rPr>
          <w:b/>
          <w:bCs/>
          <w:color w:val="C00000"/>
        </w:rPr>
        <w:t xml:space="preserve">★ </w:t>
      </w:r>
      <w:r>
        <w:rPr>
          <w:i/>
          <w:iCs/>
        </w:rPr>
        <w:t xml:space="preserve">“The evidence in Figure 4 shows that not all oil price shocks are alike.”</w:t>
      </w:r>
      <w:r>
        <w:rPr>
          <w:b/>
          <w:bCs/>
          <w:color w:val="1F4E79"/>
        </w:rPr>
        <w:t xml:space="preserve">  (Section II.B, p. 1064)</w:t>
      </w:r>
    </w:p>
    <w:p>
      <w:pPr>
        <w:spacing w:after="140"/>
        <w:ind w:left="360"/>
      </w:pPr>
      <w:r>
        <w:rPr>
          <w:b/>
          <w:bCs/>
        </w:rPr>
        <w:t xml:space="preserve">Use it for:</w:t>
      </w:r>
      <w:r>
        <w:t xml:space="preserve"> a short line for the lit review.</w:t>
      </w:r>
    </w:p>
    <w:p>
      <w:pPr>
        <w:pBdr>
          <w:left w:val="single" w:color="1F4E79" w:sz="18" w:space="8"/>
        </w:pBdr>
        <w:shd w:fill="F2F6FA" w:color="auto" w:val="clear"/>
        <w:spacing w:after="40" w:before="120"/>
        <w:ind w:left="360"/>
      </w:pPr>
      <w:r>
        <w:rPr>
          <w:i/>
          <w:iCs/>
        </w:rPr>
        <w:t xml:space="preserve">“That approach fails to capture shifts in market expectations that are not reflected in observed changes to crude oil production.”</w:t>
      </w:r>
      <w:r>
        <w:rPr>
          <w:b/>
          <w:bCs/>
          <w:color w:val="1F4E79"/>
        </w:rPr>
        <w:t xml:space="preserve">  (Section II.B, p. 1064)</w:t>
      </w:r>
    </w:p>
    <w:p>
      <w:pPr>
        <w:spacing w:after="140"/>
        <w:ind w:left="360"/>
      </w:pPr>
      <w:r>
        <w:rPr>
          <w:b/>
          <w:bCs/>
        </w:rPr>
        <w:t xml:space="preserve">Use it for:</w:t>
      </w:r>
      <w:r>
        <w:t xml:space="preserve"> the weakness of production-only models, which my Model A shares.</w:t>
      </w:r>
    </w:p>
    <w:p>
      <w:pPr>
        <w:pBdr>
          <w:left w:val="single" w:color="1F4E79" w:sz="18" w:space="8"/>
        </w:pBdr>
        <w:shd w:fill="F2F6FA" w:color="auto" w:val="clear"/>
        <w:spacing w:after="40" w:before="120"/>
        <w:ind w:left="360"/>
      </w:pPr>
      <w:r>
        <w:rPr>
          <w:b/>
          <w:bCs/>
          <w:color w:val="C00000"/>
        </w:rPr>
        <w:t xml:space="preserve">★ </w:t>
      </w:r>
      <w:r>
        <w:rPr>
          <w:i/>
          <w:iCs/>
        </w:rPr>
        <w:t xml:space="preserve">“The results of this section, in contrast, suggest that the most important channel by which exogenous events such as wars or revolutions affect the real price of oil is through their effect on precautionary demand for oil.”</w:t>
      </w:r>
      <w:r>
        <w:rPr>
          <w:b/>
          <w:bCs/>
          <w:color w:val="1F4E79"/>
        </w:rPr>
        <w:t xml:space="preserve">  (Section II.B, p. 1064)</w:t>
      </w:r>
    </w:p>
    <w:p>
      <w:pPr>
        <w:spacing w:after="140"/>
        <w:ind w:left="360"/>
      </w:pPr>
      <w:r>
        <w:rPr>
          <w:b/>
          <w:bCs/>
        </w:rPr>
        <w:t xml:space="preserve">Use it for:</w:t>
      </w:r>
      <w:r>
        <w:t xml:space="preserve"> the core claim behind my supply-risk features and Hormuz case study.</w:t>
      </w:r>
    </w:p>
    <w:p>
      <w:pPr>
        <w:pBdr>
          <w:left w:val="single" w:color="1F4E79" w:sz="18" w:space="8"/>
        </w:pBdr>
        <w:shd w:fill="F2F6FA" w:color="auto" w:val="clear"/>
        <w:spacing w:after="40" w:before="120"/>
        <w:ind w:left="360"/>
      </w:pPr>
      <w:r>
        <w:rPr>
          <w:b/>
          <w:bCs/>
          <w:color w:val="C00000"/>
        </w:rPr>
        <w:t xml:space="preserve">★ </w:t>
      </w:r>
      <w:r>
        <w:rPr>
          <w:i/>
          <w:iCs/>
        </w:rPr>
        <w:t xml:space="preserve">“This point has been recognized for a long time, but it has never been quantified before, the fundamental difficulty being that expectation shifts related to uncertainty about future oil supply shortfalls are not observable and not linearly related to observables.”</w:t>
      </w:r>
      <w:r>
        <w:rPr>
          <w:b/>
          <w:bCs/>
          <w:color w:val="1F4E79"/>
        </w:rPr>
        <w:t xml:space="preserve">  (Section II.B, p. 1064)</w:t>
      </w:r>
    </w:p>
    <w:p>
      <w:pPr>
        <w:spacing w:after="140"/>
        <w:ind w:left="360"/>
      </w:pPr>
      <w:r>
        <w:rPr>
          <w:b/>
          <w:bCs/>
        </w:rPr>
        <w:t xml:space="preserve">Use it for:</w:t>
      </w:r>
      <w:r>
        <w:t xml:space="preserve"> the gap my LLM scores + non-linear models address.</w:t>
      </w:r>
    </w:p>
    <w:p>
      <w:pPr>
        <w:pBdr>
          <w:left w:val="single" w:color="1F4E79" w:sz="18" w:space="8"/>
        </w:pBdr>
        <w:shd w:fill="F2F6FA" w:color="auto" w:val="clear"/>
        <w:spacing w:after="40" w:before="120"/>
        <w:ind w:left="360"/>
      </w:pPr>
      <w:r>
        <w:rPr>
          <w:b/>
          <w:bCs/>
          <w:color w:val="C00000"/>
        </w:rPr>
        <w:t xml:space="preserve">★ </w:t>
      </w:r>
      <w:r>
        <w:rPr>
          <w:i/>
          <w:iCs/>
        </w:rPr>
        <w:t xml:space="preserve">“The approach to identifying structural shocks to the real price of oil adopted in this paper heavily relies on delay restrictions that are economically plausible only at monthly frequency.”</w:t>
      </w:r>
      <w:r>
        <w:rPr>
          <w:b/>
          <w:bCs/>
          <w:color w:val="1F4E79"/>
        </w:rPr>
        <w:t xml:space="preserve">  (Section II.B, Sensitivity Analysis, p. 1064)</w:t>
      </w:r>
    </w:p>
    <w:p>
      <w:pPr>
        <w:spacing w:after="140"/>
        <w:ind w:left="360"/>
      </w:pPr>
      <w:r>
        <w:rPr>
          <w:b/>
          <w:bCs/>
        </w:rPr>
        <w:t xml:space="preserve">Use it for:</w:t>
      </w:r>
      <w:r>
        <w:t xml:space="preserve"> why I don't copy the SVAR at weekly frequency.</w:t>
      </w:r>
    </w:p>
    <w:p>
      <w:pPr>
        <w:pBdr>
          <w:left w:val="single" w:color="1F4E79" w:sz="18" w:space="8"/>
        </w:pBdr>
        <w:shd w:fill="F2F6FA" w:color="auto" w:val="clear"/>
        <w:spacing w:after="40" w:before="120"/>
        <w:ind w:left="360"/>
      </w:pPr>
      <w:r>
        <w:rPr>
          <w:i/>
          <w:iCs/>
        </w:rPr>
        <w:t xml:space="preserve">“This sensitivity analysis highlights the importance of using a truly global measure of real activity.”</w:t>
      </w:r>
      <w:r>
        <w:rPr>
          <w:b/>
          <w:bCs/>
          <w:color w:val="1F4E79"/>
        </w:rPr>
        <w:t xml:space="preserve">  (Section II.B, Sensitivity Analysis, p. 1065)</w:t>
      </w:r>
    </w:p>
    <w:p>
      <w:pPr>
        <w:spacing w:after="140"/>
        <w:ind w:left="360"/>
      </w:pPr>
      <w:r>
        <w:rPr>
          <w:b/>
          <w:bCs/>
        </w:rPr>
        <w:t xml:space="preserve">Use it for:</w:t>
      </w:r>
      <w:r>
        <w:t xml:space="preserve"> justifying global (not US-only) demand features.</w:t>
      </w:r>
    </w:p>
    <w:p>
      <w:pPr>
        <w:pStyle w:val="Heading1"/>
      </w:pPr>
      <w:r>
        <w:t xml:space="preserve">Section III: Understanding the Effects of Oil Price Disturbances on the US Economy</w:t>
      </w:r>
    </w:p>
    <w:p>
      <w:pPr>
        <w:spacing w:after="80" w:before="160"/>
      </w:pPr>
      <w:r>
        <w:rPr>
          <w:b/>
          <w:bCs/>
          <w:color w:val="1F4E79"/>
        </w:rPr>
        <w:t xml:space="preserve">What it says</w:t>
      </w:r>
    </w:p>
    <w:p>
      <w:pPr>
        <w:pStyle w:val="ListParagraph"/>
        <w:numPr>
          <w:ilvl w:val="0"/>
          <w:numId w:val="2"/>
        </w:numPr>
        <w:spacing w:after="60"/>
      </w:pPr>
      <w:r>
        <w:rPr>
          <w:b/>
          <w:bCs/>
        </w:rPr>
        <w:t xml:space="preserve">III.A:</w:t>
      </w:r>
      <w:r>
        <w:t xml:space="preserve"> GDP isn't monthly, and a quarterly VAR wouldn't be credible, so he averages the monthly shocks into quarterly ones and regresses US GDP growth and CPI inflation on them (12 quarters of lags; block bootstrap, block size 4, 20,000 replications). He argues the shocks are predetermined with respect to US GDP.</w:t>
      </w:r>
    </w:p>
    <w:p>
      <w:pPr>
        <w:pStyle w:val="ListParagraph"/>
        <w:numPr>
          <w:ilvl w:val="0"/>
          <w:numId w:val="2"/>
        </w:numPr>
        <w:spacing w:after="60"/>
      </w:pPr>
      <w:r>
        <w:rPr>
          <w:b/>
          <w:bCs/>
        </w:rPr>
        <w:t xml:space="preserve">III.B results (Figure 5):</w:t>
      </w:r>
      <w:r>
        <w:t xml:space="preserve"> supply disruptions → temporary fall in GDP, little effect on prices. Aggregate demand expansion → GDP first up (if anything), then down by year 3; prices up. Precautionary demand → GDP down, prices up.</w:t>
      </w:r>
    </w:p>
    <w:p>
      <w:pPr>
        <w:pStyle w:val="ListParagraph"/>
        <w:numPr>
          <w:ilvl w:val="0"/>
          <w:numId w:val="2"/>
        </w:numPr>
        <w:spacing w:after="60"/>
      </w:pPr>
      <w:r>
        <w:t xml:space="preserve">This explains why the US didn't go into recession after the 2003–2007 rise (it was demand-driven), and why oil–macro regressions are </w:t>
      </w:r>
      <w:r>
        <w:rPr>
          <w:b/>
          <w:bCs/>
        </w:rPr>
        <w:t xml:space="preserve">unstable</w:t>
      </w:r>
      <w:r>
        <w:t xml:space="preserve">: the mix of shocks keeps changing.</w:t>
      </w:r>
    </w:p>
    <w:p>
      <w:pPr>
        <w:spacing w:after="80" w:before="160"/>
      </w:pPr>
      <w:r>
        <w:rPr>
          <w:b/>
          <w:bCs/>
          <w:color w:val="1F4E79"/>
        </w:rPr>
        <w:t xml:space="preserve">What it means for my project</w:t>
      </w:r>
    </w:p>
    <w:p>
      <w:pPr>
        <w:pStyle w:val="ListParagraph"/>
        <w:numPr>
          <w:ilvl w:val="0"/>
          <w:numId w:val="2"/>
        </w:numPr>
        <w:spacing w:after="60"/>
      </w:pPr>
      <w:r>
        <w:t xml:space="preserve">The US macro part is </w:t>
      </w:r>
      <w:r>
        <w:rPr>
          <w:b/>
          <w:bCs/>
        </w:rPr>
        <w:t xml:space="preserve">not central</w:t>
      </w:r>
      <w:r>
        <w:t xml:space="preserve"> for me. The useful bit is the </w:t>
      </w:r>
      <w:r>
        <w:rPr>
          <w:b/>
          <w:bCs/>
        </w:rPr>
        <w:t xml:space="preserve">instability</w:t>
      </w:r>
      <w:r>
        <w:t xml:space="preserve"> argument: a model fit on one period can fail in another because the mix of shocks changed. Same reason for walk-forward evaluation.</w:t>
      </w:r>
    </w:p>
    <w:p>
      <w:pPr>
        <w:pStyle w:val="ListParagraph"/>
        <w:numPr>
          <w:ilvl w:val="0"/>
          <w:numId w:val="2"/>
        </w:numPr>
        <w:spacing w:after="60"/>
      </w:pPr>
      <w:r>
        <w:t xml:space="preserve">Footnote 12 admits the bootstrap ignores </w:t>
      </w:r>
      <w:r>
        <w:rPr>
          <w:b/>
          <w:bCs/>
        </w:rPr>
        <w:t xml:space="preserve">generated regressors</w:t>
      </w:r>
      <w:r>
        <w:t xml:space="preserve"> (the shocks are estimates). A nice, minor point for the limits table; similar to my LLM scores being estimates fed into a model.</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“While one could construct an analogous structural VAR model on data aggregated to quarterly frequency, at that frequency the identifying assumptions would no longer be credible.”</w:t>
      </w:r>
      <w:r>
        <w:rPr>
          <w:b/>
          <w:bCs/>
          <w:color w:val="1F4E79"/>
        </w:rPr>
        <w:t xml:space="preserve">  (Section III.A, p. 1065)</w:t>
      </w:r>
    </w:p>
    <w:p>
      <w:pPr>
        <w:spacing w:after="140"/>
        <w:ind w:left="360"/>
      </w:pPr>
      <w:r>
        <w:rPr>
          <w:b/>
          <w:bCs/>
        </w:rPr>
        <w:t xml:space="preserve">Use it for:</w:t>
      </w:r>
      <w:r>
        <w:t xml:space="preserve"> showing the method depends on data frequency.</w:t>
      </w:r>
    </w:p>
    <w:p>
      <w:pPr>
        <w:pBdr>
          <w:left w:val="single" w:color="1F4E79" w:sz="18" w:space="8"/>
        </w:pBdr>
        <w:shd w:fill="F2F6FA" w:color="auto" w:val="clear"/>
        <w:spacing w:after="40" w:before="120"/>
        <w:ind w:left="360"/>
      </w:pPr>
      <w:r>
        <w:rPr>
          <w:i/>
          <w:iCs/>
        </w:rPr>
        <w:t xml:space="preserve">“More generally, the evidence in Figure 5 helps us understand the fact that regressions of macroeconomic aggregates on oil prices have proven unstable.”</w:t>
      </w:r>
      <w:r>
        <w:rPr>
          <w:b/>
          <w:bCs/>
          <w:color w:val="1F4E79"/>
        </w:rPr>
        <w:t xml:space="preserve">  (Section III.B, p. 1067)</w:t>
      </w:r>
    </w:p>
    <w:p>
      <w:pPr>
        <w:spacing w:after="140"/>
        <w:ind w:left="360"/>
      </w:pPr>
      <w:r>
        <w:rPr>
          <w:b/>
          <w:bCs/>
        </w:rPr>
        <w:t xml:space="preserve">Use it for:</w:t>
      </w:r>
      <w:r>
        <w:t xml:space="preserve"> instability of oil relationships over time.</w:t>
      </w:r>
    </w:p>
    <w:p>
      <w:pPr>
        <w:pBdr>
          <w:left w:val="single" w:color="1F4E79" w:sz="18" w:space="8"/>
        </w:pBdr>
        <w:shd w:fill="F2F6FA" w:color="auto" w:val="clear"/>
        <w:spacing w:after="40" w:before="120"/>
        <w:ind w:left="360"/>
      </w:pPr>
      <w:r>
        <w:rPr>
          <w:b/>
          <w:bCs/>
          <w:color w:val="C00000"/>
        </w:rPr>
        <w:t xml:space="preserve">★ </w:t>
      </w:r>
      <w:r>
        <w:rPr>
          <w:i/>
          <w:iCs/>
        </w:rPr>
        <w:t xml:space="preserve">“To the extent that the composition of the demand and supply shocks underlying increases in the price of oil has evolved over time, and each of these shocks is associated with a distinct response pattern, this outcome is exactly what we would expect.”</w:t>
      </w:r>
      <w:r>
        <w:rPr>
          <w:b/>
          <w:bCs/>
          <w:color w:val="1F4E79"/>
        </w:rPr>
        <w:t xml:space="preserve">  (Section III.B, p. 1067)</w:t>
      </w:r>
    </w:p>
    <w:p>
      <w:pPr>
        <w:spacing w:after="140"/>
        <w:ind w:left="360"/>
      </w:pPr>
      <w:r>
        <w:rPr>
          <w:b/>
          <w:bCs/>
        </w:rPr>
        <w:t xml:space="preserve">Use it for:</w:t>
      </w:r>
      <w:r>
        <w:t xml:space="preserve"> the economic reason behind regime changes, supporting walk-forward retraining and regime detection.</w:t>
      </w:r>
    </w:p>
    <w:p>
      <w:pPr>
        <w:pStyle w:val="Heading1"/>
      </w:pPr>
      <w:r>
        <w:t xml:space="preserve">Section IV: Conclusion</w:t>
      </w:r>
    </w:p>
    <w:p>
      <w:pPr>
        <w:spacing w:after="80" w:before="160"/>
      </w:pPr>
      <w:r>
        <w:rPr>
          <w:b/>
          <w:bCs/>
          <w:color w:val="1F4E79"/>
        </w:rPr>
        <w:t xml:space="preserve">What it says</w:t>
      </w:r>
    </w:p>
    <w:p>
      <w:pPr>
        <w:pStyle w:val="ListParagraph"/>
        <w:numPr>
          <w:ilvl w:val="0"/>
          <w:numId w:val="2"/>
        </w:numPr>
        <w:spacing w:after="60"/>
      </w:pPr>
      <w:r>
        <w:t xml:space="preserve">The “change the oil price, hold everything else fixed” thought experiment is not well defined: reverse causality, and shocks have direct as well as indirect effects.</w:t>
      </w:r>
    </w:p>
    <w:p>
      <w:pPr>
        <w:pStyle w:val="ListParagraph"/>
        <w:numPr>
          <w:ilvl w:val="0"/>
          <w:numId w:val="2"/>
        </w:numPr>
        <w:spacing w:after="60"/>
      </w:pPr>
      <w:r>
        <w:t xml:space="preserve">Four implications: (1) models assuming exogenous oil prices may mislead; (2) models should focus on the </w:t>
      </w:r>
      <w:r>
        <w:rPr>
          <w:b/>
          <w:bCs/>
        </w:rPr>
        <w:t xml:space="preserve">demand side</w:t>
      </w:r>
      <w:r>
        <w:t xml:space="preserve">, and </w:t>
      </w:r>
      <w:r>
        <w:rPr>
          <w:b/>
          <w:bCs/>
        </w:rPr>
        <w:t xml:space="preserve">expectation shifts deserve a much bigger role</w:t>
      </w:r>
      <w:r>
        <w:t xml:space="preserve">; (3) oil price innovations in macro VARs give an </w:t>
      </w:r>
      <w:r>
        <w:rPr>
          <w:b/>
          <w:bCs/>
        </w:rPr>
        <w:t xml:space="preserve">average</w:t>
      </w:r>
      <w:r>
        <w:t xml:space="preserve"> effect that can mislead for a </w:t>
      </w:r>
      <w:r>
        <w:rPr>
          <w:b/>
          <w:bCs/>
        </w:rPr>
        <w:t xml:space="preserve">specific</w:t>
      </w:r>
      <w:r>
        <w:t xml:space="preserve"> shock; (4) monetary policy rules reacting to oil prices in general are misspecified.</w:t>
      </w:r>
    </w:p>
    <w:p>
      <w:pPr>
        <w:spacing w:after="80" w:before="160"/>
      </w:pPr>
      <w:r>
        <w:rPr>
          <w:b/>
          <w:bCs/>
          <w:color w:val="1F4E79"/>
        </w:rPr>
        <w:t xml:space="preserve">What it means for my project</w:t>
      </w:r>
    </w:p>
    <w:p>
      <w:pPr>
        <w:pStyle w:val="ListParagraph"/>
        <w:numPr>
          <w:ilvl w:val="0"/>
          <w:numId w:val="2"/>
        </w:numPr>
        <w:spacing w:after="60"/>
      </w:pPr>
      <w:r>
        <w:t xml:space="preserve">Point (2) is a direct call for models that include </w:t>
      </w:r>
      <w:r>
        <w:rPr>
          <w:b/>
          <w:bCs/>
        </w:rPr>
        <w:t xml:space="preserve">expectations</w:t>
      </w:r>
      <w:r>
        <w:t xml:space="preserve">, which is what my news/LLM features try to bring in.</w:t>
      </w:r>
    </w:p>
    <w:p>
      <w:pPr>
        <w:pStyle w:val="ListParagraph"/>
        <w:numPr>
          <w:ilvl w:val="0"/>
          <w:numId w:val="2"/>
        </w:numPr>
        <w:spacing w:after="60"/>
      </w:pPr>
      <w:r>
        <w:t xml:space="preserve">Point (3) is a good analogy for my model: a single model fit on all history learns an </w:t>
      </w:r>
      <w:r>
        <w:rPr>
          <w:b/>
          <w:bCs/>
        </w:rPr>
        <w:t xml:space="preserve">average</w:t>
      </w:r>
      <w:r>
        <w:t xml:space="preserve"> response. In a specific crisis like Hormuz that average may be wrong, which is why I look at </w:t>
      </w:r>
      <w:r>
        <w:rPr>
          <w:b/>
          <w:bCs/>
        </w:rPr>
        <w:t xml:space="preserve">local</w:t>
      </w:r>
      <w:r>
        <w:t xml:space="preserve"> SHAP explanations for those weeks, not just global importance.</w:t>
      </w:r>
    </w:p>
    <w:p>
      <w:pPr>
        <w:spacing w:after="80" w:before="160"/>
      </w:pPr>
      <w:r>
        <w:rPr>
          <w:b/>
          <w:bCs/>
          <w:color w:val="1F4E79"/>
        </w:rPr>
        <w:t xml:space="preserve">Lines to quote</w:t>
      </w:r>
    </w:p>
    <w:p>
      <w:pPr>
        <w:pBdr>
          <w:left w:val="single" w:color="1F4E79" w:sz="18" w:space="8"/>
        </w:pBdr>
        <w:shd w:fill="F2F6FA" w:color="auto" w:val="clear"/>
        <w:spacing w:after="40" w:before="120"/>
        <w:ind w:left="360"/>
      </w:pPr>
      <w:r>
        <w:rPr>
          <w:i/>
          <w:iCs/>
        </w:rPr>
        <w:t xml:space="preserve">“The main point of the paper has been that the traditional thought experiment that this literature appeals to in answering this question is not well defined because it implicitly presumes that one can hold everything else fixed, while varying the price of oil.”</w:t>
      </w:r>
      <w:r>
        <w:rPr>
          <w:b/>
          <w:bCs/>
          <w:color w:val="1F4E79"/>
        </w:rPr>
        <w:t xml:space="preserve">  (Section IV, p. 1067)</w:t>
      </w:r>
    </w:p>
    <w:p>
      <w:pPr>
        <w:spacing w:after="140"/>
        <w:ind w:left="360"/>
      </w:pPr>
      <w:r>
        <w:rPr>
          <w:b/>
          <w:bCs/>
        </w:rPr>
        <w:t xml:space="preserve">Use it for:</w:t>
      </w:r>
      <w:r>
        <w:t xml:space="preserve"> summarising the paper in one line.</w:t>
      </w:r>
    </w:p>
    <w:p>
      <w:pPr>
        <w:pBdr>
          <w:left w:val="single" w:color="1F4E79" w:sz="18" w:space="8"/>
        </w:pBdr>
        <w:shd w:fill="F2F6FA" w:color="auto" w:val="clear"/>
        <w:spacing w:after="40" w:before="120"/>
        <w:ind w:left="360"/>
      </w:pPr>
      <w:r>
        <w:rPr>
          <w:i/>
          <w:iCs/>
        </w:rPr>
        <w:t xml:space="preserve">“Second, models of endogenous oil prices should focus on the demand side of the oil market.”</w:t>
      </w:r>
      <w:r>
        <w:rPr>
          <w:b/>
          <w:bCs/>
          <w:color w:val="1F4E79"/>
        </w:rPr>
        <w:t xml:space="preserve">  (Section IV, p. 1068)</w:t>
      </w:r>
    </w:p>
    <w:p>
      <w:pPr>
        <w:spacing w:after="140"/>
        <w:ind w:left="360"/>
      </w:pPr>
      <w:r>
        <w:rPr>
          <w:b/>
          <w:bCs/>
        </w:rPr>
        <w:t xml:space="preserve">Use it for:</w:t>
      </w:r>
      <w:r>
        <w:t xml:space="preserve"> supporting demand and risk features alongside supply data.</w:t>
      </w:r>
    </w:p>
    <w:p>
      <w:pPr>
        <w:pBdr>
          <w:left w:val="single" w:color="1F4E79" w:sz="18" w:space="8"/>
        </w:pBdr>
        <w:shd w:fill="F2F6FA" w:color="auto" w:val="clear"/>
        <w:spacing w:after="40" w:before="120"/>
        <w:ind w:left="360"/>
      </w:pPr>
      <w:r>
        <w:rPr>
          <w:b/>
          <w:bCs/>
          <w:color w:val="C00000"/>
        </w:rPr>
        <w:t xml:space="preserve">★ </w:t>
      </w:r>
      <w:r>
        <w:rPr>
          <w:i/>
          <w:iCs/>
        </w:rPr>
        <w:t xml:space="preserve">“My analysis showed that the traditional emphasis on physical oil supply shocks in explaining oil price shocks is misplaced. Instead, expectation shifts deserve a much greater role in models of the oil price.”</w:t>
      </w:r>
      <w:r>
        <w:rPr>
          <w:b/>
          <w:bCs/>
          <w:color w:val="1F4E79"/>
        </w:rPr>
        <w:t xml:space="preserve">  (Section IV, p. 1068)</w:t>
      </w:r>
    </w:p>
    <w:p>
      <w:pPr>
        <w:spacing w:after="140"/>
        <w:ind w:left="360"/>
      </w:pPr>
      <w:r>
        <w:rPr>
          <w:b/>
          <w:bCs/>
        </w:rPr>
        <w:t xml:space="preserve">Use it for:</w:t>
      </w:r>
      <w:r>
        <w:t xml:space="preserve"> a direct call for expectation-based features: the strongest justification for my LLM scores.</w:t>
      </w:r>
    </w:p>
    <w:p>
      <w:pPr>
        <w:pBdr>
          <w:left w:val="single" w:color="1F4E79" w:sz="18" w:space="8"/>
        </w:pBdr>
        <w:shd w:fill="F2F6FA" w:color="auto" w:val="clear"/>
        <w:spacing w:after="40" w:before="120"/>
        <w:ind w:left="360"/>
      </w:pPr>
      <w:r>
        <w:rPr>
          <w:i/>
          <w:iCs/>
        </w:rPr>
        <w:t xml:space="preserve">“Nevertheless, since this expectation by construction reflects the average composition of oil demand and oil supply shocks in the sample period, these estimates may be misleading when it comes to judging the macroeconomic effects of a specific oil price shock.”</w:t>
      </w:r>
      <w:r>
        <w:rPr>
          <w:b/>
          <w:bCs/>
          <w:color w:val="1F4E79"/>
        </w:rPr>
        <w:t xml:space="preserve">  (Section IV, p. 1068)</w:t>
      </w:r>
    </w:p>
    <w:p>
      <w:pPr>
        <w:spacing w:after="140"/>
        <w:ind w:left="360"/>
      </w:pPr>
      <w:r>
        <w:rPr>
          <w:b/>
          <w:bCs/>
        </w:rPr>
        <w:t xml:space="preserve">Use it for:</w:t>
      </w:r>
      <w:r>
        <w:t xml:space="preserve"> why average (global) effects can mislead for one episode, so local SHAP for Hormuz.</w:t>
      </w:r>
    </w:p>
    <w:p>
      <w:pPr>
        <w:pStyle w:val="Heading1"/>
      </w:pPr>
      <w:r>
        <w:t xml:space="preserve">How I'll Use Kilian (2009) in My Project</w:t>
      </w:r>
    </w:p>
    <w:p>
      <w:pPr>
        <w:spacing w:after="120"/>
      </w:pPr>
      <w:r>
        <w:rPr>
          <w:b/>
          <w:bCs/>
        </w:rPr>
        <w:t xml:space="preserve">All of this is my plan, not from the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8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Answers which question</w:t>
            </w:r>
          </w:p>
        </w:tc>
        <w:tc>
          <w:tcPr>
            <w:tcW w:type="dxa" w:w="1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Links to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Theory for supply-risk features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 precautionary demand is the main channel for political events; it's unobservable and non-linear; LLM scores are an observable proxy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Why should news-based risk scores help at all?</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Intro p. 1054; Section I p. 1055; II.B p. 1064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Feature groups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Group features into supply / global demand / precautionary-risk; report grouped SHAP by group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Which kind of shock does my model rely on?</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I; SHAP notes (grouped SHAP)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 A/B/C hypothesis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Expect B/C (with LLM scores) to beat A mainly in high-risk weeks, not on average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 LLM scores add value, and when?</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II.B: precautionary shocks are sharp and episodic</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Hormuz case study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Compare SHAP for chokepoint-flow features vs LLM-score features in crisis weeks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Was the move driven by lost flows or fear?</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Intro p. 1054; II.B p. 1062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Horizon reasoning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Explain why risk features suit a 5-day horizon and demand features act as slow background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Which features should matter at weekly frequency?</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Intro p. 1053; II.B p. 1062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Walk-forward + regimes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Cite the changing mix of shocks as the reason for retraining and regime detection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Why not one model fit on all history?</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II.B p. 1060; III.B p. 1067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Leakage check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If using Kilian's index or detrended shipping data, detrend within each fold and apply a publication lag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 my backtest using future information?</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I.A p. 1056</w:t>
            </w:r>
          </w:p>
        </w:tc>
      </w:tr>
    </w:tbl>
    <w:p>
      <w:pPr>
        <w:spacing w:after="120"/>
      </w:pPr>
    </w:p>
    <w:p>
      <w:pPr>
        <w:pBdr>
          <w:left w:val="single" w:color="C55A11" w:sz="18" w:space="8"/>
        </w:pBdr>
        <w:shd w:fill="FDF3E7" w:color="auto" w:val="clear"/>
        <w:spacing w:after="120" w:before="100"/>
        <w:ind w:left="360"/>
      </w:pPr>
      <w:r>
        <w:rPr>
          <w:b/>
          <w:bCs/>
        </w:rPr>
        <w:t xml:space="preserve">Practical things to get right (my notes):</w:t>
      </w:r>
      <w:r>
        <w:t xml:space="preserve"> (1) Kilian's data is </w:t>
      </w:r>
      <w:r>
        <w:rPr>
          <w:b/>
          <w:bCs/>
        </w:rPr>
        <w:t xml:space="preserve">monthly</w:t>
      </w:r>
      <w:r>
        <w:t xml:space="preserve"> and uses the </w:t>
      </w:r>
      <w:r>
        <w:rPr>
          <w:b/>
          <w:bCs/>
        </w:rPr>
        <w:t xml:space="preserve">real refiner acquisition cost</w:t>
      </w:r>
      <w:r>
        <w:t xml:space="preserve">, not weekly Brent. I'm borrowing his ideas, not his setup, so I should say that. (2) Any monthly feature (Kilian's index, EIA production) must be aligned to the date it was </w:t>
      </w:r>
      <w:r>
        <w:rPr>
          <w:b/>
          <w:bCs/>
        </w:rPr>
        <w:t xml:space="preserve">published</w:t>
      </w:r>
      <w:r>
        <w:t xml:space="preserve">, not the month it describes. (3) His sample ends in </w:t>
      </w:r>
      <w:r>
        <w:rPr>
          <w:b/>
          <w:bCs/>
        </w:rPr>
        <w:t xml:space="preserve">2007</w:t>
      </w:r>
      <w:r>
        <w:t xml:space="preserve">: no shale, no 2014–16 crash, no 2020 negative prices, no 2022 war. Cite Baumeister &amp; Kilian (2016) for the later picture. (4) Don't write “Kilian shows supply shocks don't matter”. He shows </w:t>
      </w:r>
      <w:r>
        <w:rPr>
          <w:b/>
          <w:bCs/>
        </w:rPr>
        <w:t xml:space="preserve">physical disruptions have small price effects in his sample under his assumptions</w:t>
      </w:r>
      <w:r>
        <w:t xml:space="preserve">, and that political events work mainly through precautionary demand.</w:t>
      </w:r>
    </w:p>
    <w:p>
      <w:pPr>
        <w:pStyle w:val="Heading1"/>
      </w:pPr>
      <w:r>
        <w:t xml:space="preserve">References Worth Following Up</w:t>
      </w:r>
    </w:p>
    <w:p>
      <w:pPr>
        <w:pStyle w:val="ListParagraph"/>
        <w:numPr>
          <w:ilvl w:val="0"/>
          <w:numId w:val="2"/>
        </w:numPr>
        <w:spacing w:after="60"/>
      </w:pPr>
      <w:r>
        <w:rPr>
          <w:b/>
          <w:bCs/>
        </w:rPr>
        <w:t xml:space="preserve">Alquist, R. and Kilian, L. (2010)</w:t>
      </w:r>
      <w:r>
        <w:t xml:space="preserve"> ‘What do we learn from the price of crude oil futures?’, Journal of Applied Econometrics, 25(4), pp. 539–573. The “forthcoming” paper cited throughout: precautionary demand theory and the futures-based measure (80% correlation).</w:t>
      </w:r>
    </w:p>
    <w:p>
      <w:pPr>
        <w:pStyle w:val="ListParagraph"/>
        <w:numPr>
          <w:ilvl w:val="0"/>
          <w:numId w:val="2"/>
        </w:numPr>
        <w:spacing w:after="60"/>
      </w:pPr>
      <w:r>
        <w:rPr>
          <w:b/>
          <w:bCs/>
        </w:rPr>
        <w:t xml:space="preserve">Barsky, R.B. and Kilian, L. (2004)</w:t>
      </w:r>
      <w:r>
        <w:t xml:space="preserve"> ‘Oil and the macroeconomy since the 1970s’, Journal of Economic Perspectives, 18(4), pp. 115–134. Readable background on the oil shocks of the 1970s onwards.</w:t>
      </w:r>
    </w:p>
    <w:p>
      <w:pPr>
        <w:pStyle w:val="ListParagraph"/>
        <w:numPr>
          <w:ilvl w:val="0"/>
          <w:numId w:val="2"/>
        </w:numPr>
        <w:spacing w:after="60"/>
      </w:pPr>
      <w:r>
        <w:rPr>
          <w:b/>
          <w:bCs/>
        </w:rPr>
        <w:t xml:space="preserve">Kilian, L. and Murphy, D.P. (2014)</w:t>
      </w:r>
      <w:r>
        <w:t xml:space="preserve"> ‘The role of inventories and speculative trading in the global market for crude oil’, Journal of Applied Econometrics, 29(3), pp. 454–478. Adds inventories and relaxes the vertical supply curve; links to the inventory/tightness idea.</w:t>
      </w:r>
    </w:p>
    <w:p>
      <w:pPr>
        <w:pStyle w:val="ListParagraph"/>
        <w:numPr>
          <w:ilvl w:val="0"/>
          <w:numId w:val="2"/>
        </w:numPr>
        <w:spacing w:after="60"/>
      </w:pPr>
      <w:r>
        <w:rPr>
          <w:b/>
          <w:bCs/>
        </w:rPr>
        <w:t xml:space="preserve">Baumeister, C. and Hamilton, J.D. (2019)</w:t>
      </w:r>
      <w:r>
        <w:t xml:space="preserve"> ‘Structural interpretation of vector autoregressions with incomplete identification: revisiting the role of oil supply and demand shocks’, American Economic Review, 109(5), pp. 1873–1910. The main critique: supply shocks matter more than Kilian found.</w:t>
      </w:r>
    </w:p>
    <w:p>
      <w:pPr>
        <w:pStyle w:val="ListParagraph"/>
        <w:numPr>
          <w:ilvl w:val="0"/>
          <w:numId w:val="2"/>
        </w:numPr>
        <w:spacing w:after="60"/>
      </w:pPr>
      <w:r>
        <w:rPr>
          <w:b/>
          <w:bCs/>
        </w:rPr>
        <w:t xml:space="preserve">Kilian, L. (2019)</w:t>
      </w:r>
      <w:r>
        <w:t xml:space="preserve"> ‘Measuring global real economic activity: do recent critiques hold up to scrutiny?’, Economics Letters, 178, pp. 106–110. Defends and updates the freight-rate index. Read before using the index as a feature.</w:t>
      </w:r>
    </w:p>
    <w:p>
      <w:pPr>
        <w:pStyle w:val="ListParagraph"/>
        <w:numPr>
          <w:ilvl w:val="0"/>
          <w:numId w:val="2"/>
        </w:numPr>
        <w:spacing w:after="60"/>
      </w:pPr>
      <w:r>
        <w:rPr>
          <w:b/>
          <w:bCs/>
        </w:rPr>
        <w:t xml:space="preserve">Hamilton, J.D. (2021)</w:t>
      </w:r>
      <w:r>
        <w:t xml:space="preserve"> ‘Measuring global economic activity’, Journal of Applied Econometrics, 36(3), pp. 293–303. Critique of the index and alternatives.</w:t>
      </w:r>
    </w:p>
    <w:p>
      <w:pPr>
        <w:spacing w:after="120"/>
      </w:pPr>
      <w:r>
        <w:t xml:space="preserve">I've checked these against my memory of the literature, not against the papers themselves. </w:t>
      </w:r>
      <w:r>
        <w:rPr>
          <w:b/>
          <w:bCs/>
        </w:rPr>
        <w:t xml:space="preserve">Confirm volume/page details on Google Scholar before they go into the bibliography.</w:t>
      </w:r>
    </w:p>
    <w:p>
      <w:pPr>
        <w:pStyle w:val="Heading1"/>
      </w:pPr>
      <w:r>
        <w:t xml:space="preserve">Problems and Limits of This Paper (for the critical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Problem</w:t>
            </w:r>
          </w:p>
        </w:tc>
        <w:tc>
          <w:tcPr>
            <w:tcW w:type="dxa" w:w="5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Why it matters for me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a forecasting paper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 explains past price moves using the full sample (historical decomposition). There's no out-of-sample test, so it says nothing directly about whether these shocks help </w:t>
            </w:r>
            <w:r>
              <w:rPr>
                <w:b w:val="false"/>
                <w:bCs w:val="false"/>
                <w:sz w:val="19"/>
                <w:szCs w:val="19"/>
              </w:rPr>
              <w:t xml:space="preserve">predict</w:t>
            </w:r>
            <w:r>
              <w:rPr>
                <w:b w:val="false"/>
                <w:bCs w:val="false"/>
                <w:sz w:val="19"/>
                <w:szCs w:val="19"/>
              </w:rPr>
              <w:t xml:space="preserve"> prices.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Precautionary demand is a residual</w:t>
            </w:r>
            <w:r>
              <w:rPr>
                <w:b w:val="false"/>
                <w:bCs w:val="false"/>
                <w:sz w:val="19"/>
                <w:szCs w:val="19"/>
              </w:rPr>
              <w:t xml:space="preserve"> (Sections I, II.A)</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It's whatever's left after supply and demand, not measured directly. He argues well that it's mainly precautionary demand, but it could contain other things (speculation, inventories, errors).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Vertical short-run supply curve</w:t>
            </w:r>
            <w:r>
              <w:rPr>
                <w:b w:val="false"/>
                <w:bCs w:val="false"/>
                <w:sz w:val="19"/>
                <w:szCs w:val="19"/>
              </w:rPr>
              <w:t xml:space="preserve"> (II.A)</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most contested assumption. Baumeister &amp; Hamilton (2019) find bigger supply effects when it's relaxed. Weakens “supply shocks don't matter” as a general claim.</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Monthly identification only</w:t>
            </w:r>
            <w:r>
              <w:rPr>
                <w:b w:val="false"/>
                <w:bCs w:val="false"/>
                <w:sz w:val="19"/>
                <w:szCs w:val="19"/>
              </w:rPr>
              <w:t xml:space="preserve"> (II.B, Sensitivity)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Works only at monthly frequency. I can't apply it at my weekly frequency; I borrow the ideas only.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Full-sample estimation and detrending</w:t>
            </w:r>
            <w:r>
              <w:rPr>
                <w:b w:val="false"/>
                <w:bCs w:val="false"/>
                <w:sz w:val="19"/>
                <w:szCs w:val="19"/>
              </w:rPr>
              <w:t xml:space="preserve"> (I.A)</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shocks and the activity index use future data. Fine for history, but </w:t>
            </w:r>
            <w:r>
              <w:rPr>
                <w:b w:val="false"/>
                <w:bCs w:val="false"/>
                <w:sz w:val="19"/>
                <w:szCs w:val="19"/>
              </w:rPr>
              <w:t xml:space="preserve">leakage</w:t>
            </w:r>
            <w:r>
              <w:rPr>
                <w:b w:val="false"/>
                <w:bCs w:val="false"/>
                <w:sz w:val="19"/>
                <w:szCs w:val="19"/>
              </w:rPr>
              <w:t xml:space="preserve"> if used as features in a backtest without re-estimating in each fold.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Freight-rate index choices</w:t>
            </w:r>
            <w:r>
              <w:rPr>
                <w:b w:val="false"/>
                <w:bCs w:val="false"/>
                <w:sz w:val="19"/>
                <w:szCs w:val="19"/>
              </w:rPr>
              <w:t xml:space="preserve"> (I.A, footnotes 2–3)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Hand-collected from hard copies, equal weights, CPI-deflated, linearly detrended; the shipbuilding cycle blurs the link. Later critiqued (Hamilton 2021) and updated (Kilian 2019).</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Sample ends in 2007</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Before shale, the 2014–16 crash, COVID and 2022. The balance of shocks may be different now.</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Different price measure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Real refiner acquisition cost, monthly average, not Brent. My target is weekly Brent returns.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Generated regressors</w:t>
            </w:r>
            <w:r>
              <w:rPr>
                <w:b w:val="false"/>
                <w:bCs w:val="false"/>
                <w:sz w:val="19"/>
                <w:szCs w:val="19"/>
              </w:rPr>
              <w:t xml:space="preserve"> (III.A, footnote 12)</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Section III's bootstrap ignores that the shocks are estimates. Mainly affects the US macro part, not my use of the paper.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Small slips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“rpo_t </w:t>
            </w:r>
            <w:r>
              <w:rPr>
                <w:b w:val="false"/>
                <w:bCs w:val="false"/>
                <w:sz w:val="19"/>
                <w:szCs w:val="19"/>
              </w:rPr>
              <w:t xml:space="preserve">defers</w:t>
            </w:r>
            <w:r>
              <w:rPr>
                <w:b w:val="false"/>
                <w:bCs w:val="false"/>
                <w:sz w:val="19"/>
                <w:szCs w:val="19"/>
              </w:rPr>
              <w:t xml:space="preserve"> to the real price of oil” (II.A, p. 1058; should be “refers”); “not without </w:t>
            </w:r>
            <w:r>
              <w:rPr>
                <w:b w:val="false"/>
                <w:bCs w:val="false"/>
                <w:sz w:val="19"/>
                <w:szCs w:val="19"/>
              </w:rPr>
              <w:t xml:space="preserve">precedence</w:t>
            </w:r>
            <w:r>
              <w:rPr>
                <w:b w:val="false"/>
                <w:bCs w:val="false"/>
                <w:sz w:val="19"/>
                <w:szCs w:val="19"/>
              </w:rPr>
              <w:t xml:space="preserve">” (footnote 1, p. 1055; should be “precedent”); “Much of this increase </w:t>
            </w:r>
            <w:r>
              <w:rPr>
                <w:b w:val="false"/>
                <w:bCs w:val="false"/>
                <w:sz w:val="19"/>
                <w:szCs w:val="19"/>
              </w:rPr>
              <w:t xml:space="preserve">the price</w:t>
            </w:r>
            <w:r>
              <w:rPr>
                <w:b w:val="false"/>
                <w:bCs w:val="false"/>
                <w:sz w:val="19"/>
                <w:szCs w:val="19"/>
              </w:rPr>
              <w:t xml:space="preserve"> triggered by this shock is delayed” (II.B, p. 1062; garbled).</w:t>
            </w:r>
          </w:p>
        </w:tc>
      </w:tr>
    </w:tbl>
    <w:p>
      <w:pPr>
        <w:spacing w:after="120"/>
      </w:pPr>
    </w:p>
    <w:p>
      <w:pPr>
        <w:pStyle w:val="Heading1"/>
      </w:pPr>
      <w:r>
        <w:t xml:space="preserve">Summary — Key Takeaways and Checklist</w:t>
      </w:r>
    </w:p>
    <w:p>
      <w:pPr>
        <w:pStyle w:val="Heading3"/>
      </w:pPr>
      <w:r>
        <w:t xml:space="preserve">How it compares to the other papers so far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Paper</w:t>
            </w:r>
          </w:p>
        </w:tc>
        <w:tc>
          <w:tcPr>
            <w:tcW w:type="dxa" w:w="4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gives me</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Chapter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Caldara &amp; Iacoviello (2022)</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GPR index; news-based risk measurement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 / 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Iacoviello &amp; Tong (2026) AI-GPR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GPT-4o mini scoring of news for geopolitical risk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 / data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Kilian (2009)</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three-shock framework; why fear, not lost barrels, drives crisis prices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 / motivation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Baumeister &amp; Kilian (2016)</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drives oil prices; updated view since 2009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Alquist, Kilian &amp; Vigfusson (2013)</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no-change baseline; DM/PT tests; robustness warnings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Cao et al. (2026)</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LLMs for oil price forecasting; Shapley/counterfactual ideas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Lit review</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Cerqueira, Torgo &amp; Mozetič (2020)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to split time series data; why walk-forward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Lundberg &amp; Lee (2017)</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SHAP is and why it's the right attribution method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Methodology / results</w:t>
            </w:r>
          </w:p>
        </w:tc>
      </w:tr>
    </w:tbl>
    <w:p>
      <w:pPr>
        <w:spacing w:after="120"/>
      </w:pPr>
    </w:p>
    <w:p>
      <w:pPr>
        <w:pStyle w:val="Heading3"/>
      </w:pPr>
      <w:r>
        <w:t xml:space="preserve">Three things this paper gives me</w:t>
      </w:r>
    </w:p>
    <w:p>
      <w:pPr>
        <w:pStyle w:val="ListParagraph"/>
        <w:numPr>
          <w:ilvl w:val="0"/>
          <w:numId w:val="3"/>
        </w:numPr>
        <w:spacing w:after="80"/>
      </w:pPr>
      <w:r>
        <w:rPr>
          <w:b/>
          <w:bCs/>
        </w:rPr>
        <w:t xml:space="preserve">The framework:</w:t>
      </w:r>
      <w:r>
        <w:t xml:space="preserve"> oil prices are driven by three different shocks (supply, global demand, precautionary demand) with different timing and size.</w:t>
      </w:r>
    </w:p>
    <w:p>
      <w:pPr>
        <w:pStyle w:val="ListParagraph"/>
        <w:numPr>
          <w:ilvl w:val="0"/>
          <w:numId w:val="3"/>
        </w:numPr>
        <w:spacing w:after="80"/>
      </w:pPr>
      <w:r>
        <w:rPr>
          <w:b/>
          <w:bCs/>
        </w:rPr>
        <w:t xml:space="preserve">The motivation:</w:t>
      </w:r>
      <w:r>
        <w:t xml:space="preserve"> political events move oil mainly through precautionary demand, which is unobservable and non-linear. That's the gap my LLM scores and tree models try to fill.</w:t>
      </w:r>
    </w:p>
    <w:p>
      <w:pPr>
        <w:pStyle w:val="ListParagraph"/>
        <w:numPr>
          <w:ilvl w:val="0"/>
          <w:numId w:val="3"/>
        </w:numPr>
        <w:spacing w:after="80"/>
      </w:pPr>
      <w:r>
        <w:rPr>
          <w:b/>
          <w:bCs/>
        </w:rPr>
        <w:t xml:space="preserve">The instability argument:</w:t>
      </w:r>
      <w:r>
        <w:t xml:space="preserve"> the mix of shocks changes over time, which justifies walk-forward retraining, regime detection and local (per-week) explanations.</w:t>
      </w:r>
    </w:p>
    <w:p>
      <w:pPr>
        <w:pStyle w:val="Heading3"/>
      </w:pPr>
      <w:r>
        <w:t xml:space="preserve">Things to take into my project</w:t>
      </w:r>
    </w:p>
    <w:p>
      <w:pPr>
        <w:pStyle w:val="ListParagraph"/>
        <w:numPr>
          <w:ilvl w:val="0"/>
          <w:numId w:val="4"/>
        </w:numPr>
        <w:spacing w:after="80"/>
      </w:pPr>
      <w:r>
        <w:rPr>
          <w:b/>
          <w:bCs/>
        </w:rPr>
        <w:t xml:space="preserve">Use the three-shock framework</w:t>
      </w:r>
      <w:r>
        <w:t xml:space="preserve"> to open the lit review on oil price drivers, then move to Baumeister &amp; Kilian (2016) for the updated view.</w:t>
      </w:r>
    </w:p>
    <w:p>
      <w:pPr>
        <w:pStyle w:val="ListParagraph"/>
        <w:numPr>
          <w:ilvl w:val="0"/>
          <w:numId w:val="4"/>
        </w:numPr>
        <w:spacing w:after="80"/>
      </w:pPr>
      <w:r>
        <w:rPr>
          <w:b/>
          <w:bCs/>
        </w:rPr>
        <w:t xml:space="preserve">State my contribution</w:t>
      </w:r>
      <w:r>
        <w:t xml:space="preserve"> as an observable, news-based proxy for the expectation shifts Kilian treats as unobservable. Don't overclaim.</w:t>
      </w:r>
    </w:p>
    <w:p>
      <w:pPr>
        <w:pStyle w:val="ListParagraph"/>
        <w:numPr>
          <w:ilvl w:val="0"/>
          <w:numId w:val="4"/>
        </w:numPr>
        <w:spacing w:after="80"/>
      </w:pPr>
      <w:r>
        <w:rPr>
          <w:b/>
          <w:bCs/>
        </w:rPr>
        <w:t xml:space="preserve">Group features</w:t>
      </w:r>
      <w:r>
        <w:t xml:space="preserve"> into supply / global demand / precautionary-risk and report grouped SHAP by group.</w:t>
      </w:r>
    </w:p>
    <w:p>
      <w:pPr>
        <w:pStyle w:val="ListParagraph"/>
        <w:numPr>
          <w:ilvl w:val="0"/>
          <w:numId w:val="4"/>
        </w:numPr>
        <w:spacing w:after="80"/>
      </w:pPr>
      <w:r>
        <w:rPr>
          <w:b/>
          <w:bCs/>
        </w:rPr>
        <w:t xml:space="preserve">Hormuz case study:</w:t>
      </w:r>
      <w:r>
        <w:t xml:space="preserve"> compare SHAP for chokepoint-flow features vs LLM-score features. Was it lost flows or fear?</w:t>
      </w:r>
    </w:p>
    <w:p>
      <w:pPr>
        <w:pStyle w:val="ListParagraph"/>
        <w:numPr>
          <w:ilvl w:val="0"/>
          <w:numId w:val="4"/>
        </w:numPr>
        <w:spacing w:after="80"/>
      </w:pPr>
      <w:r>
        <w:rPr>
          <w:b/>
          <w:bCs/>
        </w:rPr>
        <w:t xml:space="preserve">Hypothesis for Models A/B/C:</w:t>
      </w:r>
      <w:r>
        <w:t xml:space="preserve"> LLM scores should help most in high-risk weeks; test performance separately in crisis vs calm periods.</w:t>
      </w:r>
    </w:p>
    <w:p>
      <w:pPr>
        <w:pStyle w:val="ListParagraph"/>
        <w:numPr>
          <w:ilvl w:val="0"/>
          <w:numId w:val="4"/>
        </w:numPr>
        <w:spacing w:after="80"/>
      </w:pPr>
      <w:r>
        <w:rPr>
          <w:b/>
          <w:bCs/>
        </w:rPr>
        <w:t xml:space="preserve">Consider adding Kilian's activity index</w:t>
      </w:r>
      <w:r>
        <w:t xml:space="preserve"> (monthly, with a publication lag) as a global demand feature, and confirm where the updated series is published.</w:t>
      </w:r>
    </w:p>
    <w:p>
      <w:pPr>
        <w:pStyle w:val="ListParagraph"/>
        <w:numPr>
          <w:ilvl w:val="0"/>
          <w:numId w:val="4"/>
        </w:numPr>
        <w:spacing w:after="80"/>
      </w:pPr>
      <w:r>
        <w:rPr>
          <w:b/>
          <w:bCs/>
        </w:rPr>
        <w:t xml:space="preserve">Check for leakage</w:t>
      </w:r>
      <w:r>
        <w:t xml:space="preserve"> in any detrended or full-sample-standardised feature.</w:t>
      </w:r>
    </w:p>
    <w:p>
      <w:pPr>
        <w:pStyle w:val="ListParagraph"/>
        <w:numPr>
          <w:ilvl w:val="0"/>
          <w:numId w:val="4"/>
        </w:numPr>
        <w:spacing w:after="80"/>
      </w:pPr>
      <w:r>
        <w:rPr>
          <w:b/>
          <w:bCs/>
        </w:rPr>
        <w:t xml:space="preserve">Mention the vertical supply curve debate</w:t>
      </w:r>
      <w:r>
        <w:t xml:space="preserve"> (Baumeister &amp; Hamilton 2019) in one sentence.</w:t>
      </w:r>
    </w:p>
    <w:p>
      <w:pPr>
        <w:pStyle w:val="ListParagraph"/>
        <w:numPr>
          <w:ilvl w:val="0"/>
          <w:numId w:val="4"/>
        </w:numPr>
        <w:spacing w:after="80"/>
      </w:pPr>
      <w:r>
        <w:rPr>
          <w:b/>
          <w:bCs/>
        </w:rPr>
        <w:t xml:space="preserve">Confirm the follow-up references</w:t>
      </w:r>
      <w:r>
        <w:t xml:space="preserve"> (volumes/pages) before adding them to the bibliography.</w:t>
      </w:r>
    </w:p>
    <w:p>
      <w:pPr>
        <w:pStyle w:val="Heading3"/>
      </w:pPr>
      <w:r>
        <w:t xml:space="preserve">Must-cite lines (shortlist)</w:t>
      </w:r>
    </w:p>
    <w:p>
      <w:pPr>
        <w:pStyle w:val="ListParagraph"/>
        <w:numPr>
          <w:ilvl w:val="0"/>
          <w:numId w:val="2"/>
        </w:numPr>
        <w:spacing w:after="60"/>
      </w:pPr>
      <w:r>
        <w:t xml:space="preserve">Oil price driven by distinct demand and supply shocks (Introduction, p. 1053)</w:t>
      </w:r>
    </w:p>
    <w:p>
      <w:pPr>
        <w:pStyle w:val="ListParagraph"/>
        <w:numPr>
          <w:ilvl w:val="0"/>
          <w:numId w:val="2"/>
        </w:numPr>
        <w:spacing w:after="60"/>
      </w:pPr>
      <w:r>
        <w:t xml:space="preserve">Precautionary demand: concerns about future supply (Introduction, p. 1053)</w:t>
      </w:r>
    </w:p>
    <w:p>
      <w:pPr>
        <w:pStyle w:val="ListParagraph"/>
        <w:numPr>
          <w:ilvl w:val="0"/>
          <w:numId w:val="2"/>
        </w:numPr>
        <w:spacing w:after="60"/>
      </w:pPr>
      <w:r>
        <w:t xml:space="preserve">Three shocks with different timing and size (Introduction, p. 1053)</w:t>
      </w:r>
    </w:p>
    <w:p>
      <w:pPr>
        <w:pStyle w:val="ListParagraph"/>
        <w:numPr>
          <w:ilvl w:val="0"/>
          <w:numId w:val="2"/>
        </w:numPr>
        <w:spacing w:after="60"/>
      </w:pPr>
      <w:r>
        <w:t xml:space="preserve">Political events work through precautionary demand, not physical disruption (Introduction, p. 1054)</w:t>
      </w:r>
    </w:p>
    <w:p>
      <w:pPr>
        <w:pStyle w:val="ListParagraph"/>
        <w:numPr>
          <w:ilvl w:val="0"/>
          <w:numId w:val="2"/>
        </w:numPr>
        <w:spacing w:after="60"/>
      </w:pPr>
      <w:r>
        <w:t xml:space="preserve">Expectation shifts unobservable and highly nonlinear (Section I, p. 1055)</w:t>
      </w:r>
    </w:p>
    <w:p>
      <w:pPr>
        <w:pStyle w:val="ListParagraph"/>
        <w:numPr>
          <w:ilvl w:val="0"/>
          <w:numId w:val="2"/>
        </w:numPr>
        <w:spacing w:after="60"/>
      </w:pPr>
      <w:r>
        <w:t xml:space="preserve">Composition of shocks evolves over time (Section II.B, p. 1060)</w:t>
      </w:r>
    </w:p>
    <w:p>
      <w:pPr>
        <w:pStyle w:val="ListParagraph"/>
        <w:numPr>
          <w:ilvl w:val="0"/>
          <w:numId w:val="2"/>
        </w:numPr>
        <w:spacing w:after="60"/>
      </w:pPr>
      <w:r>
        <w:t xml:space="preserve">Supply disruptions have only a small effect (Section II.B, p. 1062)</w:t>
      </w:r>
    </w:p>
    <w:p>
      <w:pPr>
        <w:pStyle w:val="ListParagraph"/>
        <w:numPr>
          <w:ilvl w:val="0"/>
          <w:numId w:val="2"/>
        </w:numPr>
        <w:spacing w:after="60"/>
      </w:pPr>
      <w:r>
        <w:t xml:space="preserve">Expectations change almost instantaneously → immediate price rise (Section II.B, p. 1062)</w:t>
      </w:r>
    </w:p>
    <w:p>
      <w:pPr>
        <w:pStyle w:val="ListParagraph"/>
        <w:numPr>
          <w:ilvl w:val="0"/>
          <w:numId w:val="2"/>
        </w:numPr>
        <w:spacing w:after="60"/>
      </w:pPr>
      <w:r>
        <w:t xml:space="preserve">Wars and revolutions work through precautionary demand (Section II.B, p. 1064)</w:t>
      </w:r>
    </w:p>
    <w:p>
      <w:pPr>
        <w:pStyle w:val="ListParagraph"/>
        <w:numPr>
          <w:ilvl w:val="0"/>
          <w:numId w:val="2"/>
        </w:numPr>
        <w:spacing w:after="60"/>
      </w:pPr>
      <w:r>
        <w:t xml:space="preserve">Never quantified before: not observable, not linearly related (Section II.B, p. 1064)</w:t>
      </w:r>
    </w:p>
    <w:p>
      <w:pPr>
        <w:pStyle w:val="ListParagraph"/>
        <w:numPr>
          <w:ilvl w:val="0"/>
          <w:numId w:val="2"/>
        </w:numPr>
        <w:spacing w:after="60"/>
      </w:pPr>
      <w:r>
        <w:t xml:space="preserve">Delay restrictions plausible only at monthly frequency (Section II.B, p. 1064)</w:t>
      </w:r>
    </w:p>
    <w:p>
      <w:pPr>
        <w:pStyle w:val="ListParagraph"/>
        <w:numPr>
          <w:ilvl w:val="0"/>
          <w:numId w:val="2"/>
        </w:numPr>
        <w:spacing w:after="60"/>
      </w:pPr>
      <w:r>
        <w:t xml:space="preserve">Expectation shifts deserve a much greater role (Section IV, p. 1068)</w:t>
      </w:r>
    </w:p>
    <w:p>
      <w:pPr>
        <w:pStyle w:val="Heading3"/>
      </w:pPr>
      <w:r>
        <w:t xml:space="preserve">Where it fits in my dissertation</w:t>
      </w:r>
    </w:p>
    <w:p>
      <w:pPr>
        <w:spacing w:after="120"/>
      </w:pPr>
      <w:r>
        <w:rPr>
          <w:b/>
          <w:bCs/>
        </w:rPr>
        <w:t xml:space="preserve">Introduction / motivation:</w:t>
      </w:r>
      <w:r>
        <w:t xml:space="preserve"> why supply risk matters for oil prices and why it's hard to measure. Story: oil price moves have different causes (Kilian 2009) → political events act through fear of future shortfalls → that fear is unobservable and non-linear → news-based risk measures (Caldara &amp; Iacoviello 2022; Iacoviello &amp; Tong 2026) and LLM scoring offer a proxy → tree models can learn non-linear links.</w:t>
      </w:r>
    </w:p>
    <w:p>
      <w:pPr>
        <w:spacing w:after="120"/>
      </w:pPr>
      <w:r>
        <w:rPr>
          <w:b/>
          <w:bCs/>
        </w:rPr>
        <w:t xml:space="preserve">Methodology:</w:t>
      </w:r>
      <w:r>
        <w:t xml:space="preserve"> feature groups based on the three shocks; reasons for walk-forward and regime detection; leakage care with detrended features.</w:t>
      </w:r>
    </w:p>
    <w:p>
      <w:pPr>
        <w:spacing w:after="120"/>
      </w:pPr>
      <w:r>
        <w:rPr>
          <w:b/>
          <w:bCs/>
        </w:rPr>
        <w:t xml:space="preserve">Results / case study:</w:t>
      </w:r>
      <w:r>
        <w:t xml:space="preserve"> grouped SHAP by shock type; Hormuz weeks: flows vs fear.</w:t>
      </w:r>
    </w:p>
    <w:p>
      <w:pPr>
        <w:spacing w:after="120"/>
      </w:pPr>
      <w:r>
        <w:rPr>
          <w:b/>
          <w:bCs/>
        </w:rPr>
        <w:t xml:space="preserve">Critical evaluation:</w:t>
      </w:r>
      <w:r>
        <w:t xml:space="preserve"> my scores are a proxy, not precautionary demand itself; Kilian's results are monthly, pre-2008 and depend on contested assumptions.</w:t>
      </w:r>
    </w:p>
    <w:p>
      <w:pPr>
        <w:pStyle w:val="Heading3"/>
      </w:pPr>
      <w:r>
        <w:t xml:space="preserve">My one-line difference from this paper</w:t>
      </w:r>
    </w:p>
    <w:p>
      <w:pPr>
        <w:spacing w:after="120"/>
      </w:pPr>
      <w:r>
        <w:rPr>
          <w:b/>
          <w:bCs/>
        </w:rPr>
        <w:t xml:space="preserve">Kilian uses a monthly structural VAR to explain past oil price moves, backing out precautionary demand as an unobservable residual; I try to measure that fear directly from news with an LLM and test whether it improves a weekly, out-of-sample buy/hold/sell signal for Brent, especially during the 2026 Hormuz crisis.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Kilian (2009) — Paper Notes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1F4E79"/>
      <w:sz w:val="40"/>
      <w:szCs w:val="40"/>
    </w:rPr>
  </w:style>
  <w:style w:type="paragraph" w:styleId="Heading1">
    <w:name w:val="Heading 1"/>
    <w:basedOn w:val="Normal"/>
    <w:next w:val="Normal"/>
    <w:qFormat/>
    <w:pPr>
      <w:pBdr>
        <w:bottom w:val="single" w:color="BFBFBF" w:sz="6" w:space="4"/>
      </w:pBdr>
      <w:spacing w:after="140" w:before="360"/>
      <w:outlineLvl w:val="0"/>
    </w:pPr>
    <w:rPr>
      <w:b/>
      <w:bCs/>
      <w:color w:val="1F4E79"/>
      <w:sz w:val="30"/>
      <w:szCs w:val="30"/>
    </w:rPr>
  </w:style>
  <w:style w:type="paragraph" w:styleId="Heading2">
    <w:name w:val="Heading 2"/>
    <w:basedOn w:val="Normal"/>
    <w:next w:val="Normal"/>
    <w:qFormat/>
    <w:pPr>
      <w:spacing w:after="100" w:before="240"/>
      <w:outlineLvl w:val="1"/>
    </w:pPr>
    <w:rPr>
      <w:b/>
      <w:bCs/>
      <w:color w:val="2E75B6"/>
      <w:sz w:val="25"/>
      <w:szCs w:val="25"/>
    </w:rPr>
  </w:style>
  <w:style w:type="paragraph" w:styleId="Heading3">
    <w:name w:val="Heading 3"/>
    <w:basedOn w:val="Normal"/>
    <w:next w:val="Normal"/>
    <w:qFormat/>
    <w:pPr>
      <w:spacing w:after="80" w:before="2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Kilian (2009) — Paper Notes</dc:title>
  <dc:creator>Ali</dc:creator>
  <cp:lastModifiedBy>Un-named</cp:lastModifiedBy>
  <cp:revision>1</cp:revision>
  <dcterms:created xsi:type="dcterms:W3CDTF">2026-10-22T10:43:52.469Z</dcterms:created>
  <dcterms:modified xsi:type="dcterms:W3CDTF">2026-10-22T10:43:52.469Z</dcterms:modified>
</cp:coreProperties>
</file>

<file path=docProps/custom.xml><?xml version="1.0" encoding="utf-8"?>
<Properties xmlns="http://schemas.openxmlformats.org/officeDocument/2006/custom-properties" xmlns:vt="http://schemas.openxmlformats.org/officeDocument/2006/docPropsVTypes"/>
</file>