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71" w:rsidRPr="00BD2669" w:rsidRDefault="00DF1C06" w:rsidP="00E32B1D">
      <w:pPr>
        <w:pStyle w:val="Kop1"/>
      </w:pPr>
      <w:r w:rsidRPr="00BD2669">
        <w:t>Bijlage 1</w:t>
      </w:r>
      <w:r w:rsidR="007259F5">
        <w:t>.1</w:t>
      </w:r>
      <w:r w:rsidR="00DC7DF3" w:rsidRPr="00BD2669">
        <w:t xml:space="preserve"> </w:t>
      </w:r>
      <w:r w:rsidR="006D7F71" w:rsidRPr="00BD2669">
        <w:t xml:space="preserve">Notulen </w:t>
      </w:r>
    </w:p>
    <w:p w:rsidR="006D7F71" w:rsidRPr="00BD2669" w:rsidRDefault="006D7F71" w:rsidP="006D7F71">
      <w:pPr>
        <w:rPr>
          <w:rFonts w:cs="Arial"/>
        </w:rPr>
      </w:pPr>
    </w:p>
    <w:p w:rsidR="006D7F71" w:rsidRPr="00BD2669" w:rsidRDefault="006D7F71" w:rsidP="006D7F71">
      <w:pPr>
        <w:pStyle w:val="Standaard1"/>
        <w:pBdr>
          <w:left w:val="none" w:sz="0" w:space="0" w:color="auto"/>
          <w:bottom w:val="none" w:sz="0" w:space="0" w:color="auto"/>
          <w:right w:val="none" w:sz="0" w:space="0" w:color="auto"/>
        </w:pBdr>
        <w:spacing w:after="0" w:afterAutospacing="0"/>
        <w:rPr>
          <w:rStyle w:val="Zwaar"/>
          <w:rFonts w:asciiTheme="minorHAnsi" w:eastAsiaTheme="majorEastAsia" w:hAnsiTheme="minorHAnsi" w:cs="Arial"/>
          <w:sz w:val="22"/>
          <w:szCs w:val="22"/>
        </w:rPr>
      </w:pPr>
    </w:p>
    <w:p w:rsidR="006D7F71" w:rsidRPr="00BD2669" w:rsidRDefault="006D7F71" w:rsidP="006D7F71">
      <w:pPr>
        <w:pStyle w:val="Koptekst"/>
        <w:tabs>
          <w:tab w:val="clear" w:pos="4536"/>
          <w:tab w:val="clear" w:pos="9072"/>
        </w:tabs>
        <w:outlineLvl w:val="0"/>
        <w:rPr>
          <w:rFonts w:cs="Arial"/>
        </w:rPr>
      </w:pPr>
      <w:r w:rsidRPr="00BD2669">
        <w:rPr>
          <w:rFonts w:cs="Arial"/>
        </w:rPr>
        <w:t>KNLTB</w:t>
      </w:r>
    </w:p>
    <w:p w:rsidR="006D7F71" w:rsidRPr="00BD2669" w:rsidRDefault="006D7F71" w:rsidP="006D7F71">
      <w:pPr>
        <w:pStyle w:val="Koptekst"/>
        <w:tabs>
          <w:tab w:val="clear" w:pos="4536"/>
          <w:tab w:val="clear" w:pos="9072"/>
          <w:tab w:val="left" w:pos="3360"/>
          <w:tab w:val="left" w:pos="5760"/>
        </w:tabs>
        <w:rPr>
          <w:rFonts w:cs="Arial"/>
        </w:rPr>
      </w:pPr>
      <w:r w:rsidRPr="00BD2669">
        <w:rPr>
          <w:rFonts w:cs="Arial"/>
        </w:rPr>
        <w:t xml:space="preserve">Displayweg 4 </w:t>
      </w:r>
      <w:r w:rsidRPr="00BD2669">
        <w:rPr>
          <w:rFonts w:cs="Arial"/>
        </w:rPr>
        <w:br/>
        <w:t>3821 BT</w:t>
      </w:r>
      <w:r w:rsidR="00E40769" w:rsidRPr="00BD2669">
        <w:rPr>
          <w:rFonts w:cs="Arial"/>
        </w:rPr>
        <w:t xml:space="preserve"> </w:t>
      </w:r>
      <w:r w:rsidRPr="00BD2669">
        <w:rPr>
          <w:rFonts w:cs="Arial"/>
        </w:rPr>
        <w:t xml:space="preserve"> </w:t>
      </w:r>
      <w:r w:rsidR="00E40769" w:rsidRPr="00BD2669">
        <w:rPr>
          <w:rFonts w:cs="Arial"/>
        </w:rPr>
        <w:t>AMERSFOORT</w:t>
      </w:r>
      <w:r w:rsidRPr="00BD2669">
        <w:rPr>
          <w:rFonts w:cs="Arial"/>
        </w:rPr>
        <w:t xml:space="preserve"> </w:t>
      </w:r>
      <w:r w:rsidRPr="00BD2669">
        <w:rPr>
          <w:rFonts w:cs="Arial"/>
        </w:rPr>
        <w:br/>
        <w:t xml:space="preserve">Postbus 1617 </w:t>
      </w:r>
      <w:r w:rsidRPr="00BD2669">
        <w:rPr>
          <w:rFonts w:cs="Arial"/>
        </w:rPr>
        <w:br/>
        <w:t xml:space="preserve">3800 BP </w:t>
      </w:r>
      <w:r w:rsidR="00E40769" w:rsidRPr="00BD2669">
        <w:rPr>
          <w:rFonts w:cs="Arial"/>
        </w:rPr>
        <w:t xml:space="preserve"> AMERSFOORT</w:t>
      </w:r>
    </w:p>
    <w:p w:rsidR="006D7F71" w:rsidRPr="00BD2669" w:rsidRDefault="006D7F71" w:rsidP="006D7F71">
      <w:pPr>
        <w:pStyle w:val="Koptekst"/>
        <w:tabs>
          <w:tab w:val="clear" w:pos="4536"/>
          <w:tab w:val="clear" w:pos="9072"/>
          <w:tab w:val="left" w:pos="3360"/>
          <w:tab w:val="left" w:pos="5760"/>
        </w:tabs>
        <w:rPr>
          <w:rFonts w:cs="Arial"/>
        </w:rPr>
      </w:pPr>
    </w:p>
    <w:p w:rsidR="006D7F71" w:rsidRPr="00BD2669" w:rsidRDefault="006D7F71" w:rsidP="006D7F71">
      <w:pPr>
        <w:pStyle w:val="Koptekst"/>
        <w:tabs>
          <w:tab w:val="clear" w:pos="4536"/>
          <w:tab w:val="clear" w:pos="9072"/>
        </w:tabs>
        <w:rPr>
          <w:rFonts w:cs="Arial"/>
        </w:rPr>
      </w:pPr>
      <w:r w:rsidRPr="00BD2669">
        <w:rPr>
          <w:rFonts w:cs="Arial"/>
        </w:rPr>
        <w:t>Aanwezigen:</w:t>
      </w:r>
    </w:p>
    <w:p w:rsidR="006D7F71" w:rsidRPr="00BD2669" w:rsidRDefault="006D7F71" w:rsidP="006D7F71">
      <w:pPr>
        <w:pStyle w:val="Koptekst"/>
        <w:tabs>
          <w:tab w:val="clear" w:pos="4536"/>
          <w:tab w:val="clear" w:pos="9072"/>
          <w:tab w:val="left" w:pos="3360"/>
          <w:tab w:val="left" w:pos="5760"/>
        </w:tabs>
        <w:rPr>
          <w:rFonts w:cs="Arial"/>
        </w:rPr>
      </w:pPr>
      <w:r w:rsidRPr="00BD2669">
        <w:rPr>
          <w:rFonts w:cs="Arial"/>
        </w:rPr>
        <w:t>KNLTB</w:t>
      </w:r>
      <w:r w:rsidRPr="00BD2669">
        <w:rPr>
          <w:rFonts w:cs="Arial"/>
        </w:rPr>
        <w:tab/>
        <w:t>Amersfoort</w:t>
      </w:r>
      <w:r w:rsidRPr="00BD2669">
        <w:rPr>
          <w:rFonts w:cs="Arial"/>
        </w:rPr>
        <w:tab/>
        <w:t>G. Cats</w:t>
      </w:r>
    </w:p>
    <w:p w:rsidR="006D7F71" w:rsidRPr="00BD2669" w:rsidRDefault="006D7F71" w:rsidP="006D7F71">
      <w:pPr>
        <w:pStyle w:val="Koptekst"/>
        <w:tabs>
          <w:tab w:val="clear" w:pos="4536"/>
          <w:tab w:val="clear" w:pos="9072"/>
          <w:tab w:val="left" w:pos="3360"/>
          <w:tab w:val="left" w:pos="5760"/>
        </w:tabs>
        <w:rPr>
          <w:rFonts w:cs="Arial"/>
        </w:rPr>
      </w:pPr>
      <w:r w:rsidRPr="00BD2669">
        <w:rPr>
          <w:rFonts w:cs="Arial"/>
        </w:rPr>
        <w:t>KNLTB</w:t>
      </w:r>
      <w:r w:rsidRPr="00BD2669">
        <w:rPr>
          <w:rFonts w:cs="Arial"/>
        </w:rPr>
        <w:tab/>
        <w:t>Amersfoort</w:t>
      </w:r>
      <w:r w:rsidRPr="00BD2669">
        <w:rPr>
          <w:rFonts w:cs="Arial"/>
        </w:rPr>
        <w:tab/>
        <w:t>E. Greevaarts</w:t>
      </w:r>
    </w:p>
    <w:p w:rsidR="006D7F71" w:rsidRPr="00BD2669" w:rsidRDefault="006D7F71" w:rsidP="006D7F71">
      <w:pPr>
        <w:pStyle w:val="Koptekst"/>
        <w:tabs>
          <w:tab w:val="clear" w:pos="4536"/>
          <w:tab w:val="clear" w:pos="9072"/>
        </w:tabs>
        <w:rPr>
          <w:rFonts w:cs="Arial"/>
        </w:rPr>
      </w:pPr>
    </w:p>
    <w:p w:rsidR="006D7F71" w:rsidRPr="00BD2669" w:rsidRDefault="006D7F71" w:rsidP="006D7F71">
      <w:pPr>
        <w:pStyle w:val="Koptekst"/>
        <w:tabs>
          <w:tab w:val="clear" w:pos="4536"/>
          <w:tab w:val="clear" w:pos="9072"/>
          <w:tab w:val="left" w:pos="3360"/>
          <w:tab w:val="left" w:pos="5760"/>
        </w:tabs>
        <w:rPr>
          <w:rFonts w:cs="Arial"/>
        </w:rPr>
      </w:pPr>
      <w:r w:rsidRPr="00BD2669">
        <w:rPr>
          <w:rFonts w:cs="Arial"/>
        </w:rPr>
        <w:t>Dukes Software Engineering</w:t>
      </w:r>
      <w:r w:rsidRPr="00BD2669">
        <w:rPr>
          <w:rFonts w:cs="Arial"/>
        </w:rPr>
        <w:tab/>
        <w:t>’s Hertogenbosch</w:t>
      </w:r>
      <w:r w:rsidRPr="00BD2669">
        <w:rPr>
          <w:rFonts w:cs="Arial"/>
        </w:rPr>
        <w:tab/>
        <w:t>R. Roets</w:t>
      </w:r>
    </w:p>
    <w:p w:rsidR="006D7F71" w:rsidRPr="00BD2669" w:rsidRDefault="006D7F71" w:rsidP="006D7F71">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994"/>
      </w:tblGrid>
      <w:tr w:rsidR="006D7F71" w:rsidRPr="00BD2669" w:rsidTr="0027617B">
        <w:tc>
          <w:tcPr>
            <w:tcW w:w="2868" w:type="dxa"/>
          </w:tcPr>
          <w:p w:rsidR="006D7F71" w:rsidRPr="00BD2669" w:rsidRDefault="006D7F71" w:rsidP="0027617B">
            <w:pPr>
              <w:rPr>
                <w:rFonts w:cs="Arial"/>
              </w:rPr>
            </w:pPr>
            <w:r w:rsidRPr="00BD2669">
              <w:rPr>
                <w:rFonts w:cs="Arial"/>
              </w:rPr>
              <w:t>Onderwerpen</w:t>
            </w:r>
          </w:p>
        </w:tc>
        <w:tc>
          <w:tcPr>
            <w:tcW w:w="5994" w:type="dxa"/>
          </w:tcPr>
          <w:p w:rsidR="006D7F71" w:rsidRPr="00BD2669" w:rsidRDefault="006D7F71" w:rsidP="00E40769">
            <w:pPr>
              <w:rPr>
                <w:rFonts w:cs="Arial"/>
              </w:rPr>
            </w:pPr>
            <w:r w:rsidRPr="00BD2669">
              <w:rPr>
                <w:rFonts w:cs="Arial"/>
              </w:rPr>
              <w:t>Bevindingen/afspraken</w:t>
            </w:r>
          </w:p>
        </w:tc>
      </w:tr>
      <w:tr w:rsidR="006D7F71" w:rsidRPr="00BD2669" w:rsidTr="0027617B">
        <w:tc>
          <w:tcPr>
            <w:tcW w:w="2868" w:type="dxa"/>
          </w:tcPr>
          <w:p w:rsidR="006D7F71" w:rsidRPr="00BD2669" w:rsidRDefault="00E40769" w:rsidP="0027617B">
            <w:r w:rsidRPr="00BD2669">
              <w:t>1. Opening</w:t>
            </w:r>
          </w:p>
          <w:p w:rsidR="006D7F71" w:rsidRPr="00BD2669" w:rsidRDefault="006D7F71" w:rsidP="0027617B">
            <w:pPr>
              <w:ind w:left="360"/>
              <w:rPr>
                <w:rFonts w:cs="Arial"/>
              </w:rPr>
            </w:pPr>
          </w:p>
        </w:tc>
        <w:tc>
          <w:tcPr>
            <w:tcW w:w="5994" w:type="dxa"/>
          </w:tcPr>
          <w:p w:rsidR="006D7F71" w:rsidRPr="00BD2669" w:rsidRDefault="006D7F71" w:rsidP="0027617B">
            <w:pPr>
              <w:rPr>
                <w:rFonts w:cs="Arial"/>
              </w:rPr>
            </w:pPr>
            <w:r w:rsidRPr="00BD2669">
              <w:rPr>
                <w:rFonts w:cs="Arial"/>
              </w:rPr>
              <w:t xml:space="preserve">R. Roets (RR) van DSE wordt welkom geheten door G. Cats (GC) van de KNLTB. GC stelt E. Greevaarts (EG) voor aan RR. </w:t>
            </w:r>
          </w:p>
          <w:p w:rsidR="006D7F71" w:rsidRPr="00BD2669" w:rsidRDefault="006D7F71" w:rsidP="0027617B">
            <w:pPr>
              <w:rPr>
                <w:rFonts w:cs="Arial"/>
              </w:rPr>
            </w:pPr>
            <w:r w:rsidRPr="00BD2669">
              <w:rPr>
                <w:rFonts w:cs="Arial"/>
              </w:rPr>
              <w:t>GC geeft een korte samenvatting van de organisatie van de KNLTB. Hij belicht de rol van de afdeling ICT en de verantwoordelijkheid van EG. Vervolgens geeft RR een samenvatting van de werkzaamheden van DSE, zodat de mogelijkheden, waartoe DSE in staat is, voor GC en EG duidelijk worden.</w:t>
            </w:r>
          </w:p>
        </w:tc>
      </w:tr>
      <w:tr w:rsidR="006D7F71" w:rsidRPr="00BD2669" w:rsidTr="0027617B">
        <w:tc>
          <w:tcPr>
            <w:tcW w:w="2868" w:type="dxa"/>
          </w:tcPr>
          <w:p w:rsidR="006D7F71" w:rsidRPr="00BD2669" w:rsidRDefault="006D7F71" w:rsidP="0027617B">
            <w:pPr>
              <w:tabs>
                <w:tab w:val="left" w:pos="284"/>
              </w:tabs>
            </w:pPr>
            <w:r w:rsidRPr="00BD2669">
              <w:t>2. Doelstelling</w:t>
            </w:r>
          </w:p>
        </w:tc>
        <w:tc>
          <w:tcPr>
            <w:tcW w:w="5994" w:type="dxa"/>
          </w:tcPr>
          <w:p w:rsidR="006D7F71" w:rsidRPr="00BD2669" w:rsidRDefault="006D7F71" w:rsidP="00EC0F34">
            <w:pPr>
              <w:rPr>
                <w:rFonts w:cs="Arial"/>
              </w:rPr>
            </w:pPr>
            <w:r w:rsidRPr="00BD2669">
              <w:rPr>
                <w:rFonts w:cs="Arial"/>
              </w:rPr>
              <w:t xml:space="preserve">GC legt de doelstelling uit: De derde dag van het MBO Open te Rosmalen bestaat uit het spelen van een schooltoernooi. Een roc mag maximaal </w:t>
            </w:r>
            <w:r w:rsidR="00EC0F34" w:rsidRPr="00BD2669">
              <w:rPr>
                <w:rFonts w:cs="Arial"/>
              </w:rPr>
              <w:t>20</w:t>
            </w:r>
            <w:r w:rsidRPr="00BD2669">
              <w:rPr>
                <w:rFonts w:cs="Arial"/>
              </w:rPr>
              <w:t xml:space="preserve"> deelnemers afvaardigen. Alle </w:t>
            </w:r>
            <w:r w:rsidR="00514780" w:rsidRPr="00BD2669">
              <w:rPr>
                <w:rFonts w:cs="Arial"/>
              </w:rPr>
              <w:t>spelers spelen volgens een knock-out-</w:t>
            </w:r>
            <w:r w:rsidRPr="00BD2669">
              <w:rPr>
                <w:rFonts w:cs="Arial"/>
              </w:rPr>
              <w:t xml:space="preserve">systeem tegen elkaar totdat er één speler overblijft die de winnaar </w:t>
            </w:r>
            <w:r w:rsidR="005514A0" w:rsidRPr="00BD2669">
              <w:rPr>
                <w:rFonts w:cs="Arial"/>
              </w:rPr>
              <w:t>is van het toernooi. Het roc dat</w:t>
            </w:r>
            <w:r w:rsidRPr="00BD2669">
              <w:rPr>
                <w:rFonts w:cs="Arial"/>
              </w:rPr>
              <w:t xml:space="preserve"> de speler vertegenwoordig</w:t>
            </w:r>
            <w:r w:rsidR="00E40769" w:rsidRPr="00BD2669">
              <w:rPr>
                <w:rFonts w:cs="Arial"/>
              </w:rPr>
              <w:t>t, krijgt de school</w:t>
            </w:r>
            <w:r w:rsidRPr="00BD2669">
              <w:rPr>
                <w:rFonts w:cs="Arial"/>
              </w:rPr>
              <w:t xml:space="preserve">wisselbeker. De wedstrijdduur omvat </w:t>
            </w:r>
            <w:r w:rsidR="00514780" w:rsidRPr="00BD2669">
              <w:rPr>
                <w:rFonts w:cs="Arial"/>
              </w:rPr>
              <w:t xml:space="preserve">maximaal </w:t>
            </w:r>
            <w:r w:rsidRPr="00BD2669">
              <w:rPr>
                <w:rFonts w:cs="Arial"/>
              </w:rPr>
              <w:t>drie games. De partij met twee gewonnen games is de winnaar. De te maken applicatie wordt gebruikt om de wedstrijdvoortgang van het toernooi te registreren.</w:t>
            </w:r>
          </w:p>
        </w:tc>
      </w:tr>
      <w:tr w:rsidR="006D7F71" w:rsidRPr="00BD2669" w:rsidTr="0027617B">
        <w:tc>
          <w:tcPr>
            <w:tcW w:w="2868" w:type="dxa"/>
          </w:tcPr>
          <w:p w:rsidR="006D7F71" w:rsidRPr="00BD2669" w:rsidRDefault="006D7F71" w:rsidP="002D6962">
            <w:pPr>
              <w:tabs>
                <w:tab w:val="left" w:pos="284"/>
              </w:tabs>
            </w:pPr>
            <w:r w:rsidRPr="00BD2669">
              <w:t xml:space="preserve">3. </w:t>
            </w:r>
            <w:r w:rsidR="002D6962" w:rsidRPr="00BD2669">
              <w:t>Scholendag</w:t>
            </w:r>
          </w:p>
        </w:tc>
        <w:tc>
          <w:tcPr>
            <w:tcW w:w="5994" w:type="dxa"/>
          </w:tcPr>
          <w:p w:rsidR="00A51472" w:rsidRPr="00BD2669" w:rsidRDefault="006D7F71" w:rsidP="00A51472">
            <w:pPr>
              <w:rPr>
                <w:rFonts w:cs="Arial"/>
              </w:rPr>
            </w:pPr>
            <w:r w:rsidRPr="00BD2669">
              <w:rPr>
                <w:rFonts w:cs="Arial"/>
              </w:rPr>
              <w:t>GC geeft aan dat hij verwacht dat DSE de applicatie ontwikkelt.</w:t>
            </w:r>
          </w:p>
          <w:p w:rsidR="007309F1" w:rsidRPr="00BD2669" w:rsidRDefault="00A51472" w:rsidP="007309F1">
            <w:pPr>
              <w:rPr>
                <w:rFonts w:cs="Arial"/>
              </w:rPr>
            </w:pPr>
            <w:r w:rsidRPr="00BD2669">
              <w:rPr>
                <w:rFonts w:cs="Arial"/>
              </w:rPr>
              <w:t>Voor het bepalen van de wedstrijduitslagen wordt gebruik gemaakt van een afwijkende</w:t>
            </w:r>
            <w:r w:rsidR="006D7F71" w:rsidRPr="00BD2669">
              <w:rPr>
                <w:rFonts w:cs="Arial"/>
              </w:rPr>
              <w:t xml:space="preserve"> </w:t>
            </w:r>
            <w:r w:rsidRPr="00BD2669">
              <w:rPr>
                <w:rFonts w:cs="Arial"/>
              </w:rPr>
              <w:t xml:space="preserve">puntentelling ten opzichte van de standaard puntentelling. </w:t>
            </w:r>
          </w:p>
          <w:p w:rsidR="006D7F71" w:rsidRPr="00BD2669" w:rsidRDefault="006D7F71" w:rsidP="00CA44EE">
            <w:pPr>
              <w:rPr>
                <w:rFonts w:cs="Arial"/>
              </w:rPr>
            </w:pPr>
            <w:r w:rsidRPr="00BD2669">
              <w:rPr>
                <w:rFonts w:cs="Arial"/>
              </w:rPr>
              <w:t>D</w:t>
            </w:r>
            <w:r w:rsidR="00E40769" w:rsidRPr="00BD2669">
              <w:rPr>
                <w:rFonts w:cs="Arial"/>
              </w:rPr>
              <w:t>e toernooivorm is een knock-out</w:t>
            </w:r>
            <w:r w:rsidR="00A51472" w:rsidRPr="00BD2669">
              <w:rPr>
                <w:rFonts w:cs="Arial"/>
              </w:rPr>
              <w:t>vorm</w:t>
            </w:r>
            <w:r w:rsidRPr="00BD2669">
              <w:rPr>
                <w:rFonts w:cs="Arial"/>
              </w:rPr>
              <w:t xml:space="preserve">. </w:t>
            </w:r>
            <w:r w:rsidR="00DB07C6">
              <w:rPr>
                <w:rFonts w:cs="Arial"/>
              </w:rPr>
              <w:t xml:space="preserve">(zie </w:t>
            </w:r>
            <w:bookmarkStart w:id="0" w:name="_GoBack"/>
            <w:r w:rsidR="00DB07C6">
              <w:rPr>
                <w:rFonts w:cs="Arial"/>
              </w:rPr>
              <w:t>bijlage</w:t>
            </w:r>
            <w:bookmarkEnd w:id="0"/>
            <w:r w:rsidR="00DB07C6">
              <w:rPr>
                <w:rFonts w:cs="Arial"/>
              </w:rPr>
              <w:t xml:space="preserve"> 1.2 </w:t>
            </w:r>
            <w:r w:rsidR="00CA44EE" w:rsidRPr="00BD2669">
              <w:rPr>
                <w:rFonts w:cs="Arial"/>
              </w:rPr>
              <w:t xml:space="preserve">Tennistoernooivormen KNLTB) </w:t>
            </w:r>
            <w:r w:rsidRPr="00BD2669">
              <w:rPr>
                <w:rFonts w:cs="Arial"/>
              </w:rPr>
              <w:t xml:space="preserve">Visualisatie van de voortgang van </w:t>
            </w:r>
            <w:r w:rsidRPr="00BD2669">
              <w:rPr>
                <w:rFonts w:cs="Arial"/>
              </w:rPr>
              <w:lastRenderedPageBreak/>
              <w:t>de wedstrijddag is noodzakelijk!</w:t>
            </w:r>
          </w:p>
        </w:tc>
      </w:tr>
      <w:tr w:rsidR="006D7F71" w:rsidRPr="00BD2669" w:rsidTr="0027617B">
        <w:tc>
          <w:tcPr>
            <w:tcW w:w="2868" w:type="dxa"/>
          </w:tcPr>
          <w:p w:rsidR="006D7F71" w:rsidRPr="00BD2669" w:rsidRDefault="006D7F71" w:rsidP="0027617B">
            <w:r w:rsidRPr="00BD2669">
              <w:lastRenderedPageBreak/>
              <w:t>4. Verantwoordelijkheid ICT-Beheerder</w:t>
            </w:r>
          </w:p>
        </w:tc>
        <w:tc>
          <w:tcPr>
            <w:tcW w:w="5994" w:type="dxa"/>
          </w:tcPr>
          <w:p w:rsidR="006D7F71" w:rsidRPr="00BD2669" w:rsidRDefault="00331148" w:rsidP="00331148">
            <w:pPr>
              <w:rPr>
                <w:rFonts w:cs="Arial"/>
              </w:rPr>
            </w:pPr>
            <w:r w:rsidRPr="00BD2669">
              <w:rPr>
                <w:rFonts w:cs="Arial"/>
              </w:rPr>
              <w:t>Onder aan de notulen</w:t>
            </w:r>
            <w:r w:rsidR="001C5AC8" w:rsidRPr="00BD2669">
              <w:rPr>
                <w:rFonts w:cs="Arial"/>
              </w:rPr>
              <w:t xml:space="preserve"> </w:t>
            </w:r>
            <w:r w:rsidR="006D7F71" w:rsidRPr="00BD2669">
              <w:rPr>
                <w:rFonts w:cs="Arial"/>
              </w:rPr>
              <w:t>staa</w:t>
            </w:r>
            <w:r w:rsidRPr="00BD2669">
              <w:rPr>
                <w:rFonts w:cs="Arial"/>
              </w:rPr>
              <w:t>t een voorbeeld van</w:t>
            </w:r>
            <w:r w:rsidR="006D7F71" w:rsidRPr="00BD2669">
              <w:rPr>
                <w:rFonts w:cs="Arial"/>
              </w:rPr>
              <w:t xml:space="preserve"> de schermontwerpen voor de applicatie. EG is voor het ontwerp verantwoordelijk.</w:t>
            </w:r>
          </w:p>
        </w:tc>
      </w:tr>
      <w:tr w:rsidR="006D7F71" w:rsidRPr="00BD2669" w:rsidTr="0027617B">
        <w:tc>
          <w:tcPr>
            <w:tcW w:w="2868" w:type="dxa"/>
          </w:tcPr>
          <w:p w:rsidR="006D7F71" w:rsidRPr="00BD2669" w:rsidRDefault="00514780" w:rsidP="0027617B">
            <w:r w:rsidRPr="00BD2669">
              <w:t>5</w:t>
            </w:r>
            <w:r w:rsidR="006D7F71" w:rsidRPr="00BD2669">
              <w:t>. Afspraken</w:t>
            </w:r>
          </w:p>
        </w:tc>
        <w:tc>
          <w:tcPr>
            <w:tcW w:w="5994" w:type="dxa"/>
          </w:tcPr>
          <w:p w:rsidR="006D7F71" w:rsidRPr="00BD2669" w:rsidRDefault="006D7F71" w:rsidP="00E40769">
            <w:pPr>
              <w:rPr>
                <w:rFonts w:cs="Arial"/>
                <w:b/>
              </w:rPr>
            </w:pPr>
            <w:r w:rsidRPr="00BD2669">
              <w:rPr>
                <w:rFonts w:cs="Arial"/>
                <w:b/>
              </w:rPr>
              <w:t>De vo</w:t>
            </w:r>
            <w:r w:rsidR="00DF1C06" w:rsidRPr="00BD2669">
              <w:rPr>
                <w:rFonts w:cs="Arial"/>
                <w:b/>
              </w:rPr>
              <w:t>lgende afspraken worden gemaakt:</w:t>
            </w:r>
            <w:r w:rsidRPr="00BD2669">
              <w:rPr>
                <w:rFonts w:cs="Arial"/>
                <w:b/>
              </w:rPr>
              <w:t xml:space="preserve"> DSE start met de realisatie</w:t>
            </w:r>
            <w:r w:rsidR="00DF1C06" w:rsidRPr="00BD2669">
              <w:rPr>
                <w:rFonts w:cs="Arial"/>
                <w:b/>
              </w:rPr>
              <w:t xml:space="preserve"> van de applicatie voor de ICT-b</w:t>
            </w:r>
            <w:r w:rsidRPr="00BD2669">
              <w:rPr>
                <w:rFonts w:cs="Arial"/>
                <w:b/>
              </w:rPr>
              <w:t xml:space="preserve">eheerder. EG stelt </w:t>
            </w:r>
            <w:r w:rsidR="00E40769" w:rsidRPr="00BD2669">
              <w:rPr>
                <w:rFonts w:cs="Arial"/>
                <w:b/>
              </w:rPr>
              <w:t>zijn</w:t>
            </w:r>
            <w:r w:rsidRPr="00BD2669">
              <w:rPr>
                <w:rFonts w:cs="Arial"/>
                <w:b/>
              </w:rPr>
              <w:t xml:space="preserve"> eisen en wensen op over de gebruiksvriendelijkheid van de applicatie en mailt deze </w:t>
            </w:r>
            <w:r w:rsidR="00E40769" w:rsidRPr="00BD2669">
              <w:rPr>
                <w:rFonts w:cs="Arial"/>
                <w:b/>
              </w:rPr>
              <w:t>zo spoedig mogelijk</w:t>
            </w:r>
            <w:r w:rsidRPr="00BD2669">
              <w:rPr>
                <w:rFonts w:cs="Arial"/>
                <w:b/>
              </w:rPr>
              <w:t xml:space="preserve"> naar DSE.</w:t>
            </w:r>
          </w:p>
        </w:tc>
      </w:tr>
      <w:tr w:rsidR="006D7F71" w:rsidRPr="00BD2669" w:rsidTr="0027617B">
        <w:tc>
          <w:tcPr>
            <w:tcW w:w="2868" w:type="dxa"/>
          </w:tcPr>
          <w:p w:rsidR="006D7F71" w:rsidRPr="00BD2669" w:rsidRDefault="00514780" w:rsidP="0027617B">
            <w:r w:rsidRPr="00BD2669">
              <w:t>6</w:t>
            </w:r>
            <w:r w:rsidR="006D7F71" w:rsidRPr="00BD2669">
              <w:t>. Sluiting</w:t>
            </w:r>
          </w:p>
        </w:tc>
        <w:tc>
          <w:tcPr>
            <w:tcW w:w="5994" w:type="dxa"/>
          </w:tcPr>
          <w:p w:rsidR="006D7F71" w:rsidRPr="00BD2669" w:rsidRDefault="00DF1C06" w:rsidP="0027617B">
            <w:pPr>
              <w:rPr>
                <w:rFonts w:cs="Arial"/>
              </w:rPr>
            </w:pPr>
            <w:r w:rsidRPr="00BD2669">
              <w:rPr>
                <w:rFonts w:cs="Arial"/>
              </w:rPr>
              <w:t>De vergadering wordt om 15.</w:t>
            </w:r>
            <w:r w:rsidR="006D7F71" w:rsidRPr="00BD2669">
              <w:rPr>
                <w:rFonts w:cs="Arial"/>
              </w:rPr>
              <w:t>00 uur gesloten.</w:t>
            </w:r>
          </w:p>
        </w:tc>
      </w:tr>
    </w:tbl>
    <w:p w:rsidR="006D7F71" w:rsidRPr="00BD2669" w:rsidRDefault="006D7F71" w:rsidP="006D7F71">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1498"/>
        <w:gridCol w:w="1499"/>
        <w:gridCol w:w="1498"/>
        <w:gridCol w:w="1499"/>
      </w:tblGrid>
      <w:tr w:rsidR="006D7F71" w:rsidRPr="00BD2669" w:rsidTr="0027617B">
        <w:tc>
          <w:tcPr>
            <w:tcW w:w="2868" w:type="dxa"/>
          </w:tcPr>
          <w:p w:rsidR="006D7F71" w:rsidRPr="00BD2669" w:rsidRDefault="006D7F71" w:rsidP="0027617B">
            <w:pPr>
              <w:rPr>
                <w:rFonts w:cs="Arial"/>
                <w:b/>
              </w:rPr>
            </w:pPr>
            <w:r w:rsidRPr="00BD2669">
              <w:rPr>
                <w:rFonts w:cs="Arial"/>
                <w:b/>
              </w:rPr>
              <w:t>Acties</w:t>
            </w:r>
          </w:p>
        </w:tc>
        <w:tc>
          <w:tcPr>
            <w:tcW w:w="1498" w:type="dxa"/>
          </w:tcPr>
          <w:p w:rsidR="006D7F71" w:rsidRPr="00BD2669" w:rsidRDefault="006D7F71" w:rsidP="0027617B">
            <w:pPr>
              <w:rPr>
                <w:rFonts w:cs="Arial"/>
                <w:b/>
              </w:rPr>
            </w:pPr>
            <w:r w:rsidRPr="00BD2669">
              <w:rPr>
                <w:rFonts w:cs="Arial"/>
                <w:b/>
              </w:rPr>
              <w:t>Wie</w:t>
            </w:r>
          </w:p>
        </w:tc>
        <w:tc>
          <w:tcPr>
            <w:tcW w:w="1499" w:type="dxa"/>
          </w:tcPr>
          <w:p w:rsidR="006D7F71" w:rsidRPr="00BD2669" w:rsidRDefault="006D7F71" w:rsidP="0027617B">
            <w:pPr>
              <w:rPr>
                <w:rFonts w:cs="Arial"/>
                <w:b/>
              </w:rPr>
            </w:pPr>
            <w:r w:rsidRPr="00BD2669">
              <w:rPr>
                <w:rFonts w:cs="Arial"/>
                <w:b/>
              </w:rPr>
              <w:t>Wat</w:t>
            </w:r>
          </w:p>
        </w:tc>
        <w:tc>
          <w:tcPr>
            <w:tcW w:w="1498" w:type="dxa"/>
          </w:tcPr>
          <w:p w:rsidR="006D7F71" w:rsidRPr="00BD2669" w:rsidRDefault="006D7F71" w:rsidP="0027617B">
            <w:pPr>
              <w:rPr>
                <w:rFonts w:cs="Arial"/>
                <w:b/>
              </w:rPr>
            </w:pPr>
            <w:r w:rsidRPr="00BD2669">
              <w:rPr>
                <w:rFonts w:cs="Arial"/>
                <w:b/>
              </w:rPr>
              <w:t>Wanneer</w:t>
            </w:r>
          </w:p>
        </w:tc>
        <w:tc>
          <w:tcPr>
            <w:tcW w:w="1499" w:type="dxa"/>
          </w:tcPr>
          <w:p w:rsidR="006D7F71" w:rsidRPr="00BD2669" w:rsidRDefault="006D7F71" w:rsidP="0027617B">
            <w:pPr>
              <w:rPr>
                <w:rFonts w:cs="Arial"/>
                <w:b/>
              </w:rPr>
            </w:pPr>
            <w:r w:rsidRPr="00BD2669">
              <w:rPr>
                <w:rFonts w:cs="Arial"/>
                <w:b/>
              </w:rPr>
              <w:t>Waar</w:t>
            </w:r>
          </w:p>
        </w:tc>
      </w:tr>
      <w:tr w:rsidR="006D7F71" w:rsidRPr="00BD2669" w:rsidTr="0027617B">
        <w:tc>
          <w:tcPr>
            <w:tcW w:w="2868" w:type="dxa"/>
          </w:tcPr>
          <w:p w:rsidR="006D7F71" w:rsidRPr="00BD2669" w:rsidRDefault="006D7F71" w:rsidP="0027617B">
            <w:pPr>
              <w:rPr>
                <w:rFonts w:cs="Arial"/>
              </w:rPr>
            </w:pPr>
            <w:r w:rsidRPr="00BD2669">
              <w:rPr>
                <w:rFonts w:cs="Arial"/>
              </w:rPr>
              <w:t>Applicatie wedstrijdregistratiesysteem</w:t>
            </w:r>
          </w:p>
        </w:tc>
        <w:tc>
          <w:tcPr>
            <w:tcW w:w="1498" w:type="dxa"/>
          </w:tcPr>
          <w:p w:rsidR="006D7F71" w:rsidRPr="00BD2669" w:rsidRDefault="006D7F71" w:rsidP="0027617B">
            <w:pPr>
              <w:rPr>
                <w:rFonts w:cs="Arial"/>
              </w:rPr>
            </w:pPr>
            <w:r w:rsidRPr="00BD2669">
              <w:rPr>
                <w:rFonts w:cs="Arial"/>
              </w:rPr>
              <w:t>DSE</w:t>
            </w:r>
          </w:p>
        </w:tc>
        <w:tc>
          <w:tcPr>
            <w:tcW w:w="1499" w:type="dxa"/>
          </w:tcPr>
          <w:p w:rsidR="006D7F71" w:rsidRPr="00BD2669" w:rsidRDefault="006D7F71" w:rsidP="0027617B">
            <w:pPr>
              <w:rPr>
                <w:rFonts w:cs="Arial"/>
              </w:rPr>
            </w:pPr>
            <w:r w:rsidRPr="00BD2669">
              <w:rPr>
                <w:rFonts w:cs="Arial"/>
              </w:rPr>
              <w:t>Realisatie</w:t>
            </w:r>
          </w:p>
        </w:tc>
        <w:tc>
          <w:tcPr>
            <w:tcW w:w="1498" w:type="dxa"/>
            <w:vMerge w:val="restart"/>
            <w:textDirection w:val="btLr"/>
          </w:tcPr>
          <w:p w:rsidR="006D7F71" w:rsidRPr="00BD2669" w:rsidRDefault="006D7F71" w:rsidP="0027617B">
            <w:pPr>
              <w:ind w:left="113" w:right="113"/>
              <w:rPr>
                <w:rFonts w:cs="Arial"/>
              </w:rPr>
            </w:pPr>
            <w:r w:rsidRPr="00BD2669">
              <w:rPr>
                <w:rFonts w:cs="Arial"/>
              </w:rPr>
              <w:t>Overeenkomstig projectorganisatie.</w:t>
            </w:r>
          </w:p>
        </w:tc>
        <w:tc>
          <w:tcPr>
            <w:tcW w:w="1499" w:type="dxa"/>
          </w:tcPr>
          <w:p w:rsidR="006D7F71" w:rsidRPr="00BD2669" w:rsidRDefault="00E40769" w:rsidP="00E40769">
            <w:pPr>
              <w:rPr>
                <w:rFonts w:cs="Arial"/>
              </w:rPr>
            </w:pPr>
            <w:r w:rsidRPr="00BD2669">
              <w:rPr>
                <w:rFonts w:cs="Arial"/>
              </w:rPr>
              <w:t>‘s-H</w:t>
            </w:r>
            <w:r w:rsidR="006D7F71" w:rsidRPr="00BD2669">
              <w:rPr>
                <w:rFonts w:cs="Arial"/>
              </w:rPr>
              <w:t>ertogenbosc</w:t>
            </w:r>
            <w:r w:rsidRPr="00BD2669">
              <w:rPr>
                <w:rFonts w:cs="Arial"/>
              </w:rPr>
              <w:t>h</w:t>
            </w:r>
          </w:p>
        </w:tc>
      </w:tr>
      <w:tr w:rsidR="006D7F71" w:rsidRPr="00BD2669" w:rsidTr="0027617B">
        <w:tc>
          <w:tcPr>
            <w:tcW w:w="2868" w:type="dxa"/>
          </w:tcPr>
          <w:p w:rsidR="006D7F71" w:rsidRPr="00BD2669" w:rsidRDefault="006D7F71" w:rsidP="0027617B">
            <w:r w:rsidRPr="00BD2669">
              <w:t>Gebruiksvriendelijkheid</w:t>
            </w:r>
          </w:p>
        </w:tc>
        <w:tc>
          <w:tcPr>
            <w:tcW w:w="1498" w:type="dxa"/>
          </w:tcPr>
          <w:p w:rsidR="006D7F71" w:rsidRPr="00BD2669" w:rsidRDefault="006D7F71" w:rsidP="0027617B">
            <w:pPr>
              <w:rPr>
                <w:rFonts w:cs="Arial"/>
              </w:rPr>
            </w:pPr>
            <w:r w:rsidRPr="00BD2669">
              <w:rPr>
                <w:rFonts w:cs="Arial"/>
              </w:rPr>
              <w:t>EG, KNLTB</w:t>
            </w:r>
          </w:p>
        </w:tc>
        <w:tc>
          <w:tcPr>
            <w:tcW w:w="1499" w:type="dxa"/>
          </w:tcPr>
          <w:p w:rsidR="006D7F71" w:rsidRPr="00BD2669" w:rsidRDefault="006D7F71" w:rsidP="0027617B">
            <w:pPr>
              <w:rPr>
                <w:rFonts w:cs="Arial"/>
              </w:rPr>
            </w:pPr>
            <w:r w:rsidRPr="00BD2669">
              <w:rPr>
                <w:rFonts w:cs="Arial"/>
              </w:rPr>
              <w:t>Opstellen</w:t>
            </w:r>
          </w:p>
        </w:tc>
        <w:tc>
          <w:tcPr>
            <w:tcW w:w="1498" w:type="dxa"/>
            <w:vMerge/>
          </w:tcPr>
          <w:p w:rsidR="006D7F71" w:rsidRPr="00BD2669" w:rsidRDefault="006D7F71" w:rsidP="0027617B">
            <w:pPr>
              <w:rPr>
                <w:rFonts w:cs="Arial"/>
              </w:rPr>
            </w:pPr>
          </w:p>
        </w:tc>
        <w:tc>
          <w:tcPr>
            <w:tcW w:w="1499" w:type="dxa"/>
          </w:tcPr>
          <w:p w:rsidR="006D7F71" w:rsidRPr="00BD2669" w:rsidRDefault="006D7F71" w:rsidP="0027617B">
            <w:pPr>
              <w:rPr>
                <w:rFonts w:cs="Arial"/>
              </w:rPr>
            </w:pPr>
            <w:r w:rsidRPr="00BD2669">
              <w:rPr>
                <w:rFonts w:cs="Arial"/>
              </w:rPr>
              <w:t>Hilversum</w:t>
            </w:r>
          </w:p>
        </w:tc>
      </w:tr>
      <w:tr w:rsidR="006D7F71" w:rsidRPr="00BD2669" w:rsidTr="0027617B">
        <w:trPr>
          <w:trHeight w:val="960"/>
        </w:trPr>
        <w:tc>
          <w:tcPr>
            <w:tcW w:w="2868" w:type="dxa"/>
          </w:tcPr>
          <w:p w:rsidR="006D7F71" w:rsidRPr="00BD2669" w:rsidRDefault="006D7F71" w:rsidP="0027617B">
            <w:r w:rsidRPr="00BD2669">
              <w:t>Gebruiksvriendelijkheid</w:t>
            </w:r>
          </w:p>
        </w:tc>
        <w:tc>
          <w:tcPr>
            <w:tcW w:w="1498" w:type="dxa"/>
          </w:tcPr>
          <w:p w:rsidR="006D7F71" w:rsidRPr="00BD2669" w:rsidRDefault="006D7F71" w:rsidP="0027617B">
            <w:pPr>
              <w:rPr>
                <w:rFonts w:cs="Arial"/>
              </w:rPr>
            </w:pPr>
            <w:r w:rsidRPr="00BD2669">
              <w:rPr>
                <w:rFonts w:cs="Arial"/>
              </w:rPr>
              <w:t>EG, KNLTB</w:t>
            </w:r>
          </w:p>
        </w:tc>
        <w:tc>
          <w:tcPr>
            <w:tcW w:w="1499" w:type="dxa"/>
          </w:tcPr>
          <w:p w:rsidR="006D7F71" w:rsidRPr="00BD2669" w:rsidRDefault="006D7F71" w:rsidP="0027617B">
            <w:pPr>
              <w:rPr>
                <w:rFonts w:cs="Arial"/>
              </w:rPr>
            </w:pPr>
            <w:r w:rsidRPr="00BD2669">
              <w:rPr>
                <w:rFonts w:cs="Arial"/>
              </w:rPr>
              <w:t>E-mailen naar RR van DSE</w:t>
            </w:r>
          </w:p>
        </w:tc>
        <w:tc>
          <w:tcPr>
            <w:tcW w:w="1498" w:type="dxa"/>
            <w:vMerge/>
          </w:tcPr>
          <w:p w:rsidR="006D7F71" w:rsidRPr="00BD2669" w:rsidRDefault="006D7F71" w:rsidP="0027617B">
            <w:pPr>
              <w:rPr>
                <w:rFonts w:cs="Arial"/>
              </w:rPr>
            </w:pPr>
          </w:p>
        </w:tc>
        <w:tc>
          <w:tcPr>
            <w:tcW w:w="1499" w:type="dxa"/>
          </w:tcPr>
          <w:p w:rsidR="006D7F71" w:rsidRPr="00BD2669" w:rsidRDefault="006D7F71" w:rsidP="0027617B">
            <w:pPr>
              <w:rPr>
                <w:rFonts w:cs="Arial"/>
              </w:rPr>
            </w:pPr>
            <w:r w:rsidRPr="00BD2669">
              <w:rPr>
                <w:rFonts w:cs="Arial"/>
              </w:rPr>
              <w:t>Hilversum</w:t>
            </w:r>
          </w:p>
        </w:tc>
      </w:tr>
    </w:tbl>
    <w:p w:rsidR="006D7F71" w:rsidRPr="00BD2669" w:rsidRDefault="006D7F71" w:rsidP="006D7F71">
      <w:pPr>
        <w:rPr>
          <w:rFonts w:cs="Arial"/>
        </w:rPr>
      </w:pPr>
    </w:p>
    <w:p w:rsidR="00DF1C06" w:rsidRPr="00BD2669" w:rsidRDefault="006D7F71" w:rsidP="00E40769">
      <w:pPr>
        <w:pStyle w:val="Kop1"/>
      </w:pPr>
      <w:r w:rsidRPr="00BD2669">
        <w:br w:type="page"/>
      </w:r>
    </w:p>
    <w:p w:rsidR="006D7F71" w:rsidRPr="00BD2669" w:rsidRDefault="00DF1C06" w:rsidP="00E40769">
      <w:pPr>
        <w:pStyle w:val="Kop1"/>
      </w:pPr>
      <w:r w:rsidRPr="00BD2669">
        <w:lastRenderedPageBreak/>
        <w:t>E</w:t>
      </w:r>
      <w:r w:rsidR="00E40769" w:rsidRPr="00BD2669">
        <w:t>isen en wensen van GC</w:t>
      </w:r>
    </w:p>
    <w:p w:rsidR="006D7F71" w:rsidRPr="00BD2669" w:rsidRDefault="006D7F71" w:rsidP="006D7F71">
      <w:pPr>
        <w:rPr>
          <w:rFonts w:cs="Arial"/>
        </w:rPr>
      </w:pPr>
    </w:p>
    <w:p w:rsidR="006D7F71" w:rsidRPr="00BD2669" w:rsidRDefault="006D7F71" w:rsidP="006D7F71">
      <w:pPr>
        <w:outlineLvl w:val="0"/>
        <w:rPr>
          <w:rFonts w:cs="Arial"/>
          <w:b/>
        </w:rPr>
      </w:pPr>
      <w:r w:rsidRPr="00BD2669">
        <w:rPr>
          <w:rFonts w:cs="Arial"/>
          <w:b/>
        </w:rPr>
        <w:t>Randvoorwaarden Wedstrijdregistratie systeem (beheersapplicatie)</w:t>
      </w:r>
    </w:p>
    <w:p w:rsidR="006D7F71" w:rsidRPr="00BD2669" w:rsidRDefault="006D7F71" w:rsidP="006D7F71"/>
    <w:p w:rsidR="006D7F71" w:rsidRPr="00BD2669" w:rsidRDefault="006D7F71" w:rsidP="006D7F71">
      <w:r w:rsidRPr="00BD2669">
        <w:rPr>
          <w:rFonts w:cs="Arial"/>
        </w:rPr>
        <w:t xml:space="preserve">Er dient een applicatie geschreven </w:t>
      </w:r>
      <w:r w:rsidR="00E40769" w:rsidRPr="00BD2669">
        <w:rPr>
          <w:rFonts w:cs="Arial"/>
        </w:rPr>
        <w:t xml:space="preserve">te </w:t>
      </w:r>
      <w:r w:rsidRPr="00BD2669">
        <w:rPr>
          <w:rFonts w:cs="Arial"/>
        </w:rPr>
        <w:t xml:space="preserve">worden waarmee het mogelijk is om de wedstrijdvoortgang </w:t>
      </w:r>
      <w:r w:rsidR="005514A0" w:rsidRPr="00BD2669">
        <w:rPr>
          <w:rFonts w:cs="Arial"/>
        </w:rPr>
        <w:t>te beheren. Deze applicatie kan</w:t>
      </w:r>
      <w:r w:rsidR="001C5AC8" w:rsidRPr="00BD2669">
        <w:rPr>
          <w:rFonts w:cs="Arial"/>
        </w:rPr>
        <w:t xml:space="preserve"> </w:t>
      </w:r>
      <w:r w:rsidRPr="00BD2669">
        <w:rPr>
          <w:rFonts w:cs="Arial"/>
        </w:rPr>
        <w:t>gemaakt worden in:</w:t>
      </w:r>
    </w:p>
    <w:p w:rsidR="006D7F71" w:rsidRPr="00BD2669" w:rsidRDefault="00DF1C06" w:rsidP="006D7F71">
      <w:pPr>
        <w:numPr>
          <w:ilvl w:val="0"/>
          <w:numId w:val="1"/>
        </w:numPr>
        <w:spacing w:after="0" w:line="240" w:lineRule="auto"/>
        <w:rPr>
          <w:rFonts w:cs="Arial"/>
        </w:rPr>
      </w:pPr>
      <w:r w:rsidRPr="00BD2669">
        <w:rPr>
          <w:rFonts w:cs="Arial"/>
        </w:rPr>
        <w:t>C# Windows forms</w:t>
      </w:r>
    </w:p>
    <w:p w:rsidR="006D7F71" w:rsidRPr="00BD2669" w:rsidRDefault="006D7F71" w:rsidP="006D7F71">
      <w:pPr>
        <w:numPr>
          <w:ilvl w:val="0"/>
          <w:numId w:val="1"/>
        </w:numPr>
        <w:spacing w:after="0" w:line="240" w:lineRule="auto"/>
        <w:rPr>
          <w:rFonts w:cs="Arial"/>
        </w:rPr>
      </w:pPr>
      <w:r w:rsidRPr="00BD2669">
        <w:rPr>
          <w:rFonts w:cs="Arial"/>
        </w:rPr>
        <w:t>PHP</w:t>
      </w:r>
    </w:p>
    <w:p w:rsidR="006D7F71" w:rsidRPr="00BD2669" w:rsidRDefault="006D7F71" w:rsidP="006D7F71">
      <w:pPr>
        <w:numPr>
          <w:ilvl w:val="0"/>
          <w:numId w:val="1"/>
        </w:numPr>
        <w:spacing w:after="0" w:line="240" w:lineRule="auto"/>
        <w:rPr>
          <w:rFonts w:cs="Arial"/>
        </w:rPr>
      </w:pPr>
      <w:r w:rsidRPr="00BD2669">
        <w:rPr>
          <w:rFonts w:cs="Arial"/>
        </w:rPr>
        <w:t>…</w:t>
      </w:r>
    </w:p>
    <w:p w:rsidR="006D7F71" w:rsidRPr="00BD2669" w:rsidRDefault="006D7F71" w:rsidP="006D7F71">
      <w:pPr>
        <w:rPr>
          <w:rFonts w:cs="Arial"/>
        </w:rPr>
      </w:pPr>
    </w:p>
    <w:p w:rsidR="005514A0" w:rsidRPr="00BD2669" w:rsidRDefault="000A7031" w:rsidP="006D7F71">
      <w:pPr>
        <w:rPr>
          <w:rFonts w:cs="Arial"/>
        </w:rPr>
      </w:pPr>
      <w:r w:rsidRPr="00BD2669">
        <w:rPr>
          <w:rFonts w:cs="Arial"/>
        </w:rPr>
        <w:t>De applicatie wordt gebruikt door vrijwilligers van de tennisclub</w:t>
      </w:r>
      <w:r w:rsidR="00DF1C06" w:rsidRPr="00BD2669">
        <w:rPr>
          <w:rFonts w:cs="Arial"/>
        </w:rPr>
        <w:t>.</w:t>
      </w:r>
      <w:r w:rsidRPr="00BD2669">
        <w:rPr>
          <w:rFonts w:cs="Arial"/>
        </w:rPr>
        <w:t xml:space="preserve"> </w:t>
      </w:r>
      <w:r w:rsidR="00DF1C06" w:rsidRPr="00BD2669">
        <w:rPr>
          <w:rFonts w:cs="Arial"/>
        </w:rPr>
        <w:t>Z</w:t>
      </w:r>
      <w:r w:rsidRPr="00BD2669">
        <w:rPr>
          <w:rFonts w:cs="Arial"/>
        </w:rPr>
        <w:t>e hebben allemaal veel verstand van tennistoernooien</w:t>
      </w:r>
      <w:r w:rsidR="00E40769" w:rsidRPr="00BD2669">
        <w:rPr>
          <w:rFonts w:cs="Arial"/>
        </w:rPr>
        <w:t>,</w:t>
      </w:r>
      <w:r w:rsidRPr="00BD2669">
        <w:rPr>
          <w:rFonts w:cs="Arial"/>
        </w:rPr>
        <w:t xml:space="preserve"> maar zijn </w:t>
      </w:r>
      <w:r w:rsidR="000E4788" w:rsidRPr="00BD2669">
        <w:rPr>
          <w:rFonts w:cs="Arial"/>
        </w:rPr>
        <w:t xml:space="preserve">absoluut </w:t>
      </w:r>
      <w:r w:rsidRPr="00BD2669">
        <w:rPr>
          <w:rFonts w:cs="Arial"/>
        </w:rPr>
        <w:t>geen ICT-</w:t>
      </w:r>
      <w:r w:rsidR="00E40769" w:rsidRPr="00BD2669">
        <w:rPr>
          <w:rFonts w:cs="Arial"/>
        </w:rPr>
        <w:t>kenners</w:t>
      </w:r>
      <w:r w:rsidRPr="00BD2669">
        <w:rPr>
          <w:rFonts w:cs="Arial"/>
        </w:rPr>
        <w:t>.</w:t>
      </w:r>
      <w:r w:rsidR="001C5AC8" w:rsidRPr="00BD2669">
        <w:rPr>
          <w:rFonts w:cs="Arial"/>
        </w:rPr>
        <w:t xml:space="preserve"> </w:t>
      </w:r>
    </w:p>
    <w:p w:rsidR="006D7F71" w:rsidRPr="00BD2669" w:rsidRDefault="006D7F71" w:rsidP="006D7F71">
      <w:pPr>
        <w:rPr>
          <w:rFonts w:cs="Arial"/>
        </w:rPr>
      </w:pPr>
      <w:r w:rsidRPr="00BD2669">
        <w:rPr>
          <w:rFonts w:cs="Arial"/>
        </w:rPr>
        <w:t xml:space="preserve">Om gebruik te kunnen maken van de applicatie moet de gebruiker inloggen. </w:t>
      </w:r>
    </w:p>
    <w:p w:rsidR="006D7F71" w:rsidRPr="00BD2669" w:rsidRDefault="006D7F71" w:rsidP="006D7F71">
      <w:pPr>
        <w:rPr>
          <w:rFonts w:cs="Arial"/>
        </w:rPr>
      </w:pPr>
      <w:r w:rsidRPr="00BD2669">
        <w:rPr>
          <w:rFonts w:cs="Arial"/>
        </w:rPr>
        <w:t>De onderstaande kleuren zijn de bedrijfskleuren. Deze kleuren moeten</w:t>
      </w:r>
      <w:r w:rsidR="001C5AC8" w:rsidRPr="00BD2669">
        <w:rPr>
          <w:rFonts w:cs="Arial"/>
        </w:rPr>
        <w:t xml:space="preserve"> </w:t>
      </w:r>
      <w:r w:rsidRPr="00BD2669">
        <w:rPr>
          <w:rFonts w:cs="Arial"/>
        </w:rPr>
        <w:t>in de uitwerking van de applicatie naar eigen inzicht gebruikt worden.</w:t>
      </w:r>
    </w:p>
    <w:p w:rsidR="006D7F71" w:rsidRPr="00BD2669" w:rsidRDefault="00826E09" w:rsidP="006D7F71">
      <w:r w:rsidRPr="00BD2669">
        <w:rPr>
          <w:noProof/>
          <w:lang w:eastAsia="nl-NL"/>
        </w:rPr>
        <w:drawing>
          <wp:inline distT="0" distB="0" distL="0" distR="0" wp14:anchorId="456C4E9E" wp14:editId="6710CFAC">
            <wp:extent cx="468000" cy="468000"/>
            <wp:effectExtent l="0" t="0" r="8255" b="8255"/>
            <wp:docPr id="3" name="Afbeelding 3" descr="FF9900 Hex Color Image (ORANGE, ORANGE PE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F9900 Hex Color Image (ORANGE, ORANGE PEEL)"/>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inline>
        </w:drawing>
      </w:r>
      <w:r w:rsidRPr="00BD2669">
        <w:t xml:space="preserve"> </w:t>
      </w:r>
      <w:r w:rsidRPr="00BD2669">
        <w:rPr>
          <w:noProof/>
          <w:lang w:eastAsia="nl-NL"/>
        </w:rPr>
        <w:drawing>
          <wp:inline distT="0" distB="0" distL="0" distR="0" wp14:anchorId="0AFBF63E" wp14:editId="7F226C8E">
            <wp:extent cx="468000" cy="468000"/>
            <wp:effectExtent l="0" t="0" r="8255" b="8255"/>
            <wp:docPr id="10" name="Afbeelding 10" descr="336699 Hex Color Image (AZURE, BL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336699 Hex Color Image (AZURE, BLUE)"/>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inline>
        </w:drawing>
      </w:r>
      <w:r w:rsidR="00834C34" w:rsidRPr="00BD2669">
        <w:t xml:space="preserve"> </w:t>
      </w:r>
      <w:r w:rsidR="00834C34" w:rsidRPr="00BD2669">
        <w:rPr>
          <w:noProof/>
          <w:lang w:eastAsia="nl-NL"/>
        </w:rPr>
        <w:drawing>
          <wp:inline distT="0" distB="0" distL="0" distR="0" wp14:anchorId="66AB8117" wp14:editId="5C8432C9">
            <wp:extent cx="468000" cy="468000"/>
            <wp:effectExtent l="0" t="0" r="8255" b="8255"/>
            <wp:docPr id="11" name="Afbeelding 11" descr="CCCCCC Hex Color Image (GRAY, GREY, SILV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CCCCC Hex Color Image (GRAY, GREY, SILVER)"/>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inline>
        </w:drawing>
      </w:r>
    </w:p>
    <w:p w:rsidR="00514780" w:rsidRPr="00BD2669" w:rsidRDefault="00514780" w:rsidP="00514780">
      <w:pPr>
        <w:rPr>
          <w:rFonts w:cs="Arial"/>
        </w:rPr>
      </w:pPr>
      <w:r w:rsidRPr="00BD2669">
        <w:rPr>
          <w:rFonts w:cs="Arial"/>
        </w:rPr>
        <w:t>De kleurcodes zijn:</w:t>
      </w:r>
    </w:p>
    <w:p w:rsidR="00514780" w:rsidRPr="00BD2669" w:rsidRDefault="00514780" w:rsidP="00514780">
      <w:r w:rsidRPr="00BD2669">
        <w:t>Oranje: ff9623</w:t>
      </w:r>
      <w:r w:rsidRPr="00BD2669">
        <w:br/>
        <w:t>Blauw: 2a6797</w:t>
      </w:r>
      <w:r w:rsidRPr="00BD2669">
        <w:br/>
        <w:t>Grijs: cccccc</w:t>
      </w:r>
    </w:p>
    <w:p w:rsidR="006D7F71" w:rsidRPr="00BD2669" w:rsidRDefault="006D7F71" w:rsidP="006D7F71">
      <w:pPr>
        <w:rPr>
          <w:rFonts w:cs="Arial"/>
        </w:rPr>
      </w:pPr>
      <w:r w:rsidRPr="00BD2669">
        <w:rPr>
          <w:rFonts w:cs="Arial"/>
        </w:rPr>
        <w:t xml:space="preserve">Van elke gespeelde wedstrijd moet </w:t>
      </w:r>
      <w:r w:rsidR="00E40769" w:rsidRPr="00BD2669">
        <w:rPr>
          <w:rFonts w:cs="Arial"/>
        </w:rPr>
        <w:t>het volgende worden</w:t>
      </w:r>
      <w:r w:rsidRPr="00BD2669">
        <w:rPr>
          <w:rFonts w:cs="Arial"/>
        </w:rPr>
        <w:t xml:space="preserve"> weergegeven </w:t>
      </w:r>
      <w:r w:rsidR="00E40769" w:rsidRPr="00BD2669">
        <w:rPr>
          <w:rFonts w:cs="Arial"/>
        </w:rPr>
        <w:t>aan de hand van selectie.</w:t>
      </w:r>
    </w:p>
    <w:p w:rsidR="006D7F71" w:rsidRPr="00BD2669" w:rsidRDefault="006D7F71" w:rsidP="006D7F71">
      <w:pPr>
        <w:numPr>
          <w:ilvl w:val="0"/>
          <w:numId w:val="3"/>
        </w:numPr>
        <w:spacing w:after="0" w:line="240" w:lineRule="auto"/>
        <w:rPr>
          <w:rFonts w:cs="Arial"/>
        </w:rPr>
      </w:pPr>
      <w:r w:rsidRPr="00BD2669">
        <w:rPr>
          <w:rFonts w:cs="Arial"/>
        </w:rPr>
        <w:t xml:space="preserve">De </w:t>
      </w:r>
      <w:r w:rsidR="001E07C4" w:rsidRPr="00BD2669">
        <w:rPr>
          <w:rFonts w:cs="Arial"/>
        </w:rPr>
        <w:t>naam en school</w:t>
      </w:r>
      <w:r w:rsidR="00E40769" w:rsidRPr="00BD2669">
        <w:rPr>
          <w:rFonts w:cs="Arial"/>
        </w:rPr>
        <w:t xml:space="preserve"> van de spelers</w:t>
      </w:r>
    </w:p>
    <w:p w:rsidR="006D7F71" w:rsidRPr="00BD2669" w:rsidRDefault="00E40769" w:rsidP="006D7F71">
      <w:pPr>
        <w:numPr>
          <w:ilvl w:val="0"/>
          <w:numId w:val="3"/>
        </w:numPr>
        <w:spacing w:after="0" w:line="240" w:lineRule="auto"/>
        <w:rPr>
          <w:rFonts w:cs="Arial"/>
        </w:rPr>
      </w:pPr>
      <w:r w:rsidRPr="00BD2669">
        <w:rPr>
          <w:rFonts w:cs="Arial"/>
        </w:rPr>
        <w:t>De eindstand van de wedstrijd</w:t>
      </w:r>
    </w:p>
    <w:p w:rsidR="006D7F71" w:rsidRPr="00BD2669" w:rsidRDefault="006D7F71" w:rsidP="006D7F71">
      <w:pPr>
        <w:numPr>
          <w:ilvl w:val="0"/>
          <w:numId w:val="3"/>
        </w:numPr>
        <w:spacing w:after="0" w:line="240" w:lineRule="auto"/>
        <w:rPr>
          <w:rFonts w:cs="Arial"/>
        </w:rPr>
      </w:pPr>
      <w:r w:rsidRPr="00BD2669">
        <w:rPr>
          <w:rFonts w:cs="Arial"/>
        </w:rPr>
        <w:t>De voortgang in het knock-out wedstrijdschema, zie Tennistoernooivormen-KNLTB.pdf</w:t>
      </w:r>
    </w:p>
    <w:p w:rsidR="006D7F71" w:rsidRPr="00BD2669" w:rsidRDefault="006D7F71" w:rsidP="006D7F71">
      <w:pPr>
        <w:numPr>
          <w:ilvl w:val="0"/>
          <w:numId w:val="3"/>
        </w:numPr>
        <w:spacing w:after="0" w:line="240" w:lineRule="auto"/>
        <w:rPr>
          <w:rFonts w:cs="Arial"/>
        </w:rPr>
      </w:pPr>
      <w:r w:rsidRPr="00BD2669">
        <w:rPr>
          <w:rFonts w:cs="Arial"/>
        </w:rPr>
        <w:t>De knock-outvorm dient visueel te worden weergegeven, zodanig dat de voortgang van he</w:t>
      </w:r>
      <w:r w:rsidR="003E5A96" w:rsidRPr="00BD2669">
        <w:rPr>
          <w:rFonts w:cs="Arial"/>
        </w:rPr>
        <w:t>t tennistoernooi wordt beleefd</w:t>
      </w:r>
      <w:r w:rsidR="00DF1C06" w:rsidRPr="00BD2669">
        <w:rPr>
          <w:rFonts w:cs="Arial"/>
        </w:rPr>
        <w:t>.</w:t>
      </w:r>
      <w:r w:rsidRPr="00BD2669">
        <w:rPr>
          <w:rFonts w:cs="Arial"/>
        </w:rPr>
        <w:br/>
      </w:r>
    </w:p>
    <w:p w:rsidR="006D7F71" w:rsidRPr="00BD2669" w:rsidRDefault="006D7F71" w:rsidP="003E5A96">
      <w:pPr>
        <w:numPr>
          <w:ilvl w:val="0"/>
          <w:numId w:val="4"/>
        </w:numPr>
        <w:spacing w:after="0" w:line="240" w:lineRule="auto"/>
        <w:rPr>
          <w:rFonts w:cs="Arial"/>
        </w:rPr>
      </w:pPr>
      <w:r w:rsidRPr="00BD2669">
        <w:rPr>
          <w:rFonts w:cs="Arial"/>
        </w:rPr>
        <w:t>All</w:t>
      </w:r>
      <w:r w:rsidR="003E5A96" w:rsidRPr="00BD2669">
        <w:rPr>
          <w:rFonts w:cs="Arial"/>
        </w:rPr>
        <w:t>e gegevens moeten kunnen worden</w:t>
      </w:r>
      <w:r w:rsidRPr="00BD2669">
        <w:rPr>
          <w:rFonts w:cs="Arial"/>
        </w:rPr>
        <w:t xml:space="preserve"> </w:t>
      </w:r>
      <w:r w:rsidR="003E5A96" w:rsidRPr="00BD2669">
        <w:rPr>
          <w:rFonts w:cs="Arial"/>
        </w:rPr>
        <w:t>i</w:t>
      </w:r>
      <w:r w:rsidRPr="00BD2669">
        <w:rPr>
          <w:rFonts w:cs="Arial"/>
        </w:rPr>
        <w:t>ngevoerd, aangepast en verwijderd.</w:t>
      </w:r>
    </w:p>
    <w:p w:rsidR="00FB365E" w:rsidRPr="00BD2669" w:rsidRDefault="00766791" w:rsidP="003E5A96">
      <w:pPr>
        <w:numPr>
          <w:ilvl w:val="0"/>
          <w:numId w:val="4"/>
        </w:numPr>
        <w:spacing w:after="0" w:line="240" w:lineRule="auto"/>
        <w:rPr>
          <w:rFonts w:cs="Arial"/>
        </w:rPr>
      </w:pPr>
      <w:r w:rsidRPr="00BD2669">
        <w:rPr>
          <w:rFonts w:cs="Arial"/>
        </w:rPr>
        <w:t>Sommige scholen leveren zelf de aa</w:t>
      </w:r>
      <w:r w:rsidR="003E5A96" w:rsidRPr="00BD2669">
        <w:rPr>
          <w:rFonts w:cs="Arial"/>
        </w:rPr>
        <w:t>nmeldingen aan (in XML-</w:t>
      </w:r>
      <w:r w:rsidRPr="00BD2669">
        <w:rPr>
          <w:rFonts w:cs="Arial"/>
        </w:rPr>
        <w:t>formaat).</w:t>
      </w:r>
      <w:r w:rsidR="00FB365E" w:rsidRPr="00BD2669">
        <w:rPr>
          <w:rFonts w:cs="Arial"/>
        </w:rPr>
        <w:t xml:space="preserve"> Deze moeten geïmporteerd kunnen worden</w:t>
      </w:r>
      <w:r w:rsidRPr="00BD2669">
        <w:rPr>
          <w:rFonts w:cs="Arial"/>
        </w:rPr>
        <w:t>.</w:t>
      </w:r>
    </w:p>
    <w:p w:rsidR="009C4F26" w:rsidRPr="00BD2669" w:rsidRDefault="009C4F26" w:rsidP="003E5A96">
      <w:pPr>
        <w:numPr>
          <w:ilvl w:val="0"/>
          <w:numId w:val="4"/>
        </w:numPr>
        <w:spacing w:after="0" w:line="240" w:lineRule="auto"/>
        <w:rPr>
          <w:rFonts w:cs="Arial"/>
        </w:rPr>
      </w:pPr>
      <w:r w:rsidRPr="00BD2669">
        <w:rPr>
          <w:rFonts w:cs="Arial"/>
        </w:rPr>
        <w:t>Op termijn bestaat wellicht de behoefte aan een automatische planning van de banen en wedstrijdtijden.</w:t>
      </w:r>
    </w:p>
    <w:p w:rsidR="006D7F71" w:rsidRPr="00BD2669" w:rsidRDefault="006D7F71" w:rsidP="006D7F71">
      <w:pPr>
        <w:rPr>
          <w:rFonts w:cs="Arial"/>
        </w:rPr>
      </w:pPr>
    </w:p>
    <w:p w:rsidR="006D7F71" w:rsidRPr="00BD2669" w:rsidRDefault="006D7F71" w:rsidP="006D7F71">
      <w:pPr>
        <w:rPr>
          <w:rFonts w:cs="Arial"/>
        </w:rPr>
      </w:pPr>
      <w:r w:rsidRPr="00BD2669">
        <w:rPr>
          <w:rFonts w:cs="Arial"/>
        </w:rPr>
        <w:br w:type="page"/>
      </w:r>
    </w:p>
    <w:p w:rsidR="006D7F71" w:rsidRPr="00BD2669" w:rsidRDefault="00DF1C06" w:rsidP="003E5A96">
      <w:pPr>
        <w:pStyle w:val="Kop1"/>
      </w:pPr>
      <w:r w:rsidRPr="00BD2669">
        <w:lastRenderedPageBreak/>
        <w:t>A</w:t>
      </w:r>
      <w:r w:rsidR="003E5A96" w:rsidRPr="00BD2669">
        <w:t>pplicatieschetsen</w:t>
      </w:r>
    </w:p>
    <w:p w:rsidR="00F60651" w:rsidRPr="00BD2669" w:rsidRDefault="00F60651" w:rsidP="006D7F71">
      <w:pPr>
        <w:rPr>
          <w:rFonts w:cs="Arial"/>
        </w:rPr>
      </w:pPr>
      <w:r w:rsidRPr="00BD2669">
        <w:rPr>
          <w:rFonts w:cs="Arial"/>
        </w:rPr>
        <w:t>De applicatie moet zoveel mogelijk overeenkomstig de huidige stijl van de KNLTB word</w:t>
      </w:r>
      <w:r w:rsidR="003E5A96" w:rsidRPr="00BD2669">
        <w:rPr>
          <w:rFonts w:cs="Arial"/>
        </w:rPr>
        <w:t>en vormgegeven. Een klein basis</w:t>
      </w:r>
      <w:r w:rsidRPr="00BD2669">
        <w:rPr>
          <w:rFonts w:cs="Arial"/>
        </w:rPr>
        <w:t>window, van waaruit de verschillende andere windows via een menu worden getoond. Hierdoor kunnen meerdere windows naast elkaar actief zijn.</w:t>
      </w:r>
    </w:p>
    <w:p w:rsidR="00F60651" w:rsidRPr="00BD2669" w:rsidRDefault="00F60651" w:rsidP="006D7F71">
      <w:pPr>
        <w:rPr>
          <w:rFonts w:cs="Arial"/>
        </w:rPr>
      </w:pPr>
      <w:r w:rsidRPr="00BD2669">
        <w:rPr>
          <w:rFonts w:cs="Arial"/>
        </w:rPr>
        <w:t>Hiero</w:t>
      </w:r>
      <w:r w:rsidR="00DF1C06" w:rsidRPr="00BD2669">
        <w:rPr>
          <w:rFonts w:cs="Arial"/>
        </w:rPr>
        <w:t>nder een voorbeeld van de KNLTB-</w:t>
      </w:r>
      <w:r w:rsidRPr="00BD2669">
        <w:rPr>
          <w:rFonts w:cs="Arial"/>
        </w:rPr>
        <w:t>applicatie voor de</w:t>
      </w:r>
      <w:r w:rsidR="001C5AC8" w:rsidRPr="00BD2669">
        <w:rPr>
          <w:rFonts w:cs="Arial"/>
        </w:rPr>
        <w:t xml:space="preserve"> </w:t>
      </w:r>
      <w:r w:rsidRPr="00BD2669">
        <w:rPr>
          <w:rFonts w:cs="Arial"/>
        </w:rPr>
        <w:t>financiële administratie.</w:t>
      </w:r>
    </w:p>
    <w:p w:rsidR="00F60651" w:rsidRPr="00E32B1D" w:rsidRDefault="00DE3E1B" w:rsidP="006D7F71">
      <w:pPr>
        <w:rPr>
          <w:rFonts w:cs="Arial"/>
        </w:rPr>
      </w:pPr>
      <w:r w:rsidRPr="00BD2669">
        <w:rPr>
          <w:noProof/>
          <w:lang w:eastAsia="nl-NL"/>
        </w:rPr>
        <w:drawing>
          <wp:inline distT="0" distB="0" distL="0" distR="0" wp14:anchorId="569D2448" wp14:editId="6585C122">
            <wp:extent cx="5760720" cy="2970818"/>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970818"/>
                    </a:xfrm>
                    <a:prstGeom prst="rect">
                      <a:avLst/>
                    </a:prstGeom>
                  </pic:spPr>
                </pic:pic>
              </a:graphicData>
            </a:graphic>
          </wp:inline>
        </w:drawing>
      </w:r>
    </w:p>
    <w:p w:rsidR="006D7F71" w:rsidRPr="00E32B1D" w:rsidRDefault="006D7F71" w:rsidP="006D7F71">
      <w:pPr>
        <w:rPr>
          <w:rFonts w:cs="Arial"/>
        </w:rPr>
      </w:pPr>
    </w:p>
    <w:p w:rsidR="00F900A2" w:rsidRPr="00E32B1D" w:rsidRDefault="00F900A2" w:rsidP="006D7F71"/>
    <w:sectPr w:rsidR="00F900A2" w:rsidRPr="00E32B1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46D" w:rsidRDefault="0001646D" w:rsidP="0001646D">
      <w:pPr>
        <w:spacing w:after="0" w:line="240" w:lineRule="auto"/>
      </w:pPr>
      <w:r>
        <w:separator/>
      </w:r>
    </w:p>
  </w:endnote>
  <w:endnote w:type="continuationSeparator" w:id="0">
    <w:p w:rsidR="0001646D" w:rsidRDefault="0001646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DE799D" w:rsidRDefault="006D7F71" w:rsidP="00DE799D">
            <w:pPr>
              <w:pStyle w:val="Voettekst"/>
              <w:jc w:val="center"/>
              <w:rPr>
                <w:sz w:val="16"/>
                <w:szCs w:val="16"/>
              </w:rPr>
            </w:pPr>
            <w:r>
              <w:rPr>
                <w:sz w:val="16"/>
                <w:szCs w:val="16"/>
              </w:rPr>
              <w:t>Bijlage 1</w:t>
            </w:r>
            <w:r w:rsidR="007259F5">
              <w:rPr>
                <w:sz w:val="16"/>
                <w:szCs w:val="16"/>
              </w:rPr>
              <w:t>.1</w:t>
            </w:r>
            <w:r w:rsidR="00434397">
              <w:rPr>
                <w:sz w:val="16"/>
                <w:szCs w:val="16"/>
              </w:rPr>
              <w:t xml:space="preserve"> </w:t>
            </w:r>
            <w:r>
              <w:rPr>
                <w:sz w:val="16"/>
                <w:szCs w:val="16"/>
              </w:rPr>
              <w:t>Notulen</w:t>
            </w:r>
          </w:p>
          <w:p w:rsidR="00F3213B" w:rsidRPr="00A766B5" w:rsidRDefault="006721BB" w:rsidP="00F3213B">
            <w:pPr>
              <w:pStyle w:val="Voettekst"/>
              <w:jc w:val="center"/>
              <w:rPr>
                <w:sz w:val="16"/>
                <w:szCs w:val="16"/>
              </w:rPr>
            </w:pPr>
            <w:r>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54710E">
              <w:rPr>
                <w:sz w:val="16"/>
                <w:szCs w:val="16"/>
              </w:rPr>
              <w:t>1_1B</w:t>
            </w:r>
            <w:r w:rsidR="00454C32">
              <w:rPr>
                <w:sz w:val="16"/>
                <w:szCs w:val="16"/>
              </w:rPr>
              <w:t>2</w:t>
            </w:r>
          </w:p>
          <w:p w:rsidR="00DE799D" w:rsidRDefault="00DE799D" w:rsidP="00DE799D">
            <w:pPr>
              <w:pStyle w:val="Voettekst"/>
              <w:jc w:val="center"/>
            </w:pPr>
            <w:r w:rsidRPr="00CE5045">
              <w:rPr>
                <w:sz w:val="16"/>
                <w:szCs w:val="16"/>
              </w:rPr>
              <w:t>© Stichting Praktijkleren</w:t>
            </w:r>
          </w:p>
          <w:p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D90B1D">
              <w:rPr>
                <w:b/>
                <w:bCs/>
                <w:noProof/>
                <w:sz w:val="16"/>
                <w:szCs w:val="16"/>
              </w:rPr>
              <w:t>4</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D90B1D">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46D" w:rsidRDefault="0001646D" w:rsidP="0001646D">
      <w:pPr>
        <w:spacing w:after="0" w:line="240" w:lineRule="auto"/>
      </w:pPr>
      <w:r>
        <w:separator/>
      </w:r>
    </w:p>
  </w:footnote>
  <w:footnote w:type="continuationSeparator" w:id="0">
    <w:p w:rsidR="0001646D" w:rsidRDefault="0001646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968EF"/>
    <w:multiLevelType w:val="hybridMultilevel"/>
    <w:tmpl w:val="17B4C70C"/>
    <w:lvl w:ilvl="0" w:tplc="EC88C8A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9D5F7D"/>
    <w:multiLevelType w:val="hybridMultilevel"/>
    <w:tmpl w:val="66CE6E5C"/>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B">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0873270"/>
    <w:multiLevelType w:val="hybridMultilevel"/>
    <w:tmpl w:val="6AB6346C"/>
    <w:lvl w:ilvl="0" w:tplc="04130005">
      <w:start w:val="1"/>
      <w:numFmt w:val="bullet"/>
      <w:lvlText w:val=""/>
      <w:lvlJc w:val="left"/>
      <w:pPr>
        <w:tabs>
          <w:tab w:val="num" w:pos="360"/>
        </w:tabs>
        <w:ind w:left="360" w:hanging="360"/>
      </w:pPr>
      <w:rPr>
        <w:rFonts w:ascii="Wingdings" w:hAnsi="Wingdings"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B">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37E7169"/>
    <w:multiLevelType w:val="hybridMultilevel"/>
    <w:tmpl w:val="6B30A750"/>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C3F4D1B"/>
    <w:multiLevelType w:val="hybridMultilevel"/>
    <w:tmpl w:val="B1769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0A0357"/>
    <w:rsid w:val="000A7031"/>
    <w:rsid w:val="000E4788"/>
    <w:rsid w:val="00155807"/>
    <w:rsid w:val="001662FE"/>
    <w:rsid w:val="001C5AC8"/>
    <w:rsid w:val="001E07C4"/>
    <w:rsid w:val="002D6962"/>
    <w:rsid w:val="003071CE"/>
    <w:rsid w:val="00331148"/>
    <w:rsid w:val="003C40C4"/>
    <w:rsid w:val="003D1711"/>
    <w:rsid w:val="003E5A96"/>
    <w:rsid w:val="003F6947"/>
    <w:rsid w:val="00434397"/>
    <w:rsid w:val="00454C32"/>
    <w:rsid w:val="00514780"/>
    <w:rsid w:val="0054710E"/>
    <w:rsid w:val="005514A0"/>
    <w:rsid w:val="0060222D"/>
    <w:rsid w:val="006721BB"/>
    <w:rsid w:val="006D7F71"/>
    <w:rsid w:val="007259F5"/>
    <w:rsid w:val="007309F1"/>
    <w:rsid w:val="00766791"/>
    <w:rsid w:val="00780CB2"/>
    <w:rsid w:val="007A05AD"/>
    <w:rsid w:val="00826E09"/>
    <w:rsid w:val="00834C34"/>
    <w:rsid w:val="008C62F0"/>
    <w:rsid w:val="00923EAB"/>
    <w:rsid w:val="009969EF"/>
    <w:rsid w:val="009C4F26"/>
    <w:rsid w:val="00A51472"/>
    <w:rsid w:val="00B05038"/>
    <w:rsid w:val="00BD2669"/>
    <w:rsid w:val="00BF5B29"/>
    <w:rsid w:val="00BF70A4"/>
    <w:rsid w:val="00C50E32"/>
    <w:rsid w:val="00CA44EE"/>
    <w:rsid w:val="00D90B1D"/>
    <w:rsid w:val="00DB07C6"/>
    <w:rsid w:val="00DC7DF3"/>
    <w:rsid w:val="00DE3E1B"/>
    <w:rsid w:val="00DE799D"/>
    <w:rsid w:val="00DF1C06"/>
    <w:rsid w:val="00E31904"/>
    <w:rsid w:val="00E32B1D"/>
    <w:rsid w:val="00E40769"/>
    <w:rsid w:val="00EC0F34"/>
    <w:rsid w:val="00F246D0"/>
    <w:rsid w:val="00F3213B"/>
    <w:rsid w:val="00F60651"/>
    <w:rsid w:val="00F900A2"/>
    <w:rsid w:val="00FB365E"/>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76F1306B"/>
  <w15:docId w15:val="{3D04B6B9-13FA-4552-871F-2C9E2931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Standaard1">
    <w:name w:val="Standaard1"/>
    <w:basedOn w:val="Standaard"/>
    <w:rsid w:val="006D7F71"/>
    <w:pPr>
      <w:pBdr>
        <w:left w:val="single" w:sz="6" w:space="0" w:color="999999"/>
        <w:bottom w:val="single" w:sz="6" w:space="0" w:color="999999"/>
        <w:right w:val="single" w:sz="6" w:space="0" w:color="999999"/>
      </w:pBdr>
      <w:spacing w:after="100" w:afterAutospacing="1" w:line="240" w:lineRule="auto"/>
    </w:pPr>
    <w:rPr>
      <w:rFonts w:ascii="Verdana" w:eastAsia="Times New Roman" w:hAnsi="Verdana" w:cs="Times New Roman"/>
      <w:color w:val="000000"/>
      <w:sz w:val="17"/>
      <w:szCs w:val="17"/>
      <w:lang w:eastAsia="nl-NL"/>
    </w:rPr>
  </w:style>
  <w:style w:type="character" w:styleId="Zwaar">
    <w:name w:val="Strong"/>
    <w:basedOn w:val="Standaardalinea-lettertype"/>
    <w:qFormat/>
    <w:rsid w:val="006D7F71"/>
    <w:rPr>
      <w:b/>
      <w:bCs/>
    </w:rPr>
  </w:style>
  <w:style w:type="character" w:styleId="Verwijzingopmerking">
    <w:name w:val="annotation reference"/>
    <w:basedOn w:val="Standaardalinea-lettertype"/>
    <w:uiPriority w:val="99"/>
    <w:semiHidden/>
    <w:unhideWhenUsed/>
    <w:rsid w:val="00BF5B29"/>
    <w:rPr>
      <w:sz w:val="16"/>
      <w:szCs w:val="16"/>
    </w:rPr>
  </w:style>
  <w:style w:type="paragraph" w:styleId="Tekstopmerking">
    <w:name w:val="annotation text"/>
    <w:basedOn w:val="Standaard"/>
    <w:link w:val="TekstopmerkingChar"/>
    <w:uiPriority w:val="99"/>
    <w:semiHidden/>
    <w:unhideWhenUsed/>
    <w:rsid w:val="00BF5B2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F5B29"/>
    <w:rPr>
      <w:sz w:val="20"/>
      <w:szCs w:val="20"/>
    </w:rPr>
  </w:style>
  <w:style w:type="paragraph" w:styleId="Onderwerpvanopmerking">
    <w:name w:val="annotation subject"/>
    <w:basedOn w:val="Tekstopmerking"/>
    <w:next w:val="Tekstopmerking"/>
    <w:link w:val="OnderwerpvanopmerkingChar"/>
    <w:uiPriority w:val="99"/>
    <w:semiHidden/>
    <w:unhideWhenUsed/>
    <w:rsid w:val="00BF5B29"/>
    <w:rPr>
      <w:b/>
      <w:bCs/>
    </w:rPr>
  </w:style>
  <w:style w:type="character" w:customStyle="1" w:styleId="OnderwerpvanopmerkingChar">
    <w:name w:val="Onderwerp van opmerking Char"/>
    <w:basedOn w:val="TekstopmerkingChar"/>
    <w:link w:val="Onderwerpvanopmerking"/>
    <w:uiPriority w:val="99"/>
    <w:semiHidden/>
    <w:rsid w:val="00BF5B29"/>
    <w:rPr>
      <w:b/>
      <w:bCs/>
      <w:sz w:val="20"/>
      <w:szCs w:val="20"/>
    </w:rPr>
  </w:style>
  <w:style w:type="paragraph" w:styleId="Lijstalinea">
    <w:name w:val="List Paragraph"/>
    <w:basedOn w:val="Standaard"/>
    <w:uiPriority w:val="34"/>
    <w:qFormat/>
    <w:rsid w:val="00514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624</Words>
  <Characters>3432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Irma Koerhuis</cp:lastModifiedBy>
  <cp:revision>36</cp:revision>
  <dcterms:created xsi:type="dcterms:W3CDTF">2016-02-08T08:32:00Z</dcterms:created>
  <dcterms:modified xsi:type="dcterms:W3CDTF">2020-07-24T07:30:00Z</dcterms:modified>
</cp:coreProperties>
</file>