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25E" w:rsidRDefault="000B725E" w:rsidP="000B725E">
      <w:pPr>
        <w:tabs>
          <w:tab w:val="left" w:pos="1060"/>
        </w:tabs>
        <w:jc w:val="center"/>
        <w:rPr>
          <w:b/>
          <w:sz w:val="24"/>
          <w:szCs w:val="24"/>
        </w:rPr>
      </w:pPr>
      <w:r w:rsidRPr="004E2D03">
        <w:rPr>
          <w:b/>
          <w:sz w:val="24"/>
          <w:szCs w:val="24"/>
        </w:rPr>
        <w:t>201</w:t>
      </w:r>
      <w:r w:rsidR="000F4EDD">
        <w:rPr>
          <w:b/>
          <w:sz w:val="24"/>
          <w:szCs w:val="24"/>
        </w:rPr>
        <w:t>8</w:t>
      </w:r>
      <w:r w:rsidRPr="004E2D03">
        <w:rPr>
          <w:b/>
          <w:sz w:val="24"/>
          <w:szCs w:val="24"/>
        </w:rPr>
        <w:t>-201</w:t>
      </w:r>
      <w:r w:rsidR="000F4EDD">
        <w:rPr>
          <w:b/>
          <w:sz w:val="24"/>
          <w:szCs w:val="24"/>
        </w:rPr>
        <w:t>9</w:t>
      </w:r>
      <w:r w:rsidRPr="004E2D03">
        <w:rPr>
          <w:b/>
          <w:sz w:val="24"/>
          <w:szCs w:val="24"/>
        </w:rPr>
        <w:t xml:space="preserve"> </w:t>
      </w:r>
      <w:r w:rsidR="00943EFB">
        <w:rPr>
          <w:b/>
          <w:sz w:val="24"/>
          <w:szCs w:val="24"/>
        </w:rPr>
        <w:t xml:space="preserve">GÜZ </w:t>
      </w:r>
      <w:r w:rsidRPr="004E2D03">
        <w:rPr>
          <w:b/>
          <w:sz w:val="24"/>
          <w:szCs w:val="24"/>
        </w:rPr>
        <w:t>Y</w:t>
      </w:r>
      <w:r w:rsidR="00943EFB">
        <w:rPr>
          <w:b/>
          <w:sz w:val="24"/>
          <w:szCs w:val="24"/>
        </w:rPr>
        <w:t>.</w:t>
      </w:r>
      <w:r w:rsidRPr="004E2D03">
        <w:rPr>
          <w:b/>
          <w:sz w:val="24"/>
          <w:szCs w:val="24"/>
        </w:rPr>
        <w:t>Y</w:t>
      </w:r>
      <w:r w:rsidR="00943EFB">
        <w:rPr>
          <w:b/>
          <w:sz w:val="24"/>
          <w:szCs w:val="24"/>
        </w:rPr>
        <w:t>.</w:t>
      </w:r>
    </w:p>
    <w:p w:rsidR="000B725E" w:rsidRDefault="002B6D51" w:rsidP="000B725E">
      <w:pPr>
        <w:tabs>
          <w:tab w:val="left" w:pos="1060"/>
        </w:tabs>
        <w:jc w:val="center"/>
        <w:rPr>
          <w:b/>
          <w:sz w:val="24"/>
          <w:szCs w:val="24"/>
        </w:rPr>
      </w:pPr>
      <w:r w:rsidRPr="002B6D51">
        <w:rPr>
          <w:b/>
          <w:sz w:val="24"/>
          <w:szCs w:val="24"/>
        </w:rPr>
        <w:t>BLM2501</w:t>
      </w:r>
      <w:r w:rsidR="000B725E">
        <w:rPr>
          <w:b/>
          <w:sz w:val="24"/>
          <w:szCs w:val="24"/>
        </w:rPr>
        <w:t>–</w:t>
      </w:r>
      <w:r w:rsidR="000B725E" w:rsidRPr="004E2D03">
        <w:rPr>
          <w:b/>
          <w:sz w:val="24"/>
          <w:szCs w:val="24"/>
        </w:rPr>
        <w:t xml:space="preserve"> </w:t>
      </w:r>
      <w:r w:rsidRPr="002B6D51">
        <w:rPr>
          <w:b/>
          <w:sz w:val="24"/>
          <w:szCs w:val="24"/>
        </w:rPr>
        <w:t>Alt Seviye Programlama</w:t>
      </w:r>
    </w:p>
    <w:p w:rsidR="000B725E" w:rsidRDefault="00264331" w:rsidP="000B725E">
      <w:pPr>
        <w:tabs>
          <w:tab w:val="left" w:pos="1060"/>
        </w:tabs>
        <w:jc w:val="center"/>
        <w:rPr>
          <w:b/>
          <w:sz w:val="24"/>
          <w:szCs w:val="24"/>
        </w:rPr>
      </w:pPr>
      <w:r>
        <w:rPr>
          <w:b/>
          <w:sz w:val="24"/>
          <w:szCs w:val="24"/>
        </w:rPr>
        <w:t>Perşembe</w:t>
      </w:r>
      <w:r w:rsidR="000B725E">
        <w:rPr>
          <w:b/>
          <w:sz w:val="24"/>
          <w:szCs w:val="24"/>
        </w:rPr>
        <w:t xml:space="preserve"> </w:t>
      </w:r>
      <w:r>
        <w:rPr>
          <w:b/>
          <w:sz w:val="24"/>
          <w:szCs w:val="24"/>
        </w:rPr>
        <w:t>09</w:t>
      </w:r>
      <w:r w:rsidR="00C43F38">
        <w:rPr>
          <w:b/>
          <w:sz w:val="24"/>
          <w:szCs w:val="24"/>
        </w:rPr>
        <w:t>:</w:t>
      </w:r>
      <w:r w:rsidR="000B725E">
        <w:rPr>
          <w:b/>
          <w:sz w:val="24"/>
          <w:szCs w:val="24"/>
        </w:rPr>
        <w:t>00-1</w:t>
      </w:r>
      <w:r>
        <w:rPr>
          <w:b/>
          <w:sz w:val="24"/>
          <w:szCs w:val="24"/>
        </w:rPr>
        <w:t>2</w:t>
      </w:r>
      <w:r w:rsidR="000B725E">
        <w:rPr>
          <w:b/>
          <w:sz w:val="24"/>
          <w:szCs w:val="24"/>
        </w:rPr>
        <w:t>:00</w:t>
      </w:r>
    </w:p>
    <w:p w:rsidR="00487968" w:rsidRDefault="00487968" w:rsidP="000B725E">
      <w:pPr>
        <w:tabs>
          <w:tab w:val="left" w:pos="1060"/>
        </w:tabs>
        <w:jc w:val="center"/>
        <w:rPr>
          <w:b/>
          <w:sz w:val="24"/>
          <w:szCs w:val="24"/>
        </w:rPr>
      </w:pPr>
      <w:r>
        <w:rPr>
          <w:b/>
          <w:sz w:val="24"/>
          <w:szCs w:val="24"/>
        </w:rPr>
        <w:t xml:space="preserve">Derslik: </w:t>
      </w:r>
      <w:r w:rsidR="00DA2677">
        <w:rPr>
          <w:b/>
          <w:sz w:val="24"/>
          <w:szCs w:val="24"/>
        </w:rPr>
        <w:t>D</w:t>
      </w:r>
      <w:r w:rsidR="000F4EDD">
        <w:rPr>
          <w:b/>
          <w:sz w:val="24"/>
          <w:szCs w:val="24"/>
        </w:rPr>
        <w:t>108</w:t>
      </w:r>
    </w:p>
    <w:p w:rsidR="000B725E" w:rsidRDefault="000B725E" w:rsidP="000B725E">
      <w:pPr>
        <w:tabs>
          <w:tab w:val="left" w:pos="2190"/>
        </w:tabs>
        <w:rPr>
          <w:b/>
          <w:sz w:val="24"/>
          <w:szCs w:val="24"/>
        </w:rPr>
      </w:pPr>
    </w:p>
    <w:p w:rsidR="000B725E" w:rsidRPr="000B725E" w:rsidRDefault="000B725E" w:rsidP="000B725E">
      <w:pPr>
        <w:tabs>
          <w:tab w:val="left" w:pos="1060"/>
        </w:tabs>
        <w:rPr>
          <w:sz w:val="22"/>
        </w:rPr>
      </w:pPr>
      <w:r w:rsidRPr="000B725E">
        <w:rPr>
          <w:b/>
          <w:sz w:val="22"/>
        </w:rPr>
        <w:t xml:space="preserve">Öğretim </w:t>
      </w:r>
      <w:r w:rsidR="003D6677" w:rsidRPr="000B725E">
        <w:rPr>
          <w:b/>
          <w:sz w:val="22"/>
        </w:rPr>
        <w:t>Üyesi</w:t>
      </w:r>
      <w:r w:rsidR="003D6677">
        <w:rPr>
          <w:b/>
          <w:sz w:val="22"/>
        </w:rPr>
        <w:t xml:space="preserve">: </w:t>
      </w:r>
      <w:r w:rsidR="0050472E">
        <w:rPr>
          <w:sz w:val="22"/>
        </w:rPr>
        <w:t xml:space="preserve">Dr. </w:t>
      </w:r>
      <w:r w:rsidR="00F45B3D">
        <w:rPr>
          <w:sz w:val="22"/>
        </w:rPr>
        <w:t xml:space="preserve">Öğretim Üyesi </w:t>
      </w:r>
      <w:r w:rsidR="0050472E">
        <w:rPr>
          <w:sz w:val="22"/>
        </w:rPr>
        <w:t>Erkan Uslu</w:t>
      </w:r>
    </w:p>
    <w:p w:rsidR="000B725E" w:rsidRDefault="000B725E" w:rsidP="000B725E">
      <w:pPr>
        <w:tabs>
          <w:tab w:val="left" w:pos="1060"/>
        </w:tabs>
        <w:rPr>
          <w:sz w:val="22"/>
        </w:rPr>
      </w:pPr>
      <w:r>
        <w:rPr>
          <w:b/>
          <w:sz w:val="22"/>
        </w:rPr>
        <w:t>e-</w:t>
      </w:r>
      <w:r w:rsidRPr="000B725E">
        <w:rPr>
          <w:b/>
          <w:sz w:val="22"/>
        </w:rPr>
        <w:t>mail</w:t>
      </w:r>
      <w:r w:rsidRPr="000B725E">
        <w:rPr>
          <w:sz w:val="22"/>
        </w:rPr>
        <w:t xml:space="preserve"> : </w:t>
      </w:r>
      <w:hyperlink r:id="rId8" w:history="1">
        <w:r w:rsidR="0050472E" w:rsidRPr="00C775F5">
          <w:rPr>
            <w:rStyle w:val="Hyperlink"/>
            <w:sz w:val="22"/>
          </w:rPr>
          <w:t>erkan@ce.yildiz.edu.tr</w:t>
        </w:r>
      </w:hyperlink>
      <w:r w:rsidR="008F2B0A" w:rsidRPr="008F2B0A">
        <w:rPr>
          <w:rStyle w:val="Hyperlink"/>
          <w:color w:val="auto"/>
          <w:sz w:val="22"/>
          <w:u w:val="none"/>
        </w:rPr>
        <w:t xml:space="preserve"> ,</w:t>
      </w:r>
      <w:r w:rsidR="00F46446" w:rsidRPr="008F2B0A">
        <w:rPr>
          <w:rStyle w:val="Hyperlink"/>
          <w:color w:val="auto"/>
          <w:sz w:val="22"/>
          <w:u w:val="none"/>
        </w:rPr>
        <w:t xml:space="preserve"> </w:t>
      </w:r>
      <w:hyperlink r:id="rId9" w:history="1">
        <w:r w:rsidR="00A937D9" w:rsidRPr="00041181">
          <w:rPr>
            <w:rStyle w:val="Hyperlink"/>
            <w:sz w:val="22"/>
          </w:rPr>
          <w:t>euslu@yildiz.edu.tr</w:t>
        </w:r>
      </w:hyperlink>
    </w:p>
    <w:p w:rsidR="0050472E" w:rsidRDefault="003D6677" w:rsidP="000B725E">
      <w:pPr>
        <w:tabs>
          <w:tab w:val="left" w:pos="1060"/>
        </w:tabs>
        <w:rPr>
          <w:sz w:val="22"/>
        </w:rPr>
      </w:pPr>
      <w:r w:rsidRPr="0050472E">
        <w:rPr>
          <w:b/>
          <w:sz w:val="22"/>
        </w:rPr>
        <w:t>Web</w:t>
      </w:r>
      <w:r w:rsidR="0050472E">
        <w:rPr>
          <w:sz w:val="22"/>
        </w:rPr>
        <w:t xml:space="preserve"> : </w:t>
      </w:r>
      <w:r w:rsidR="00581440" w:rsidRPr="00581440">
        <w:rPr>
          <w:rStyle w:val="Hyperlink"/>
          <w:sz w:val="22"/>
        </w:rPr>
        <w:t>https://www.ce.yildiz.edu.tr/personal/erkan</w:t>
      </w:r>
    </w:p>
    <w:p w:rsidR="000B725E" w:rsidRPr="000B725E" w:rsidRDefault="000B725E" w:rsidP="000B725E">
      <w:pPr>
        <w:tabs>
          <w:tab w:val="left" w:pos="1060"/>
        </w:tabs>
        <w:rPr>
          <w:sz w:val="22"/>
        </w:rPr>
      </w:pPr>
    </w:p>
    <w:p w:rsidR="000B725E" w:rsidRPr="000B725E" w:rsidRDefault="000B725E" w:rsidP="000B725E">
      <w:pPr>
        <w:tabs>
          <w:tab w:val="left" w:pos="1060"/>
        </w:tabs>
        <w:rPr>
          <w:sz w:val="22"/>
        </w:rPr>
      </w:pPr>
      <w:r w:rsidRPr="000B725E">
        <w:rPr>
          <w:b/>
          <w:sz w:val="22"/>
        </w:rPr>
        <w:t xml:space="preserve">Haftalık Ders </w:t>
      </w:r>
      <w:r w:rsidR="003D6677" w:rsidRPr="000B725E">
        <w:rPr>
          <w:b/>
          <w:sz w:val="22"/>
        </w:rPr>
        <w:t>Programı</w:t>
      </w:r>
      <w:r w:rsidR="003D6677" w:rsidRPr="000B725E">
        <w:rPr>
          <w:sz w:val="22"/>
        </w:rPr>
        <w:t>:</w:t>
      </w:r>
      <w:r w:rsidRPr="000B725E">
        <w:rPr>
          <w:sz w:val="22"/>
        </w:rPr>
        <w:t xml:space="preserve"> </w:t>
      </w:r>
    </w:p>
    <w:tbl>
      <w:tblPr>
        <w:tblW w:w="9818" w:type="dxa"/>
        <w:tblInd w:w="-72" w:type="dxa"/>
        <w:tblCellMar>
          <w:left w:w="70" w:type="dxa"/>
          <w:right w:w="70" w:type="dxa"/>
        </w:tblCellMar>
        <w:tblLook w:val="04A0" w:firstRow="1" w:lastRow="0" w:firstColumn="1" w:lastColumn="0" w:noHBand="0" w:noVBand="1"/>
      </w:tblPr>
      <w:tblGrid>
        <w:gridCol w:w="709"/>
        <w:gridCol w:w="1353"/>
        <w:gridCol w:w="7756"/>
      </w:tblGrid>
      <w:tr w:rsidR="002A4EDA" w:rsidRPr="00F937FE" w:rsidTr="00D26F4D">
        <w:tc>
          <w:tcPr>
            <w:tcW w:w="709"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2A4EDA" w:rsidRPr="00F937FE" w:rsidRDefault="002A4EDA">
            <w:pPr>
              <w:jc w:val="center"/>
              <w:rPr>
                <w:b/>
                <w:bCs/>
                <w:color w:val="000000"/>
                <w:sz w:val="22"/>
                <w:szCs w:val="22"/>
              </w:rPr>
            </w:pPr>
            <w:r w:rsidRPr="00F937FE">
              <w:rPr>
                <w:b/>
                <w:bCs/>
                <w:color w:val="000000"/>
                <w:sz w:val="22"/>
                <w:szCs w:val="22"/>
              </w:rPr>
              <w:t>Hf.</w:t>
            </w:r>
          </w:p>
        </w:tc>
        <w:tc>
          <w:tcPr>
            <w:tcW w:w="1353" w:type="dxa"/>
            <w:tcBorders>
              <w:top w:val="single" w:sz="12" w:space="0" w:color="auto"/>
              <w:left w:val="nil"/>
              <w:bottom w:val="single" w:sz="12" w:space="0" w:color="auto"/>
              <w:right w:val="single" w:sz="12" w:space="0" w:color="auto"/>
            </w:tcBorders>
            <w:shd w:val="clear" w:color="auto" w:fill="auto"/>
            <w:vAlign w:val="center"/>
            <w:hideMark/>
          </w:tcPr>
          <w:p w:rsidR="002A4EDA" w:rsidRPr="00F937FE" w:rsidRDefault="002A4EDA">
            <w:pPr>
              <w:jc w:val="center"/>
              <w:rPr>
                <w:b/>
                <w:bCs/>
                <w:color w:val="000000"/>
                <w:sz w:val="22"/>
                <w:szCs w:val="22"/>
              </w:rPr>
            </w:pPr>
            <w:r w:rsidRPr="00F937FE">
              <w:rPr>
                <w:b/>
                <w:bCs/>
                <w:color w:val="000000"/>
                <w:sz w:val="22"/>
                <w:szCs w:val="22"/>
              </w:rPr>
              <w:t>Tarih</w:t>
            </w:r>
          </w:p>
        </w:tc>
        <w:tc>
          <w:tcPr>
            <w:tcW w:w="7756" w:type="dxa"/>
            <w:tcBorders>
              <w:top w:val="single" w:sz="12" w:space="0" w:color="auto"/>
              <w:left w:val="nil"/>
              <w:bottom w:val="single" w:sz="12" w:space="0" w:color="auto"/>
              <w:right w:val="single" w:sz="12" w:space="0" w:color="auto"/>
            </w:tcBorders>
            <w:shd w:val="clear" w:color="auto" w:fill="auto"/>
            <w:vAlign w:val="center"/>
            <w:hideMark/>
          </w:tcPr>
          <w:p w:rsidR="002A4EDA" w:rsidRPr="00F937FE" w:rsidRDefault="002A4EDA">
            <w:pPr>
              <w:jc w:val="center"/>
              <w:rPr>
                <w:b/>
                <w:bCs/>
                <w:color w:val="000000"/>
                <w:sz w:val="22"/>
                <w:szCs w:val="22"/>
              </w:rPr>
            </w:pPr>
            <w:r w:rsidRPr="00F937FE">
              <w:rPr>
                <w:b/>
                <w:bCs/>
                <w:color w:val="000000"/>
                <w:sz w:val="22"/>
                <w:szCs w:val="22"/>
              </w:rPr>
              <w:t>Konular</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1</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27.Eyl.18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color w:val="000000"/>
              </w:rPr>
            </w:pPr>
            <w:r w:rsidRPr="00D41C67">
              <w:t>Alt seviye dilinin özellikleri, sayı ve kodlama sistemleri, 80x86 ailesi işlemcileri, yazmaçları ve bayrakları ile kesim organizasyonu</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2</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4.Eki.18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color w:val="000000"/>
              </w:rPr>
            </w:pPr>
            <w:r w:rsidRPr="00D41C67">
              <w:rPr>
                <w:color w:val="000000"/>
              </w:rPr>
              <w:t>Komutlar (veri aktarımı, aritmetik ve dallanma)</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3</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11.Eki.18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color w:val="000000"/>
              </w:rPr>
            </w:pPr>
            <w:r w:rsidRPr="00D41C67">
              <w:t>Komutlar (çevrim, bayraklar, mantıksal, öteleme, döndürme)</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4</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18.Eki.18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color w:val="000000"/>
              </w:rPr>
            </w:pPr>
            <w:r w:rsidRPr="00D41C67">
              <w:t>Komutlar (katar işlemleri, ön ekler)</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5</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25.Eki.18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color w:val="000000"/>
              </w:rPr>
            </w:pPr>
            <w:r w:rsidRPr="00D41C67">
              <w:t>Adresleme modları, alt seviye programlama araçları, sözde komutlar</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6</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1.Kas.18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color w:val="000000"/>
              </w:rPr>
            </w:pPr>
            <w:r w:rsidRPr="00D41C67">
              <w:t>Çalışma ortamının hazırlanması ve debug kullanımı</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7</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8.Kas.18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color w:val="000000"/>
              </w:rPr>
            </w:pPr>
            <w:r w:rsidRPr="00D41C67">
              <w:t>EXE tipinde alt seviye programlama</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8</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15.Kas.18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b/>
                <w:color w:val="FF0000"/>
              </w:rPr>
            </w:pPr>
            <w:r w:rsidRPr="00D41C67">
              <w:t>COM tipinde alt seviye programlama</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9</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22.Kas.18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F937FE" w:rsidRDefault="00DC18A3" w:rsidP="00DC18A3">
            <w:pPr>
              <w:rPr>
                <w:color w:val="000000"/>
                <w:sz w:val="22"/>
                <w:szCs w:val="22"/>
              </w:rPr>
            </w:pPr>
            <w:r w:rsidRPr="00F937FE">
              <w:rPr>
                <w:b/>
                <w:color w:val="FF0000"/>
                <w:sz w:val="22"/>
                <w:szCs w:val="22"/>
              </w:rPr>
              <w:t>1. Vize</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10</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29.Kas.18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FB45EF" w:rsidP="00DC18A3">
            <w:pPr>
              <w:rPr>
                <w:color w:val="000000"/>
              </w:rPr>
            </w:pPr>
            <w:r>
              <w:rPr>
                <w:color w:val="000000"/>
              </w:rPr>
              <w:t>Yordam ve mak</w:t>
            </w:r>
            <w:r w:rsidR="00DC18A3" w:rsidRPr="00D41C67">
              <w:rPr>
                <w:color w:val="000000"/>
              </w:rPr>
              <w:t>ro kullanımları</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11</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6.Ara.18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color w:val="000000"/>
              </w:rPr>
            </w:pPr>
            <w:r w:rsidRPr="00D41C67">
              <w:rPr>
                <w:color w:val="000000"/>
              </w:rPr>
              <w:t>Alt-programlar ve parametre aktarma yöntemleri</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12</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13.Ara.18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D41C67" w:rsidRDefault="00DC18A3" w:rsidP="00DC18A3">
            <w:pPr>
              <w:rPr>
                <w:color w:val="000000"/>
              </w:rPr>
            </w:pPr>
            <w:r w:rsidRPr="00D41C67">
              <w:t>Ortak kesim kullanımı ve EXTRN/PUBLIC tanımlamaları</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13</w:t>
            </w:r>
          </w:p>
        </w:tc>
        <w:tc>
          <w:tcPr>
            <w:tcW w:w="1353" w:type="dxa"/>
            <w:tcBorders>
              <w:top w:val="nil"/>
              <w:left w:val="nil"/>
              <w:bottom w:val="single" w:sz="12" w:space="0" w:color="auto"/>
              <w:right w:val="single" w:sz="12" w:space="0" w:color="auto"/>
            </w:tcBorders>
            <w:shd w:val="clear" w:color="auto" w:fill="auto"/>
            <w:vAlign w:val="center"/>
          </w:tcPr>
          <w:p w:rsidR="00DC18A3" w:rsidRPr="008F64AB" w:rsidRDefault="00DC18A3" w:rsidP="00DC18A3">
            <w:pPr>
              <w:jc w:val="center"/>
            </w:pPr>
            <w:r w:rsidRPr="008F64AB">
              <w:t>20.Ara.18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F937FE" w:rsidRDefault="000D7424" w:rsidP="00DC18A3">
            <w:pPr>
              <w:rPr>
                <w:b/>
                <w:color w:val="FF0000"/>
                <w:sz w:val="22"/>
                <w:szCs w:val="22"/>
              </w:rPr>
            </w:pPr>
            <w:r>
              <w:t>Kesme, vektör tablosu</w:t>
            </w:r>
          </w:p>
        </w:tc>
      </w:tr>
      <w:tr w:rsidR="00DC18A3" w:rsidRPr="00F937FE" w:rsidTr="00DC18A3">
        <w:tc>
          <w:tcPr>
            <w:tcW w:w="709" w:type="dxa"/>
            <w:tcBorders>
              <w:top w:val="nil"/>
              <w:left w:val="single" w:sz="12" w:space="0" w:color="auto"/>
              <w:bottom w:val="single" w:sz="12" w:space="0" w:color="auto"/>
              <w:right w:val="single" w:sz="12" w:space="0" w:color="auto"/>
            </w:tcBorders>
            <w:shd w:val="clear" w:color="auto" w:fill="auto"/>
            <w:vAlign w:val="center"/>
            <w:hideMark/>
          </w:tcPr>
          <w:p w:rsidR="00DC18A3" w:rsidRPr="00D41C67" w:rsidRDefault="00DC18A3" w:rsidP="00DC18A3">
            <w:pPr>
              <w:jc w:val="center"/>
              <w:rPr>
                <w:color w:val="000000"/>
              </w:rPr>
            </w:pPr>
            <w:r w:rsidRPr="00D41C67">
              <w:rPr>
                <w:color w:val="000000"/>
              </w:rPr>
              <w:t>14</w:t>
            </w:r>
          </w:p>
        </w:tc>
        <w:tc>
          <w:tcPr>
            <w:tcW w:w="1353" w:type="dxa"/>
            <w:tcBorders>
              <w:top w:val="nil"/>
              <w:left w:val="nil"/>
              <w:bottom w:val="single" w:sz="12" w:space="0" w:color="auto"/>
              <w:right w:val="single" w:sz="12" w:space="0" w:color="auto"/>
            </w:tcBorders>
            <w:shd w:val="clear" w:color="auto" w:fill="auto"/>
            <w:vAlign w:val="center"/>
          </w:tcPr>
          <w:p w:rsidR="00DC18A3" w:rsidRDefault="00DC18A3" w:rsidP="00DC18A3">
            <w:pPr>
              <w:jc w:val="center"/>
            </w:pPr>
            <w:r w:rsidRPr="008F64AB">
              <w:t>27.Ara.18</w:t>
            </w:r>
          </w:p>
        </w:tc>
        <w:tc>
          <w:tcPr>
            <w:tcW w:w="7756" w:type="dxa"/>
            <w:tcBorders>
              <w:top w:val="nil"/>
              <w:left w:val="nil"/>
              <w:bottom w:val="single" w:sz="12" w:space="0" w:color="auto"/>
              <w:right w:val="single" w:sz="12" w:space="0" w:color="auto"/>
            </w:tcBorders>
            <w:shd w:val="clear" w:color="auto" w:fill="auto"/>
            <w:vAlign w:val="center"/>
            <w:hideMark/>
          </w:tcPr>
          <w:p w:rsidR="00DC18A3" w:rsidRPr="00F937FE" w:rsidRDefault="000D7424" w:rsidP="00DC18A3">
            <w:pPr>
              <w:rPr>
                <w:color w:val="000000"/>
                <w:sz w:val="22"/>
                <w:szCs w:val="22"/>
              </w:rPr>
            </w:pPr>
            <w:r>
              <w:t>A</w:t>
            </w:r>
            <w:r w:rsidR="00DC18A3">
              <w:t>lt seviye programlama dilinin yüksek seviyeli diller ile birlikte kullanılması</w:t>
            </w:r>
          </w:p>
        </w:tc>
      </w:tr>
    </w:tbl>
    <w:p w:rsidR="00594A1E" w:rsidRDefault="001C588A" w:rsidP="00603F05">
      <w:pPr>
        <w:tabs>
          <w:tab w:val="left" w:pos="1060"/>
        </w:tabs>
        <w:ind w:left="-284" w:right="-286"/>
        <w:jc w:val="both"/>
        <w:rPr>
          <w:b/>
          <w:sz w:val="22"/>
        </w:rPr>
      </w:pPr>
      <w:r w:rsidRPr="001C588A">
        <w:rPr>
          <w:b/>
          <w:sz w:val="22"/>
        </w:rPr>
        <w:t xml:space="preserve">YTÜ Önlisans ve Lisans Eğitim-Öğretim yönetmeliğinin 24. maddesi uyarınca </w:t>
      </w:r>
      <w:r w:rsidR="008619C5">
        <w:rPr>
          <w:b/>
          <w:sz w:val="22"/>
        </w:rPr>
        <w:t xml:space="preserve">%70 </w:t>
      </w:r>
      <w:r w:rsidRPr="001C588A">
        <w:rPr>
          <w:b/>
          <w:sz w:val="22"/>
        </w:rPr>
        <w:t>DEVAM ZORUNLUluğu uygulanacaktır.</w:t>
      </w:r>
      <w:r w:rsidR="00FF481D">
        <w:rPr>
          <w:b/>
          <w:sz w:val="22"/>
        </w:rPr>
        <w:t xml:space="preserve"> D</w:t>
      </w:r>
      <w:r w:rsidR="00FF481D" w:rsidRPr="00FF481D">
        <w:rPr>
          <w:b/>
          <w:sz w:val="22"/>
        </w:rPr>
        <w:t xml:space="preserve">evamsız öğrencinin ders notu </w:t>
      </w:r>
      <w:r w:rsidR="00FF481D" w:rsidRPr="00603F05">
        <w:rPr>
          <w:b/>
          <w:color w:val="FF0000"/>
          <w:sz w:val="22"/>
        </w:rPr>
        <w:t>F0</w:t>
      </w:r>
      <w:r w:rsidR="00FF481D" w:rsidRPr="00FF481D">
        <w:rPr>
          <w:b/>
          <w:sz w:val="22"/>
        </w:rPr>
        <w:t xml:space="preserve"> (devamsız) olarak değerlendirilir.</w:t>
      </w:r>
    </w:p>
    <w:p w:rsidR="001C588A" w:rsidRDefault="001C588A" w:rsidP="000B725E">
      <w:pPr>
        <w:tabs>
          <w:tab w:val="left" w:pos="1060"/>
        </w:tabs>
        <w:rPr>
          <w:b/>
          <w:sz w:val="22"/>
        </w:rPr>
      </w:pPr>
    </w:p>
    <w:p w:rsidR="000B725E" w:rsidRPr="000B725E" w:rsidRDefault="000B725E" w:rsidP="000B725E">
      <w:pPr>
        <w:tabs>
          <w:tab w:val="left" w:pos="1060"/>
        </w:tabs>
        <w:rPr>
          <w:sz w:val="22"/>
        </w:rPr>
      </w:pPr>
      <w:r w:rsidRPr="000B725E">
        <w:rPr>
          <w:b/>
          <w:sz w:val="22"/>
        </w:rPr>
        <w:t xml:space="preserve">Ders </w:t>
      </w:r>
      <w:r w:rsidR="003D6677" w:rsidRPr="000B725E">
        <w:rPr>
          <w:b/>
          <w:sz w:val="22"/>
        </w:rPr>
        <w:t>Kitabı</w:t>
      </w:r>
      <w:r w:rsidR="003D6677" w:rsidRPr="000B725E">
        <w:rPr>
          <w:sz w:val="22"/>
        </w:rPr>
        <w:t>:</w:t>
      </w:r>
      <w:r w:rsidRPr="000B725E">
        <w:rPr>
          <w:sz w:val="22"/>
        </w:rPr>
        <w:t xml:space="preserve"> </w:t>
      </w:r>
    </w:p>
    <w:tbl>
      <w:tblPr>
        <w:tblStyle w:val="TableGrid"/>
        <w:tblW w:w="9498"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75"/>
        <w:gridCol w:w="9123"/>
      </w:tblGrid>
      <w:tr w:rsidR="000C562B" w:rsidRPr="000C562B" w:rsidTr="000C562B">
        <w:tc>
          <w:tcPr>
            <w:tcW w:w="375" w:type="dxa"/>
          </w:tcPr>
          <w:p w:rsidR="000C562B" w:rsidRPr="000C562B" w:rsidRDefault="000C562B" w:rsidP="000C562B">
            <w:pPr>
              <w:tabs>
                <w:tab w:val="left" w:pos="426"/>
              </w:tabs>
              <w:ind w:left="426" w:hanging="426"/>
              <w:jc w:val="both"/>
              <w:rPr>
                <w:sz w:val="22"/>
              </w:rPr>
            </w:pPr>
            <w:r>
              <w:rPr>
                <w:sz w:val="22"/>
              </w:rPr>
              <w:t>1</w:t>
            </w:r>
          </w:p>
        </w:tc>
        <w:tc>
          <w:tcPr>
            <w:tcW w:w="9123" w:type="dxa"/>
          </w:tcPr>
          <w:p w:rsidR="000C562B" w:rsidRPr="001C588A" w:rsidRDefault="00962E23" w:rsidP="00DC18A3">
            <w:pPr>
              <w:tabs>
                <w:tab w:val="left" w:pos="426"/>
              </w:tabs>
              <w:jc w:val="both"/>
            </w:pPr>
            <w:r>
              <w:t>80x86 Assembly Dili - 2. Baskı</w:t>
            </w:r>
            <w:r w:rsidR="00DC18A3">
              <w:t xml:space="preserve">, </w:t>
            </w:r>
            <w:r>
              <w:t>A.Tevfik İNAN - Seçkin Yayıncılık</w:t>
            </w:r>
          </w:p>
        </w:tc>
      </w:tr>
      <w:tr w:rsidR="000C562B" w:rsidRPr="000C562B" w:rsidTr="000C562B">
        <w:tc>
          <w:tcPr>
            <w:tcW w:w="375" w:type="dxa"/>
          </w:tcPr>
          <w:p w:rsidR="000C562B" w:rsidRPr="000C562B" w:rsidRDefault="000C562B" w:rsidP="000C562B">
            <w:pPr>
              <w:tabs>
                <w:tab w:val="left" w:pos="426"/>
              </w:tabs>
              <w:ind w:left="426" w:hanging="392"/>
              <w:jc w:val="both"/>
              <w:rPr>
                <w:sz w:val="22"/>
              </w:rPr>
            </w:pPr>
            <w:r>
              <w:rPr>
                <w:sz w:val="22"/>
              </w:rPr>
              <w:t>2</w:t>
            </w:r>
          </w:p>
        </w:tc>
        <w:tc>
          <w:tcPr>
            <w:tcW w:w="9123" w:type="dxa"/>
          </w:tcPr>
          <w:p w:rsidR="000C562B" w:rsidRPr="001C588A" w:rsidRDefault="00962E23" w:rsidP="00DC18A3">
            <w:pPr>
              <w:tabs>
                <w:tab w:val="left" w:pos="426"/>
              </w:tabs>
              <w:jc w:val="both"/>
            </w:pPr>
            <w:r>
              <w:t>IBM PC Assembler Language and Programming</w:t>
            </w:r>
            <w:r w:rsidR="00DC18A3">
              <w:t xml:space="preserve">, </w:t>
            </w:r>
            <w:r>
              <w:t>Peter Abel - Prentice Hall</w:t>
            </w:r>
          </w:p>
        </w:tc>
      </w:tr>
      <w:tr w:rsidR="00962E23" w:rsidRPr="000C562B" w:rsidTr="000C562B">
        <w:tc>
          <w:tcPr>
            <w:tcW w:w="375" w:type="dxa"/>
          </w:tcPr>
          <w:p w:rsidR="00962E23" w:rsidRDefault="00962E23" w:rsidP="000C562B">
            <w:pPr>
              <w:tabs>
                <w:tab w:val="left" w:pos="426"/>
              </w:tabs>
              <w:ind w:left="426" w:hanging="392"/>
              <w:jc w:val="both"/>
              <w:rPr>
                <w:sz w:val="22"/>
              </w:rPr>
            </w:pPr>
            <w:r>
              <w:rPr>
                <w:sz w:val="22"/>
              </w:rPr>
              <w:t>3</w:t>
            </w:r>
          </w:p>
        </w:tc>
        <w:tc>
          <w:tcPr>
            <w:tcW w:w="9123" w:type="dxa"/>
          </w:tcPr>
          <w:p w:rsidR="00962E23" w:rsidRDefault="00962E23" w:rsidP="00DC18A3">
            <w:pPr>
              <w:tabs>
                <w:tab w:val="left" w:pos="426"/>
              </w:tabs>
              <w:jc w:val="both"/>
            </w:pPr>
            <w:r>
              <w:t>The 80386, 80486 and Pentium Processor</w:t>
            </w:r>
            <w:r w:rsidR="00DC18A3">
              <w:t xml:space="preserve">, </w:t>
            </w:r>
            <w:r>
              <w:t>Walter A.Triebel - Prentice Hall</w:t>
            </w:r>
          </w:p>
        </w:tc>
      </w:tr>
      <w:tr w:rsidR="00C83856" w:rsidRPr="000C562B" w:rsidTr="000C562B">
        <w:tc>
          <w:tcPr>
            <w:tcW w:w="375" w:type="dxa"/>
          </w:tcPr>
          <w:p w:rsidR="00C83856" w:rsidRDefault="00962E23" w:rsidP="000C562B">
            <w:pPr>
              <w:tabs>
                <w:tab w:val="left" w:pos="426"/>
              </w:tabs>
              <w:ind w:left="426" w:hanging="392"/>
              <w:jc w:val="both"/>
              <w:rPr>
                <w:sz w:val="22"/>
              </w:rPr>
            </w:pPr>
            <w:r>
              <w:rPr>
                <w:sz w:val="22"/>
              </w:rPr>
              <w:t>4</w:t>
            </w:r>
          </w:p>
        </w:tc>
        <w:tc>
          <w:tcPr>
            <w:tcW w:w="9123" w:type="dxa"/>
          </w:tcPr>
          <w:p w:rsidR="00C83856" w:rsidRPr="001C588A" w:rsidRDefault="00962E23" w:rsidP="00DC18A3">
            <w:pPr>
              <w:tabs>
                <w:tab w:val="left" w:pos="426"/>
              </w:tabs>
              <w:jc w:val="both"/>
            </w:pPr>
            <w:r>
              <w:t>THE INTEL MICROPROCESSORS</w:t>
            </w:r>
            <w:r w:rsidR="00DC18A3">
              <w:t xml:space="preserve"> </w:t>
            </w:r>
            <w:r>
              <w:t>Architecture, Programming, and Interfacing</w:t>
            </w:r>
            <w:r w:rsidR="00DC18A3">
              <w:t xml:space="preserve">, </w:t>
            </w:r>
            <w:r>
              <w:t>Barry Brey - Prentice Hall</w:t>
            </w:r>
          </w:p>
        </w:tc>
      </w:tr>
    </w:tbl>
    <w:p w:rsidR="000B725E" w:rsidRPr="000B725E" w:rsidRDefault="000B725E" w:rsidP="000B725E">
      <w:pPr>
        <w:tabs>
          <w:tab w:val="left" w:pos="1060"/>
        </w:tabs>
        <w:rPr>
          <w:sz w:val="22"/>
        </w:rPr>
      </w:pPr>
    </w:p>
    <w:p w:rsidR="000B725E" w:rsidRPr="000B725E" w:rsidRDefault="003D6677" w:rsidP="000B725E">
      <w:pPr>
        <w:tabs>
          <w:tab w:val="left" w:pos="1060"/>
        </w:tabs>
        <w:rPr>
          <w:sz w:val="22"/>
        </w:rPr>
      </w:pPr>
      <w:r w:rsidRPr="000B725E">
        <w:rPr>
          <w:b/>
          <w:sz w:val="22"/>
        </w:rPr>
        <w:t>Değerlendirme</w:t>
      </w:r>
      <w:r w:rsidRPr="000B725E">
        <w:rPr>
          <w:sz w:val="22"/>
        </w:rPr>
        <w:t>:</w:t>
      </w:r>
      <w:r w:rsidR="000B725E" w:rsidRPr="000B725E">
        <w:rPr>
          <w:sz w:val="22"/>
        </w:rPr>
        <w:t xml:space="preserve"> </w:t>
      </w:r>
    </w:p>
    <w:tbl>
      <w:tblPr>
        <w:tblW w:w="946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09"/>
        <w:gridCol w:w="2795"/>
        <w:gridCol w:w="2303"/>
        <w:gridCol w:w="2557"/>
      </w:tblGrid>
      <w:tr w:rsidR="000B725E" w:rsidRPr="000B725E" w:rsidTr="000C562B">
        <w:tc>
          <w:tcPr>
            <w:tcW w:w="1809" w:type="dxa"/>
            <w:vMerge w:val="restart"/>
            <w:shd w:val="clear" w:color="auto" w:fill="auto"/>
          </w:tcPr>
          <w:p w:rsidR="000B725E" w:rsidRPr="000B725E" w:rsidRDefault="000B725E" w:rsidP="00934A7B">
            <w:pPr>
              <w:rPr>
                <w:b/>
                <w:sz w:val="22"/>
              </w:rPr>
            </w:pPr>
            <w:r w:rsidRPr="000B725E">
              <w:rPr>
                <w:b/>
                <w:sz w:val="22"/>
              </w:rPr>
              <w:t>Başarı Değerlendirme Sistemi</w:t>
            </w:r>
          </w:p>
        </w:tc>
        <w:tc>
          <w:tcPr>
            <w:tcW w:w="2795" w:type="dxa"/>
            <w:shd w:val="clear" w:color="auto" w:fill="auto"/>
          </w:tcPr>
          <w:p w:rsidR="000B725E" w:rsidRPr="000B725E" w:rsidRDefault="000B725E" w:rsidP="00934A7B">
            <w:pPr>
              <w:jc w:val="center"/>
              <w:rPr>
                <w:b/>
                <w:sz w:val="22"/>
              </w:rPr>
            </w:pPr>
            <w:r w:rsidRPr="000B725E">
              <w:rPr>
                <w:b/>
                <w:sz w:val="22"/>
              </w:rPr>
              <w:t>Yöntem</w:t>
            </w:r>
          </w:p>
        </w:tc>
        <w:tc>
          <w:tcPr>
            <w:tcW w:w="2303" w:type="dxa"/>
            <w:shd w:val="clear" w:color="auto" w:fill="auto"/>
          </w:tcPr>
          <w:p w:rsidR="000B725E" w:rsidRPr="000B725E" w:rsidRDefault="000B725E" w:rsidP="00934A7B">
            <w:pPr>
              <w:jc w:val="center"/>
              <w:rPr>
                <w:b/>
                <w:sz w:val="22"/>
              </w:rPr>
            </w:pPr>
            <w:r w:rsidRPr="000B725E">
              <w:rPr>
                <w:b/>
                <w:sz w:val="22"/>
              </w:rPr>
              <w:t>Adedi</w:t>
            </w:r>
          </w:p>
        </w:tc>
        <w:tc>
          <w:tcPr>
            <w:tcW w:w="2557" w:type="dxa"/>
            <w:shd w:val="clear" w:color="auto" w:fill="auto"/>
          </w:tcPr>
          <w:p w:rsidR="000B725E" w:rsidRPr="000B725E" w:rsidRDefault="000B725E" w:rsidP="00934A7B">
            <w:pPr>
              <w:jc w:val="center"/>
              <w:rPr>
                <w:b/>
                <w:sz w:val="22"/>
              </w:rPr>
            </w:pPr>
            <w:r w:rsidRPr="000B725E">
              <w:rPr>
                <w:b/>
                <w:sz w:val="22"/>
              </w:rPr>
              <w:t>Etki Oranı</w:t>
            </w:r>
            <w:r>
              <w:rPr>
                <w:b/>
                <w:sz w:val="22"/>
              </w:rPr>
              <w:t xml:space="preserve"> (%)</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Ara Sınavlar</w:t>
            </w:r>
          </w:p>
        </w:tc>
        <w:tc>
          <w:tcPr>
            <w:tcW w:w="2303" w:type="dxa"/>
            <w:shd w:val="clear" w:color="auto" w:fill="auto"/>
          </w:tcPr>
          <w:p w:rsidR="000B725E" w:rsidRPr="000B725E" w:rsidRDefault="00747652" w:rsidP="00934A7B">
            <w:pPr>
              <w:jc w:val="center"/>
              <w:rPr>
                <w:b/>
                <w:sz w:val="22"/>
              </w:rPr>
            </w:pPr>
            <w:r>
              <w:rPr>
                <w:b/>
                <w:sz w:val="22"/>
              </w:rPr>
              <w:t>1</w:t>
            </w:r>
            <w:r w:rsidR="00DC18A3">
              <w:rPr>
                <w:b/>
                <w:sz w:val="22"/>
              </w:rPr>
              <w:t>*</w:t>
            </w:r>
          </w:p>
        </w:tc>
        <w:tc>
          <w:tcPr>
            <w:tcW w:w="2557" w:type="dxa"/>
            <w:shd w:val="clear" w:color="auto" w:fill="auto"/>
          </w:tcPr>
          <w:p w:rsidR="000B725E" w:rsidRPr="000B725E" w:rsidRDefault="00747652" w:rsidP="00581440">
            <w:pPr>
              <w:jc w:val="center"/>
              <w:rPr>
                <w:b/>
                <w:sz w:val="22"/>
              </w:rPr>
            </w:pPr>
            <w:r>
              <w:rPr>
                <w:b/>
                <w:sz w:val="22"/>
              </w:rPr>
              <w:t>3</w:t>
            </w:r>
            <w:r w:rsidR="00581440">
              <w:rPr>
                <w:b/>
                <w:sz w:val="22"/>
              </w:rPr>
              <w:t>0</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Kısa Sınavlar</w:t>
            </w:r>
          </w:p>
        </w:tc>
        <w:tc>
          <w:tcPr>
            <w:tcW w:w="2303" w:type="dxa"/>
            <w:shd w:val="clear" w:color="auto" w:fill="auto"/>
          </w:tcPr>
          <w:p w:rsidR="000B725E" w:rsidRPr="000B725E" w:rsidRDefault="00985FEB" w:rsidP="00934A7B">
            <w:pPr>
              <w:jc w:val="center"/>
              <w:rPr>
                <w:b/>
                <w:sz w:val="22"/>
              </w:rPr>
            </w:pPr>
            <w:r>
              <w:rPr>
                <w:b/>
                <w:sz w:val="22"/>
              </w:rPr>
              <w:t>-</w:t>
            </w:r>
          </w:p>
        </w:tc>
        <w:tc>
          <w:tcPr>
            <w:tcW w:w="2557" w:type="dxa"/>
            <w:shd w:val="clear" w:color="auto" w:fill="auto"/>
          </w:tcPr>
          <w:p w:rsidR="000B725E" w:rsidRPr="000B725E" w:rsidRDefault="00985FEB" w:rsidP="00934A7B">
            <w:pPr>
              <w:jc w:val="center"/>
              <w:rPr>
                <w:b/>
                <w:sz w:val="22"/>
              </w:rPr>
            </w:pPr>
            <w:r>
              <w:rPr>
                <w:b/>
                <w:sz w:val="22"/>
              </w:rPr>
              <w:t>-</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Ödevler</w:t>
            </w:r>
          </w:p>
        </w:tc>
        <w:tc>
          <w:tcPr>
            <w:tcW w:w="2303" w:type="dxa"/>
            <w:shd w:val="clear" w:color="auto" w:fill="auto"/>
          </w:tcPr>
          <w:p w:rsidR="000B725E" w:rsidRPr="000B725E" w:rsidRDefault="000A5C55" w:rsidP="00934A7B">
            <w:pPr>
              <w:jc w:val="center"/>
              <w:rPr>
                <w:b/>
                <w:sz w:val="22"/>
              </w:rPr>
            </w:pPr>
            <w:r>
              <w:rPr>
                <w:b/>
                <w:sz w:val="22"/>
              </w:rPr>
              <w:t>2</w:t>
            </w:r>
          </w:p>
        </w:tc>
        <w:tc>
          <w:tcPr>
            <w:tcW w:w="2557" w:type="dxa"/>
            <w:shd w:val="clear" w:color="auto" w:fill="auto"/>
          </w:tcPr>
          <w:p w:rsidR="000B725E" w:rsidRPr="000B725E" w:rsidRDefault="00747652" w:rsidP="00934A7B">
            <w:pPr>
              <w:jc w:val="center"/>
              <w:rPr>
                <w:b/>
                <w:sz w:val="22"/>
              </w:rPr>
            </w:pPr>
            <w:r>
              <w:rPr>
                <w:b/>
                <w:sz w:val="22"/>
              </w:rPr>
              <w:t>30</w:t>
            </w:r>
            <w:bookmarkStart w:id="0" w:name="_GoBack"/>
            <w:bookmarkEnd w:id="0"/>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Projeler</w:t>
            </w:r>
          </w:p>
        </w:tc>
        <w:tc>
          <w:tcPr>
            <w:tcW w:w="2303" w:type="dxa"/>
            <w:shd w:val="clear" w:color="auto" w:fill="auto"/>
          </w:tcPr>
          <w:p w:rsidR="000B725E" w:rsidRPr="000B725E" w:rsidRDefault="000B725E" w:rsidP="00934A7B">
            <w:pPr>
              <w:jc w:val="center"/>
              <w:rPr>
                <w:b/>
                <w:sz w:val="22"/>
              </w:rPr>
            </w:pPr>
            <w:r w:rsidRPr="000B725E">
              <w:rPr>
                <w:b/>
                <w:sz w:val="22"/>
              </w:rPr>
              <w:t>-</w:t>
            </w:r>
          </w:p>
        </w:tc>
        <w:tc>
          <w:tcPr>
            <w:tcW w:w="2557" w:type="dxa"/>
            <w:shd w:val="clear" w:color="auto" w:fill="auto"/>
          </w:tcPr>
          <w:p w:rsidR="000B725E" w:rsidRPr="000B725E" w:rsidRDefault="000B725E" w:rsidP="00934A7B">
            <w:pPr>
              <w:jc w:val="center"/>
              <w:rPr>
                <w:b/>
                <w:sz w:val="22"/>
              </w:rPr>
            </w:pPr>
            <w:r w:rsidRPr="000B725E">
              <w:rPr>
                <w:b/>
                <w:sz w:val="22"/>
              </w:rPr>
              <w:t>-</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Dönem Ödevi</w:t>
            </w:r>
          </w:p>
        </w:tc>
        <w:tc>
          <w:tcPr>
            <w:tcW w:w="2303" w:type="dxa"/>
            <w:shd w:val="clear" w:color="auto" w:fill="auto"/>
          </w:tcPr>
          <w:p w:rsidR="000B725E" w:rsidRPr="000B725E" w:rsidRDefault="000B725E" w:rsidP="00934A7B">
            <w:pPr>
              <w:jc w:val="center"/>
              <w:rPr>
                <w:b/>
                <w:sz w:val="22"/>
              </w:rPr>
            </w:pPr>
            <w:r w:rsidRPr="000B725E">
              <w:rPr>
                <w:b/>
                <w:sz w:val="22"/>
              </w:rPr>
              <w:t>-</w:t>
            </w:r>
          </w:p>
        </w:tc>
        <w:tc>
          <w:tcPr>
            <w:tcW w:w="2557" w:type="dxa"/>
            <w:shd w:val="clear" w:color="auto" w:fill="auto"/>
          </w:tcPr>
          <w:p w:rsidR="000B725E" w:rsidRPr="000B725E" w:rsidRDefault="000B725E" w:rsidP="00934A7B">
            <w:pPr>
              <w:jc w:val="center"/>
              <w:rPr>
                <w:b/>
                <w:sz w:val="22"/>
              </w:rPr>
            </w:pPr>
            <w:r w:rsidRPr="000B725E">
              <w:rPr>
                <w:b/>
                <w:sz w:val="22"/>
              </w:rPr>
              <w:t>-</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3D6677" w:rsidP="00934A7B">
            <w:pPr>
              <w:rPr>
                <w:b/>
                <w:sz w:val="22"/>
              </w:rPr>
            </w:pPr>
            <w:r w:rsidRPr="000B725E">
              <w:rPr>
                <w:b/>
                <w:sz w:val="22"/>
              </w:rPr>
              <w:t>Laboratuvar</w:t>
            </w:r>
          </w:p>
        </w:tc>
        <w:tc>
          <w:tcPr>
            <w:tcW w:w="2303" w:type="dxa"/>
            <w:shd w:val="clear" w:color="auto" w:fill="auto"/>
          </w:tcPr>
          <w:p w:rsidR="000B725E" w:rsidRPr="000B725E" w:rsidRDefault="00962E23" w:rsidP="00934A7B">
            <w:pPr>
              <w:jc w:val="center"/>
              <w:rPr>
                <w:b/>
                <w:sz w:val="22"/>
              </w:rPr>
            </w:pPr>
            <w:r>
              <w:rPr>
                <w:b/>
                <w:sz w:val="22"/>
              </w:rPr>
              <w:t>-</w:t>
            </w:r>
          </w:p>
        </w:tc>
        <w:tc>
          <w:tcPr>
            <w:tcW w:w="2557" w:type="dxa"/>
            <w:shd w:val="clear" w:color="auto" w:fill="auto"/>
          </w:tcPr>
          <w:p w:rsidR="000B725E" w:rsidRPr="000B725E" w:rsidRDefault="00962E23" w:rsidP="00934A7B">
            <w:pPr>
              <w:jc w:val="center"/>
              <w:rPr>
                <w:b/>
                <w:sz w:val="22"/>
              </w:rPr>
            </w:pPr>
            <w:r>
              <w:rPr>
                <w:b/>
                <w:sz w:val="22"/>
              </w:rPr>
              <w:t>-</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Diğer</w:t>
            </w:r>
          </w:p>
        </w:tc>
        <w:tc>
          <w:tcPr>
            <w:tcW w:w="2303" w:type="dxa"/>
            <w:shd w:val="clear" w:color="auto" w:fill="auto"/>
          </w:tcPr>
          <w:p w:rsidR="000B725E" w:rsidRPr="000B725E" w:rsidRDefault="00931409" w:rsidP="00934A7B">
            <w:pPr>
              <w:jc w:val="center"/>
              <w:rPr>
                <w:b/>
                <w:sz w:val="22"/>
              </w:rPr>
            </w:pPr>
            <w:r>
              <w:rPr>
                <w:b/>
                <w:sz w:val="22"/>
              </w:rPr>
              <w:t>-</w:t>
            </w:r>
          </w:p>
        </w:tc>
        <w:tc>
          <w:tcPr>
            <w:tcW w:w="2557" w:type="dxa"/>
            <w:shd w:val="clear" w:color="auto" w:fill="auto"/>
          </w:tcPr>
          <w:p w:rsidR="000B725E" w:rsidRPr="000B725E" w:rsidRDefault="00931409" w:rsidP="00931409">
            <w:pPr>
              <w:jc w:val="center"/>
              <w:rPr>
                <w:b/>
                <w:sz w:val="22"/>
              </w:rPr>
            </w:pPr>
            <w:r>
              <w:rPr>
                <w:b/>
                <w:sz w:val="22"/>
              </w:rPr>
              <w:t>-</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Final Sınavı</w:t>
            </w:r>
          </w:p>
        </w:tc>
        <w:tc>
          <w:tcPr>
            <w:tcW w:w="2303" w:type="dxa"/>
            <w:shd w:val="clear" w:color="auto" w:fill="auto"/>
          </w:tcPr>
          <w:p w:rsidR="000B725E" w:rsidRPr="000B725E" w:rsidRDefault="000B725E" w:rsidP="00934A7B">
            <w:pPr>
              <w:jc w:val="center"/>
              <w:rPr>
                <w:b/>
                <w:sz w:val="22"/>
              </w:rPr>
            </w:pPr>
            <w:r w:rsidRPr="000B725E">
              <w:rPr>
                <w:b/>
                <w:sz w:val="22"/>
              </w:rPr>
              <w:t>1</w:t>
            </w:r>
            <w:r w:rsidR="00DC18A3">
              <w:rPr>
                <w:b/>
                <w:sz w:val="22"/>
              </w:rPr>
              <w:t>*</w:t>
            </w:r>
          </w:p>
        </w:tc>
        <w:tc>
          <w:tcPr>
            <w:tcW w:w="2557" w:type="dxa"/>
            <w:shd w:val="clear" w:color="auto" w:fill="auto"/>
          </w:tcPr>
          <w:p w:rsidR="000B725E" w:rsidRPr="000B725E" w:rsidRDefault="000B725E" w:rsidP="00934A7B">
            <w:pPr>
              <w:jc w:val="center"/>
              <w:rPr>
                <w:b/>
                <w:sz w:val="22"/>
              </w:rPr>
            </w:pPr>
            <w:r w:rsidRPr="000B725E">
              <w:rPr>
                <w:b/>
                <w:sz w:val="22"/>
              </w:rPr>
              <w:t>40</w:t>
            </w:r>
          </w:p>
        </w:tc>
      </w:tr>
    </w:tbl>
    <w:p w:rsidR="000B725E" w:rsidRDefault="000B725E" w:rsidP="000B725E">
      <w:pPr>
        <w:tabs>
          <w:tab w:val="left" w:pos="1060"/>
        </w:tabs>
        <w:rPr>
          <w:sz w:val="22"/>
        </w:rPr>
      </w:pPr>
    </w:p>
    <w:p w:rsidR="00DC18A3" w:rsidRDefault="00DC18A3" w:rsidP="00DC18A3">
      <w:pPr>
        <w:tabs>
          <w:tab w:val="left" w:pos="1060"/>
        </w:tabs>
        <w:rPr>
          <w:b/>
        </w:rPr>
      </w:pPr>
    </w:p>
    <w:p w:rsidR="00DC18A3" w:rsidRPr="00DC18A3" w:rsidRDefault="00DC18A3" w:rsidP="00DC18A3">
      <w:pPr>
        <w:tabs>
          <w:tab w:val="left" w:pos="1060"/>
        </w:tabs>
        <w:rPr>
          <w:b/>
        </w:rPr>
      </w:pPr>
      <w:r w:rsidRPr="00DC18A3">
        <w:rPr>
          <w:b/>
        </w:rPr>
        <w:t>*Sınavlar her iki grubun ortak olarak, sınav haftalarında, Bölüm Başkanlığınca ilan edilen gün/saat/yerde yapılacaktır. Öğrencilerin sınav günleri 15 dakika kadar önce gelmesi sınıfın sınav düzenine sokulması için gerekmektedir. Öğrenciler sınav sırasında kimlk, tükenmez kalem, kurşun kalem, silgi ve kendi kullanımları için (uzerinde ek bilgi yer almayan) komut kümesini (instruction set) yanlarında bulundurmalıdır.</w:t>
      </w:r>
    </w:p>
    <w:sectPr w:rsidR="00DC18A3" w:rsidRPr="00DC18A3" w:rsidSect="00487968">
      <w:headerReference w:type="default" r:id="rId10"/>
      <w:footerReference w:type="even" r:id="rId11"/>
      <w:footerReference w:type="default" r:id="rId12"/>
      <w:pgSz w:w="11906" w:h="16838" w:code="9"/>
      <w:pgMar w:top="851" w:right="1418" w:bottom="1418" w:left="1418" w:header="284"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CDC" w:rsidRDefault="006E6CDC" w:rsidP="000B725E">
      <w:r>
        <w:separator/>
      </w:r>
    </w:p>
  </w:endnote>
  <w:endnote w:type="continuationSeparator" w:id="0">
    <w:p w:rsidR="006E6CDC" w:rsidRDefault="006E6CDC" w:rsidP="000B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7B" w:rsidRDefault="00934A7B" w:rsidP="00934A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4A7B" w:rsidRDefault="00934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7B" w:rsidRDefault="00934A7B" w:rsidP="00934A7B">
    <w:pPr>
      <w:autoSpaceDE w:val="0"/>
      <w:autoSpaceDN w:val="0"/>
      <w:adjustRightInd w:val="0"/>
      <w:jc w:val="center"/>
    </w:pPr>
    <w:r>
      <w:rPr>
        <w:rStyle w:val="PageNumber"/>
      </w:rPr>
      <w:fldChar w:fldCharType="begin"/>
    </w:r>
    <w:r>
      <w:rPr>
        <w:rStyle w:val="PageNumber"/>
      </w:rPr>
      <w:instrText xml:space="preserve"> PAGE </w:instrText>
    </w:r>
    <w:r>
      <w:rPr>
        <w:rStyle w:val="PageNumber"/>
      </w:rPr>
      <w:fldChar w:fldCharType="separate"/>
    </w:r>
    <w:r w:rsidR="00747652">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4765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CDC" w:rsidRDefault="006E6CDC" w:rsidP="000B725E">
      <w:r>
        <w:separator/>
      </w:r>
    </w:p>
  </w:footnote>
  <w:footnote w:type="continuationSeparator" w:id="0">
    <w:p w:rsidR="006E6CDC" w:rsidRDefault="006E6CDC" w:rsidP="000B7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7B" w:rsidRDefault="00934A7B" w:rsidP="00934A7B">
    <w:pPr>
      <w:autoSpaceDE w:val="0"/>
      <w:autoSpaceDN w:val="0"/>
      <w:adjustRightInd w:val="0"/>
      <w:jc w:val="center"/>
      <w:rPr>
        <w:rFonts w:ascii="Verdana" w:hAnsi="Verdana" w:cs="Verdana"/>
        <w:b/>
        <w:bCs/>
        <w:sz w:val="23"/>
        <w:szCs w:val="23"/>
      </w:rPr>
    </w:pPr>
    <w:r>
      <w:rPr>
        <w:rFonts w:ascii="Verdana" w:hAnsi="Verdana" w:cs="Verdana"/>
        <w:b/>
        <w:bCs/>
        <w:sz w:val="23"/>
        <w:szCs w:val="23"/>
      </w:rPr>
      <w:t>YTÜ Elektrik-Elektronik Fakültesi</w:t>
    </w:r>
  </w:p>
  <w:p w:rsidR="00934A7B" w:rsidRDefault="00934A7B" w:rsidP="00934A7B">
    <w:pPr>
      <w:autoSpaceDE w:val="0"/>
      <w:autoSpaceDN w:val="0"/>
      <w:adjustRightInd w:val="0"/>
      <w:jc w:val="center"/>
      <w:rPr>
        <w:rFonts w:ascii="Verdana" w:hAnsi="Verdana" w:cs="Verdana"/>
        <w:b/>
        <w:bCs/>
        <w:sz w:val="23"/>
        <w:szCs w:val="23"/>
      </w:rPr>
    </w:pPr>
    <w:r>
      <w:rPr>
        <w:rFonts w:ascii="Verdana" w:hAnsi="Verdana" w:cs="Verdana"/>
        <w:b/>
        <w:bCs/>
        <w:sz w:val="23"/>
        <w:szCs w:val="23"/>
      </w:rPr>
      <w:t>Bilgisayar Mühendisliği Bölümü</w:t>
    </w:r>
  </w:p>
  <w:p w:rsidR="00934A7B" w:rsidRDefault="00934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362E0"/>
    <w:multiLevelType w:val="hybridMultilevel"/>
    <w:tmpl w:val="6B1A3F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2F"/>
    <w:rsid w:val="000458FD"/>
    <w:rsid w:val="00050F53"/>
    <w:rsid w:val="000775E2"/>
    <w:rsid w:val="000A5C55"/>
    <w:rsid w:val="000B725E"/>
    <w:rsid w:val="000C562B"/>
    <w:rsid w:val="000D7424"/>
    <w:rsid w:val="000F46DC"/>
    <w:rsid w:val="000F4EDD"/>
    <w:rsid w:val="00146144"/>
    <w:rsid w:val="00157951"/>
    <w:rsid w:val="001B2660"/>
    <w:rsid w:val="001C588A"/>
    <w:rsid w:val="001C70F2"/>
    <w:rsid w:val="001F2A28"/>
    <w:rsid w:val="00264331"/>
    <w:rsid w:val="0027619E"/>
    <w:rsid w:val="002A4EDA"/>
    <w:rsid w:val="002B6D51"/>
    <w:rsid w:val="002C2000"/>
    <w:rsid w:val="00312D38"/>
    <w:rsid w:val="00331E4E"/>
    <w:rsid w:val="0033306F"/>
    <w:rsid w:val="00334B2C"/>
    <w:rsid w:val="00345459"/>
    <w:rsid w:val="003631A3"/>
    <w:rsid w:val="00380721"/>
    <w:rsid w:val="003A1323"/>
    <w:rsid w:val="003D6677"/>
    <w:rsid w:val="003E3D7C"/>
    <w:rsid w:val="003F7EDD"/>
    <w:rsid w:val="00487968"/>
    <w:rsid w:val="00492E49"/>
    <w:rsid w:val="004B212B"/>
    <w:rsid w:val="004F5545"/>
    <w:rsid w:val="0050472E"/>
    <w:rsid w:val="005369D9"/>
    <w:rsid w:val="0056610A"/>
    <w:rsid w:val="00581440"/>
    <w:rsid w:val="00594A1E"/>
    <w:rsid w:val="005E1534"/>
    <w:rsid w:val="00603F05"/>
    <w:rsid w:val="0066189D"/>
    <w:rsid w:val="0067584E"/>
    <w:rsid w:val="006E6CDC"/>
    <w:rsid w:val="006E77F5"/>
    <w:rsid w:val="00714B4E"/>
    <w:rsid w:val="00747652"/>
    <w:rsid w:val="00761338"/>
    <w:rsid w:val="007C76F4"/>
    <w:rsid w:val="0083582F"/>
    <w:rsid w:val="00860F04"/>
    <w:rsid w:val="008619C5"/>
    <w:rsid w:val="008624FC"/>
    <w:rsid w:val="008F0932"/>
    <w:rsid w:val="008F2B0A"/>
    <w:rsid w:val="00931409"/>
    <w:rsid w:val="00934A7B"/>
    <w:rsid w:val="00943EFB"/>
    <w:rsid w:val="009529A2"/>
    <w:rsid w:val="00962E23"/>
    <w:rsid w:val="009703C3"/>
    <w:rsid w:val="0098235B"/>
    <w:rsid w:val="00985FEB"/>
    <w:rsid w:val="00A20418"/>
    <w:rsid w:val="00A937D9"/>
    <w:rsid w:val="00AC19AA"/>
    <w:rsid w:val="00B21592"/>
    <w:rsid w:val="00B73263"/>
    <w:rsid w:val="00B86534"/>
    <w:rsid w:val="00BC3C41"/>
    <w:rsid w:val="00BD3CD6"/>
    <w:rsid w:val="00BE2D13"/>
    <w:rsid w:val="00C43F38"/>
    <w:rsid w:val="00C57060"/>
    <w:rsid w:val="00C83856"/>
    <w:rsid w:val="00CD1E89"/>
    <w:rsid w:val="00CD24CC"/>
    <w:rsid w:val="00CF1EA9"/>
    <w:rsid w:val="00D26F4D"/>
    <w:rsid w:val="00D36C12"/>
    <w:rsid w:val="00D41C67"/>
    <w:rsid w:val="00D72691"/>
    <w:rsid w:val="00DA2677"/>
    <w:rsid w:val="00DC18A3"/>
    <w:rsid w:val="00E57660"/>
    <w:rsid w:val="00E75B5B"/>
    <w:rsid w:val="00E805B1"/>
    <w:rsid w:val="00F36089"/>
    <w:rsid w:val="00F45B3D"/>
    <w:rsid w:val="00F46446"/>
    <w:rsid w:val="00F526CF"/>
    <w:rsid w:val="00F86C91"/>
    <w:rsid w:val="00F937FE"/>
    <w:rsid w:val="00FA7E28"/>
    <w:rsid w:val="00FB45EF"/>
    <w:rsid w:val="00FE5768"/>
    <w:rsid w:val="00FF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7952"/>
  <w15:docId w15:val="{3B04B1A3-A85F-4945-9636-FDA93BCD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25E"/>
    <w:pPr>
      <w:spacing w:after="0" w:line="240" w:lineRule="auto"/>
    </w:pPr>
    <w:rPr>
      <w:rFonts w:ascii="Times New Roman" w:eastAsia="Times New Roman" w:hAnsi="Times New Roman" w:cs="Times New Roman"/>
      <w:sz w:val="20"/>
      <w:szCs w:val="20"/>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B725E"/>
    <w:pPr>
      <w:tabs>
        <w:tab w:val="center" w:pos="4536"/>
        <w:tab w:val="right" w:pos="9072"/>
      </w:tabs>
    </w:pPr>
  </w:style>
  <w:style w:type="character" w:customStyle="1" w:styleId="FooterChar">
    <w:name w:val="Footer Char"/>
    <w:basedOn w:val="DefaultParagraphFont"/>
    <w:link w:val="Footer"/>
    <w:rsid w:val="000B725E"/>
    <w:rPr>
      <w:rFonts w:ascii="Times New Roman" w:eastAsia="Times New Roman" w:hAnsi="Times New Roman" w:cs="Times New Roman"/>
      <w:sz w:val="20"/>
      <w:szCs w:val="20"/>
      <w:lang w:val="tr-TR" w:eastAsia="tr-TR"/>
    </w:rPr>
  </w:style>
  <w:style w:type="character" w:styleId="PageNumber">
    <w:name w:val="page number"/>
    <w:basedOn w:val="DefaultParagraphFont"/>
    <w:rsid w:val="000B725E"/>
  </w:style>
  <w:style w:type="paragraph" w:styleId="Header">
    <w:name w:val="header"/>
    <w:basedOn w:val="Normal"/>
    <w:link w:val="HeaderChar"/>
    <w:rsid w:val="000B725E"/>
    <w:pPr>
      <w:tabs>
        <w:tab w:val="center" w:pos="4320"/>
        <w:tab w:val="right" w:pos="8640"/>
      </w:tabs>
    </w:pPr>
  </w:style>
  <w:style w:type="character" w:customStyle="1" w:styleId="HeaderChar">
    <w:name w:val="Header Char"/>
    <w:basedOn w:val="DefaultParagraphFont"/>
    <w:link w:val="Header"/>
    <w:rsid w:val="000B725E"/>
    <w:rPr>
      <w:rFonts w:ascii="Times New Roman" w:eastAsia="Times New Roman" w:hAnsi="Times New Roman" w:cs="Times New Roman"/>
      <w:sz w:val="20"/>
      <w:szCs w:val="20"/>
      <w:lang w:val="tr-TR" w:eastAsia="tr-TR"/>
    </w:rPr>
  </w:style>
  <w:style w:type="character" w:styleId="Hyperlink">
    <w:name w:val="Hyperlink"/>
    <w:basedOn w:val="DefaultParagraphFont"/>
    <w:uiPriority w:val="99"/>
    <w:unhideWhenUsed/>
    <w:rsid w:val="0050472E"/>
    <w:rPr>
      <w:color w:val="0000FF" w:themeColor="hyperlink"/>
      <w:u w:val="single"/>
    </w:rPr>
  </w:style>
  <w:style w:type="character" w:styleId="FollowedHyperlink">
    <w:name w:val="FollowedHyperlink"/>
    <w:basedOn w:val="DefaultParagraphFont"/>
    <w:uiPriority w:val="99"/>
    <w:semiHidden/>
    <w:unhideWhenUsed/>
    <w:rsid w:val="0033306F"/>
    <w:rPr>
      <w:color w:val="800080" w:themeColor="followedHyperlink"/>
      <w:u w:val="single"/>
    </w:rPr>
  </w:style>
  <w:style w:type="table" w:styleId="TableGrid">
    <w:name w:val="Table Grid"/>
    <w:basedOn w:val="TableNormal"/>
    <w:uiPriority w:val="59"/>
    <w:rsid w:val="000C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3526">
      <w:bodyDiv w:val="1"/>
      <w:marLeft w:val="0"/>
      <w:marRight w:val="0"/>
      <w:marTop w:val="0"/>
      <w:marBottom w:val="0"/>
      <w:divBdr>
        <w:top w:val="none" w:sz="0" w:space="0" w:color="auto"/>
        <w:left w:val="none" w:sz="0" w:space="0" w:color="auto"/>
        <w:bottom w:val="none" w:sz="0" w:space="0" w:color="auto"/>
        <w:right w:val="none" w:sz="0" w:space="0" w:color="auto"/>
      </w:divBdr>
    </w:div>
    <w:div w:id="147089655">
      <w:bodyDiv w:val="1"/>
      <w:marLeft w:val="0"/>
      <w:marRight w:val="0"/>
      <w:marTop w:val="0"/>
      <w:marBottom w:val="0"/>
      <w:divBdr>
        <w:top w:val="none" w:sz="0" w:space="0" w:color="auto"/>
        <w:left w:val="none" w:sz="0" w:space="0" w:color="auto"/>
        <w:bottom w:val="none" w:sz="0" w:space="0" w:color="auto"/>
        <w:right w:val="none" w:sz="0" w:space="0" w:color="auto"/>
      </w:divBdr>
    </w:div>
    <w:div w:id="203062490">
      <w:bodyDiv w:val="1"/>
      <w:marLeft w:val="0"/>
      <w:marRight w:val="0"/>
      <w:marTop w:val="0"/>
      <w:marBottom w:val="0"/>
      <w:divBdr>
        <w:top w:val="none" w:sz="0" w:space="0" w:color="auto"/>
        <w:left w:val="none" w:sz="0" w:space="0" w:color="auto"/>
        <w:bottom w:val="none" w:sz="0" w:space="0" w:color="auto"/>
        <w:right w:val="none" w:sz="0" w:space="0" w:color="auto"/>
      </w:divBdr>
    </w:div>
    <w:div w:id="563761369">
      <w:bodyDiv w:val="1"/>
      <w:marLeft w:val="0"/>
      <w:marRight w:val="0"/>
      <w:marTop w:val="0"/>
      <w:marBottom w:val="0"/>
      <w:divBdr>
        <w:top w:val="none" w:sz="0" w:space="0" w:color="auto"/>
        <w:left w:val="none" w:sz="0" w:space="0" w:color="auto"/>
        <w:bottom w:val="none" w:sz="0" w:space="0" w:color="auto"/>
        <w:right w:val="none" w:sz="0" w:space="0" w:color="auto"/>
      </w:divBdr>
    </w:div>
    <w:div w:id="609747476">
      <w:bodyDiv w:val="1"/>
      <w:marLeft w:val="0"/>
      <w:marRight w:val="0"/>
      <w:marTop w:val="0"/>
      <w:marBottom w:val="0"/>
      <w:divBdr>
        <w:top w:val="none" w:sz="0" w:space="0" w:color="auto"/>
        <w:left w:val="none" w:sz="0" w:space="0" w:color="auto"/>
        <w:bottom w:val="none" w:sz="0" w:space="0" w:color="auto"/>
        <w:right w:val="none" w:sz="0" w:space="0" w:color="auto"/>
      </w:divBdr>
    </w:div>
    <w:div w:id="18606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kan@ce.yildiz.edu.t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slu@yildiz.edu.t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BA6A61-C840-4F81-9B21-E23BCC16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358</Words>
  <Characters>2047</Characters>
  <Application>Microsoft Office Word</Application>
  <DocSecurity>0</DocSecurity>
  <Lines>17</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YTU CE Dept.</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Songul ALBAYRAK</dc:creator>
  <cp:keywords/>
  <dc:description/>
  <cp:lastModifiedBy>Windows User</cp:lastModifiedBy>
  <cp:revision>15</cp:revision>
  <dcterms:created xsi:type="dcterms:W3CDTF">2017-09-19T11:21:00Z</dcterms:created>
  <dcterms:modified xsi:type="dcterms:W3CDTF">2018-09-27T06:20:00Z</dcterms:modified>
</cp:coreProperties>
</file>