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EF96" w14:textId="77777777" w:rsidR="00614C1F" w:rsidRPr="00614C1F" w:rsidRDefault="00614C1F" w:rsidP="005C01B3">
      <w:pPr>
        <w:spacing w:line="240" w:lineRule="auto"/>
        <w:rPr>
          <w:b/>
          <w:bCs/>
        </w:rPr>
      </w:pPr>
      <w:r w:rsidRPr="00614C1F">
        <w:rPr>
          <w:b/>
          <w:bCs/>
        </w:rPr>
        <w:t>1. Quarterly &amp; Annual Reports</w:t>
      </w:r>
    </w:p>
    <w:p w14:paraId="5D690B15" w14:textId="77777777" w:rsidR="00614C1F" w:rsidRPr="00614C1F" w:rsidRDefault="00614C1F" w:rsidP="005C01B3">
      <w:pPr>
        <w:spacing w:line="240" w:lineRule="auto"/>
      </w:pPr>
      <w:r w:rsidRPr="00614C1F">
        <w:t>These reports provide a comprehensive financial overview, including:</w:t>
      </w:r>
    </w:p>
    <w:p w14:paraId="21DB0A4F" w14:textId="77777777" w:rsidR="00614C1F" w:rsidRPr="00614C1F" w:rsidRDefault="00614C1F" w:rsidP="005C01B3">
      <w:pPr>
        <w:numPr>
          <w:ilvl w:val="0"/>
          <w:numId w:val="1"/>
        </w:numPr>
        <w:spacing w:line="240" w:lineRule="auto"/>
      </w:pPr>
      <w:r w:rsidRPr="00614C1F">
        <w:t>Revenue breakdown by business segment (investment banking, asset management, etc.).</w:t>
      </w:r>
    </w:p>
    <w:p w14:paraId="6B273ED4" w14:textId="77777777" w:rsidR="00614C1F" w:rsidRPr="00614C1F" w:rsidRDefault="00614C1F" w:rsidP="005C01B3">
      <w:pPr>
        <w:numPr>
          <w:ilvl w:val="0"/>
          <w:numId w:val="1"/>
        </w:numPr>
        <w:spacing w:line="240" w:lineRule="auto"/>
      </w:pPr>
      <w:r w:rsidRPr="00614C1F">
        <w:t>Profitability metrics like Net Interest Margin (NIM) and Return on Equity (ROE).</w:t>
      </w:r>
    </w:p>
    <w:p w14:paraId="5BA24BD1" w14:textId="77777777" w:rsidR="00614C1F" w:rsidRPr="00614C1F" w:rsidRDefault="00614C1F" w:rsidP="005C01B3">
      <w:pPr>
        <w:numPr>
          <w:ilvl w:val="0"/>
          <w:numId w:val="1"/>
        </w:numPr>
        <w:spacing w:line="240" w:lineRule="auto"/>
      </w:pPr>
      <w:r w:rsidRPr="00614C1F">
        <w:t>Risk disclosures, including liquidity coverage ratios and stress test results.</w:t>
      </w:r>
    </w:p>
    <w:p w14:paraId="7C43740D" w14:textId="4F9ABB9F" w:rsidR="00614C1F" w:rsidRPr="00614C1F" w:rsidRDefault="00614C1F" w:rsidP="005C01B3">
      <w:pPr>
        <w:spacing w:line="240" w:lineRule="auto"/>
        <w:rPr>
          <w:u w:val="single"/>
        </w:rPr>
      </w:pPr>
      <w:r w:rsidRPr="00614C1F">
        <w:rPr>
          <w:u w:val="single"/>
        </w:rPr>
        <w:t>Where to find them?</w:t>
      </w:r>
    </w:p>
    <w:p w14:paraId="42C822D7" w14:textId="77777777" w:rsidR="00614C1F" w:rsidRPr="00614C1F" w:rsidRDefault="00614C1F" w:rsidP="005C01B3">
      <w:pPr>
        <w:spacing w:line="240" w:lineRule="auto"/>
      </w:pPr>
      <w:r w:rsidRPr="00614C1F">
        <w:t xml:space="preserve">Goldman Sachs: </w:t>
      </w:r>
      <w:hyperlink r:id="rId5" w:history="1">
        <w:r w:rsidRPr="00614C1F">
          <w:rPr>
            <w:rStyle w:val="Hyperlink"/>
          </w:rPr>
          <w:t>Annual Reports</w:t>
        </w:r>
      </w:hyperlink>
    </w:p>
    <w:p w14:paraId="12ED5F5C" w14:textId="77777777" w:rsidR="00614C1F" w:rsidRPr="00614C1F" w:rsidRDefault="00614C1F" w:rsidP="005C01B3">
      <w:pPr>
        <w:spacing w:line="240" w:lineRule="auto"/>
      </w:pPr>
      <w:r w:rsidRPr="00614C1F">
        <w:t xml:space="preserve">UBS: </w:t>
      </w:r>
      <w:hyperlink r:id="rId6" w:history="1">
        <w:r w:rsidRPr="00614C1F">
          <w:rPr>
            <w:rStyle w:val="Hyperlink"/>
          </w:rPr>
          <w:t>Quarterly Reports</w:t>
        </w:r>
      </w:hyperlink>
    </w:p>
    <w:p w14:paraId="37700A50" w14:textId="77777777" w:rsidR="00614C1F" w:rsidRPr="00614C1F" w:rsidRDefault="00614C1F" w:rsidP="005C01B3">
      <w:pPr>
        <w:spacing w:line="240" w:lineRule="auto"/>
        <w:rPr>
          <w:b/>
          <w:bCs/>
        </w:rPr>
      </w:pPr>
      <w:r w:rsidRPr="00614C1F">
        <w:rPr>
          <w:b/>
          <w:bCs/>
        </w:rPr>
        <w:t>2. Earnings Call Transcripts</w:t>
      </w:r>
    </w:p>
    <w:p w14:paraId="60487A40" w14:textId="77777777" w:rsidR="00614C1F" w:rsidRPr="00614C1F" w:rsidRDefault="00614C1F" w:rsidP="005C01B3">
      <w:pPr>
        <w:spacing w:line="240" w:lineRule="auto"/>
      </w:pPr>
      <w:r w:rsidRPr="00614C1F">
        <w:t>Earnings calls include Q&amp;A sessions where analysts question senior management about financial performance, strategy, and market outlook. These transcripts are valuable for:</w:t>
      </w:r>
    </w:p>
    <w:p w14:paraId="5786C543" w14:textId="77777777" w:rsidR="00614C1F" w:rsidRPr="00614C1F" w:rsidRDefault="00614C1F" w:rsidP="005C01B3">
      <w:pPr>
        <w:numPr>
          <w:ilvl w:val="0"/>
          <w:numId w:val="3"/>
        </w:numPr>
        <w:spacing w:line="240" w:lineRule="auto"/>
      </w:pPr>
      <w:r w:rsidRPr="00614C1F">
        <w:t>Topic Modelling: Identifying recurring themes in analyst questions.</w:t>
      </w:r>
    </w:p>
    <w:p w14:paraId="684A7746" w14:textId="77777777" w:rsidR="00614C1F" w:rsidRPr="00614C1F" w:rsidRDefault="00614C1F" w:rsidP="005C01B3">
      <w:pPr>
        <w:numPr>
          <w:ilvl w:val="0"/>
          <w:numId w:val="3"/>
        </w:numPr>
        <w:spacing w:line="240" w:lineRule="auto"/>
      </w:pPr>
      <w:r w:rsidRPr="00614C1F">
        <w:t>Sentiment Analysis: Assessing management’s tone and confidence levels.</w:t>
      </w:r>
    </w:p>
    <w:p w14:paraId="0BCEB3C4" w14:textId="77777777" w:rsidR="00614C1F" w:rsidRPr="00614C1F" w:rsidRDefault="00614C1F" w:rsidP="005C01B3">
      <w:pPr>
        <w:numPr>
          <w:ilvl w:val="0"/>
          <w:numId w:val="3"/>
        </w:numPr>
        <w:spacing w:line="240" w:lineRule="auto"/>
      </w:pPr>
      <w:r w:rsidRPr="00614C1F">
        <w:t>Benchmarking: Comparing responses across different banks.</w:t>
      </w:r>
    </w:p>
    <w:p w14:paraId="13D318EF" w14:textId="29D8FB51" w:rsidR="00614C1F" w:rsidRPr="00614C1F" w:rsidRDefault="00614C1F" w:rsidP="005C01B3">
      <w:pPr>
        <w:spacing w:line="240" w:lineRule="auto"/>
        <w:rPr>
          <w:u w:val="single"/>
        </w:rPr>
      </w:pPr>
      <w:r w:rsidRPr="00614C1F">
        <w:rPr>
          <w:u w:val="single"/>
        </w:rPr>
        <w:t>Where to find them?</w:t>
      </w:r>
    </w:p>
    <w:p w14:paraId="24703B2E" w14:textId="77777777" w:rsidR="00614C1F" w:rsidRPr="00614C1F" w:rsidRDefault="00614C1F" w:rsidP="005C01B3">
      <w:pPr>
        <w:spacing w:line="240" w:lineRule="auto"/>
      </w:pPr>
      <w:r w:rsidRPr="00614C1F">
        <w:t>Goldman Sachs: Available in their Investor Relations Webcasts section.</w:t>
      </w:r>
    </w:p>
    <w:p w14:paraId="009B0997" w14:textId="77777777" w:rsidR="00614C1F" w:rsidRPr="00614C1F" w:rsidRDefault="00614C1F" w:rsidP="005C01B3">
      <w:pPr>
        <w:spacing w:line="240" w:lineRule="auto"/>
      </w:pPr>
      <w:r w:rsidRPr="00614C1F">
        <w:t>UBS: Found in their Quarterly Reporting section.</w:t>
      </w:r>
    </w:p>
    <w:p w14:paraId="56CB89F8" w14:textId="77777777" w:rsidR="00614C1F" w:rsidRPr="00614C1F" w:rsidRDefault="00614C1F" w:rsidP="005C01B3">
      <w:pPr>
        <w:spacing w:line="240" w:lineRule="auto"/>
        <w:rPr>
          <w:b/>
          <w:bCs/>
        </w:rPr>
      </w:pPr>
      <w:r w:rsidRPr="00614C1F">
        <w:rPr>
          <w:b/>
          <w:bCs/>
        </w:rPr>
        <w:t>3. Investor Presentations</w:t>
      </w:r>
    </w:p>
    <w:p w14:paraId="5978DE10" w14:textId="77777777" w:rsidR="00614C1F" w:rsidRPr="00614C1F" w:rsidRDefault="00614C1F" w:rsidP="005C01B3">
      <w:pPr>
        <w:spacing w:line="240" w:lineRule="auto"/>
      </w:pPr>
      <w:r w:rsidRPr="00614C1F">
        <w:t>Investor presentations summarize key financial trends and strategic priorities. They often include:</w:t>
      </w:r>
    </w:p>
    <w:p w14:paraId="0CEBF17E" w14:textId="77777777" w:rsidR="00614C1F" w:rsidRPr="00614C1F" w:rsidRDefault="00614C1F" w:rsidP="005C01B3">
      <w:pPr>
        <w:numPr>
          <w:ilvl w:val="0"/>
          <w:numId w:val="5"/>
        </w:numPr>
        <w:spacing w:line="240" w:lineRule="auto"/>
      </w:pPr>
      <w:r w:rsidRPr="00614C1F">
        <w:t>Future growth plans (e.g., digital banking expansion, M&amp;A activity).</w:t>
      </w:r>
    </w:p>
    <w:p w14:paraId="529C34E8" w14:textId="77777777" w:rsidR="00614C1F" w:rsidRPr="00614C1F" w:rsidRDefault="00614C1F" w:rsidP="005C01B3">
      <w:pPr>
        <w:numPr>
          <w:ilvl w:val="0"/>
          <w:numId w:val="5"/>
        </w:numPr>
        <w:spacing w:line="240" w:lineRule="auto"/>
      </w:pPr>
      <w:r w:rsidRPr="00614C1F">
        <w:t>Market positioning compared to competitors.</w:t>
      </w:r>
    </w:p>
    <w:p w14:paraId="4DA682B8" w14:textId="77777777" w:rsidR="00614C1F" w:rsidRPr="00614C1F" w:rsidRDefault="00614C1F" w:rsidP="005C01B3">
      <w:pPr>
        <w:numPr>
          <w:ilvl w:val="0"/>
          <w:numId w:val="5"/>
        </w:numPr>
        <w:spacing w:line="240" w:lineRule="auto"/>
      </w:pPr>
      <w:r w:rsidRPr="00614C1F">
        <w:t>Regulatory updates affecting the bank’s operations.</w:t>
      </w:r>
    </w:p>
    <w:p w14:paraId="07F1AFE7" w14:textId="7AA9FB45" w:rsidR="00614C1F" w:rsidRPr="00614C1F" w:rsidRDefault="00614C1F" w:rsidP="005C01B3">
      <w:pPr>
        <w:spacing w:line="240" w:lineRule="auto"/>
        <w:rPr>
          <w:u w:val="single"/>
        </w:rPr>
      </w:pPr>
      <w:r w:rsidRPr="00614C1F">
        <w:rPr>
          <w:u w:val="single"/>
        </w:rPr>
        <w:t>Where to find them?</w:t>
      </w:r>
    </w:p>
    <w:p w14:paraId="5DF5E956" w14:textId="77777777" w:rsidR="00614C1F" w:rsidRPr="00614C1F" w:rsidRDefault="00614C1F" w:rsidP="005C01B3">
      <w:pPr>
        <w:spacing w:line="240" w:lineRule="auto"/>
      </w:pPr>
      <w:r w:rsidRPr="00614C1F">
        <w:t xml:space="preserve">Goldman Sachs: </w:t>
      </w:r>
      <w:hyperlink r:id="rId7" w:history="1">
        <w:r w:rsidRPr="00614C1F">
          <w:rPr>
            <w:rStyle w:val="Hyperlink"/>
          </w:rPr>
          <w:t>Investor Presentations</w:t>
        </w:r>
      </w:hyperlink>
    </w:p>
    <w:p w14:paraId="3E057FD4" w14:textId="77777777" w:rsidR="00614C1F" w:rsidRPr="00614C1F" w:rsidRDefault="00614C1F" w:rsidP="005C01B3">
      <w:pPr>
        <w:spacing w:line="240" w:lineRule="auto"/>
      </w:pPr>
      <w:r w:rsidRPr="00614C1F">
        <w:t xml:space="preserve">UBS: </w:t>
      </w:r>
      <w:hyperlink r:id="rId8" w:history="1">
        <w:r w:rsidRPr="00614C1F">
          <w:rPr>
            <w:rStyle w:val="Hyperlink"/>
          </w:rPr>
          <w:t>Investor Relations</w:t>
        </w:r>
      </w:hyperlink>
    </w:p>
    <w:p w14:paraId="7405BDF5" w14:textId="77777777" w:rsidR="00614C1F" w:rsidRPr="00614C1F" w:rsidRDefault="00614C1F" w:rsidP="005C01B3">
      <w:pPr>
        <w:spacing w:line="240" w:lineRule="auto"/>
        <w:rPr>
          <w:b/>
          <w:bCs/>
        </w:rPr>
      </w:pPr>
      <w:r w:rsidRPr="00614C1F">
        <w:rPr>
          <w:b/>
          <w:bCs/>
        </w:rPr>
        <w:t>4. Regulatory Filings &amp; Risk Disclosures</w:t>
      </w:r>
    </w:p>
    <w:p w14:paraId="1B5546F5" w14:textId="77777777" w:rsidR="00614C1F" w:rsidRPr="00614C1F" w:rsidRDefault="00614C1F" w:rsidP="005C01B3">
      <w:pPr>
        <w:spacing w:line="240" w:lineRule="auto"/>
      </w:pPr>
      <w:r w:rsidRPr="00614C1F">
        <w:t>These documents provide insights into capital adequacy, risk exposure, and compliance with financial regulations. They include:</w:t>
      </w:r>
    </w:p>
    <w:p w14:paraId="318FEEA9" w14:textId="77777777" w:rsidR="00614C1F" w:rsidRPr="00614C1F" w:rsidRDefault="00614C1F" w:rsidP="005C01B3">
      <w:pPr>
        <w:numPr>
          <w:ilvl w:val="0"/>
          <w:numId w:val="7"/>
        </w:numPr>
        <w:spacing w:line="240" w:lineRule="auto"/>
      </w:pPr>
      <w:r w:rsidRPr="00614C1F">
        <w:t>Pillar 3 Disclosures (risk management frameworks).</w:t>
      </w:r>
    </w:p>
    <w:p w14:paraId="79C39212" w14:textId="77777777" w:rsidR="00614C1F" w:rsidRPr="00614C1F" w:rsidRDefault="00614C1F" w:rsidP="005C01B3">
      <w:pPr>
        <w:numPr>
          <w:ilvl w:val="0"/>
          <w:numId w:val="7"/>
        </w:numPr>
        <w:spacing w:line="240" w:lineRule="auto"/>
      </w:pPr>
      <w:r w:rsidRPr="00614C1F">
        <w:t>Liquidity Coverage Ratio (LCR) reports.</w:t>
      </w:r>
    </w:p>
    <w:p w14:paraId="5EC7C415" w14:textId="77777777" w:rsidR="00614C1F" w:rsidRPr="00614C1F" w:rsidRDefault="00614C1F" w:rsidP="005C01B3">
      <w:pPr>
        <w:numPr>
          <w:ilvl w:val="0"/>
          <w:numId w:val="7"/>
        </w:numPr>
        <w:spacing w:line="240" w:lineRule="auto"/>
      </w:pPr>
      <w:r w:rsidRPr="00614C1F">
        <w:t>Stress test results from regulatory bodies.</w:t>
      </w:r>
    </w:p>
    <w:p w14:paraId="30BA4A19" w14:textId="78DCBDDE" w:rsidR="00614C1F" w:rsidRPr="00614C1F" w:rsidRDefault="00614C1F" w:rsidP="005C01B3">
      <w:pPr>
        <w:spacing w:line="240" w:lineRule="auto"/>
        <w:rPr>
          <w:u w:val="single"/>
        </w:rPr>
      </w:pPr>
      <w:r w:rsidRPr="00614C1F">
        <w:rPr>
          <w:u w:val="single"/>
        </w:rPr>
        <w:t>Where to find them?</w:t>
      </w:r>
    </w:p>
    <w:p w14:paraId="75B96D35" w14:textId="77777777" w:rsidR="00614C1F" w:rsidRPr="00614C1F" w:rsidRDefault="00614C1F" w:rsidP="005C01B3">
      <w:pPr>
        <w:spacing w:line="240" w:lineRule="auto"/>
      </w:pPr>
      <w:r w:rsidRPr="00614C1F">
        <w:lastRenderedPageBreak/>
        <w:t>Goldman Sachs: Available in their Regulatory Disclosures section.</w:t>
      </w:r>
    </w:p>
    <w:p w14:paraId="659F7912" w14:textId="77777777" w:rsidR="00614C1F" w:rsidRPr="00614C1F" w:rsidRDefault="00614C1F" w:rsidP="005C01B3">
      <w:pPr>
        <w:spacing w:line="240" w:lineRule="auto"/>
      </w:pPr>
      <w:r w:rsidRPr="00614C1F">
        <w:t>UBS: Found in their Financial Information section.</w:t>
      </w:r>
    </w:p>
    <w:p w14:paraId="27DEF17F" w14:textId="77777777" w:rsidR="0012665B" w:rsidRPr="005C01B3" w:rsidRDefault="0012665B" w:rsidP="005C01B3">
      <w:pPr>
        <w:spacing w:line="240" w:lineRule="auto"/>
      </w:pPr>
    </w:p>
    <w:p w14:paraId="6550880F" w14:textId="4CD55475" w:rsidR="0012665B" w:rsidRPr="005C01B3" w:rsidRDefault="005C01B3" w:rsidP="005C01B3">
      <w:pPr>
        <w:spacing w:line="240" w:lineRule="auto"/>
        <w:rPr>
          <w:b/>
          <w:bCs/>
        </w:rPr>
      </w:pPr>
      <w:r w:rsidRPr="005C01B3">
        <w:rPr>
          <w:b/>
          <w:bCs/>
        </w:rPr>
        <w:t>Summary</w:t>
      </w:r>
      <w:r>
        <w:rPr>
          <w:b/>
          <w:bCs/>
        </w:rPr>
        <w:t xml:space="preserve"> of </w:t>
      </w:r>
      <w:r w:rsidR="00053945">
        <w:rPr>
          <w:b/>
          <w:bCs/>
        </w:rPr>
        <w:t>easily</w:t>
      </w:r>
      <w:r>
        <w:rPr>
          <w:b/>
          <w:bCs/>
        </w:rPr>
        <w:t xml:space="preserve"> available data</w:t>
      </w:r>
    </w:p>
    <w:p w14:paraId="571783D2" w14:textId="2EE3696F" w:rsidR="0012665B" w:rsidRPr="0012665B" w:rsidRDefault="0012665B" w:rsidP="005C01B3">
      <w:pPr>
        <w:spacing w:line="240" w:lineRule="auto"/>
      </w:pPr>
      <w:r w:rsidRPr="0012665B">
        <w:t>Goldman Sachs</w:t>
      </w:r>
    </w:p>
    <w:p w14:paraId="3C28F21F" w14:textId="77777777" w:rsidR="0012665B" w:rsidRPr="0012665B" w:rsidRDefault="0012665B" w:rsidP="005C01B3">
      <w:pPr>
        <w:numPr>
          <w:ilvl w:val="0"/>
          <w:numId w:val="9"/>
        </w:numPr>
        <w:spacing w:line="240" w:lineRule="auto"/>
      </w:pPr>
      <w:r w:rsidRPr="0012665B">
        <w:t xml:space="preserve">Quarterly &amp; Annual Reports: </w:t>
      </w:r>
      <w:hyperlink r:id="rId9" w:history="1">
        <w:r w:rsidRPr="0012665B">
          <w:rPr>
            <w:rStyle w:val="Hyperlink"/>
          </w:rPr>
          <w:t>Goldman Sachs Financial Reports</w:t>
        </w:r>
      </w:hyperlink>
    </w:p>
    <w:p w14:paraId="09DD5925" w14:textId="77777777" w:rsidR="0012665B" w:rsidRPr="0012665B" w:rsidRDefault="0012665B" w:rsidP="005C01B3">
      <w:pPr>
        <w:numPr>
          <w:ilvl w:val="0"/>
          <w:numId w:val="9"/>
        </w:numPr>
        <w:spacing w:line="240" w:lineRule="auto"/>
      </w:pPr>
      <w:r w:rsidRPr="0012665B">
        <w:t>Earnings Call Transcripts: Available in their Investor Relations Webcasts section.</w:t>
      </w:r>
    </w:p>
    <w:p w14:paraId="0BB197AB" w14:textId="77777777" w:rsidR="0012665B" w:rsidRPr="0012665B" w:rsidRDefault="0012665B" w:rsidP="005C01B3">
      <w:pPr>
        <w:numPr>
          <w:ilvl w:val="0"/>
          <w:numId w:val="9"/>
        </w:numPr>
        <w:spacing w:line="240" w:lineRule="auto"/>
      </w:pPr>
      <w:r w:rsidRPr="0012665B">
        <w:t xml:space="preserve">Investor Presentations: </w:t>
      </w:r>
      <w:hyperlink r:id="rId10" w:history="1">
        <w:r w:rsidRPr="0012665B">
          <w:rPr>
            <w:rStyle w:val="Hyperlink"/>
          </w:rPr>
          <w:t>Goldman Sachs Investor Presentations</w:t>
        </w:r>
      </w:hyperlink>
    </w:p>
    <w:p w14:paraId="37142994" w14:textId="77777777" w:rsidR="0012665B" w:rsidRPr="0012665B" w:rsidRDefault="0012665B" w:rsidP="005C01B3">
      <w:pPr>
        <w:numPr>
          <w:ilvl w:val="0"/>
          <w:numId w:val="9"/>
        </w:numPr>
        <w:spacing w:line="240" w:lineRule="auto"/>
      </w:pPr>
      <w:r w:rsidRPr="0012665B">
        <w:t>Regulatory Filings: Found in their Regulatory Disclosures section.</w:t>
      </w:r>
    </w:p>
    <w:p w14:paraId="1B8BDDEC" w14:textId="77777777" w:rsidR="0012665B" w:rsidRPr="0012665B" w:rsidRDefault="0012665B" w:rsidP="005C01B3">
      <w:pPr>
        <w:spacing w:line="240" w:lineRule="auto"/>
      </w:pPr>
      <w:r w:rsidRPr="0012665B">
        <w:t>UBS</w:t>
      </w:r>
    </w:p>
    <w:p w14:paraId="5FCD6154" w14:textId="77777777" w:rsidR="0012665B" w:rsidRPr="0012665B" w:rsidRDefault="0012665B" w:rsidP="005C01B3">
      <w:pPr>
        <w:numPr>
          <w:ilvl w:val="0"/>
          <w:numId w:val="10"/>
        </w:numPr>
        <w:spacing w:line="240" w:lineRule="auto"/>
      </w:pPr>
      <w:r w:rsidRPr="0012665B">
        <w:t xml:space="preserve">Quarterly &amp; Annual Reports: </w:t>
      </w:r>
      <w:hyperlink r:id="rId11" w:history="1">
        <w:r w:rsidRPr="0012665B">
          <w:rPr>
            <w:rStyle w:val="Hyperlink"/>
          </w:rPr>
          <w:t>UBS Quarterly Reports</w:t>
        </w:r>
      </w:hyperlink>
    </w:p>
    <w:p w14:paraId="651BAF00" w14:textId="77777777" w:rsidR="0012665B" w:rsidRPr="0012665B" w:rsidRDefault="0012665B" w:rsidP="005C01B3">
      <w:pPr>
        <w:numPr>
          <w:ilvl w:val="0"/>
          <w:numId w:val="10"/>
        </w:numPr>
        <w:spacing w:line="240" w:lineRule="auto"/>
      </w:pPr>
      <w:r w:rsidRPr="0012665B">
        <w:t>Earnings Call Transcripts: Available in their Quarterly Reporting section.</w:t>
      </w:r>
    </w:p>
    <w:p w14:paraId="72158AE2" w14:textId="77777777" w:rsidR="0012665B" w:rsidRPr="0012665B" w:rsidRDefault="0012665B" w:rsidP="005C01B3">
      <w:pPr>
        <w:numPr>
          <w:ilvl w:val="0"/>
          <w:numId w:val="10"/>
        </w:numPr>
        <w:spacing w:line="240" w:lineRule="auto"/>
      </w:pPr>
      <w:r w:rsidRPr="0012665B">
        <w:t>Investor Presentations: Found in their Investor Relations section.</w:t>
      </w:r>
    </w:p>
    <w:p w14:paraId="3F7DF1EB" w14:textId="77777777" w:rsidR="0012665B" w:rsidRPr="0012665B" w:rsidRDefault="0012665B" w:rsidP="005C01B3">
      <w:pPr>
        <w:numPr>
          <w:ilvl w:val="0"/>
          <w:numId w:val="10"/>
        </w:numPr>
        <w:spacing w:line="240" w:lineRule="auto"/>
      </w:pPr>
      <w:r w:rsidRPr="0012665B">
        <w:t>Regulatory Filings: Available in their Financial Information section.</w:t>
      </w:r>
    </w:p>
    <w:p w14:paraId="46D7B18D" w14:textId="77777777" w:rsidR="00396751" w:rsidRPr="005C01B3" w:rsidRDefault="00396751" w:rsidP="005C01B3">
      <w:pPr>
        <w:spacing w:line="240" w:lineRule="auto"/>
      </w:pPr>
    </w:p>
    <w:p w14:paraId="52AEB499" w14:textId="46BFCCED" w:rsidR="005C01B3" w:rsidRPr="005C01B3" w:rsidRDefault="005C01B3" w:rsidP="005C01B3">
      <w:pPr>
        <w:spacing w:line="240" w:lineRule="auto"/>
        <w:rPr>
          <w:b/>
          <w:bCs/>
        </w:rPr>
      </w:pPr>
      <w:r w:rsidRPr="005C01B3">
        <w:rPr>
          <w:b/>
          <w:bCs/>
        </w:rPr>
        <w:t>A</w:t>
      </w:r>
      <w:r w:rsidRPr="005C01B3">
        <w:rPr>
          <w:b/>
          <w:bCs/>
        </w:rPr>
        <w:t>dditional ideas to provide deeper insights:</w:t>
      </w:r>
    </w:p>
    <w:p w14:paraId="1353359D" w14:textId="77777777" w:rsidR="005C01B3" w:rsidRPr="005C01B3" w:rsidRDefault="005C01B3" w:rsidP="005C01B3">
      <w:pPr>
        <w:spacing w:line="240" w:lineRule="auto"/>
      </w:pPr>
      <w:r w:rsidRPr="005C01B3">
        <w:t>1. Media &amp; Social Sentiment Analysis</w:t>
      </w:r>
    </w:p>
    <w:p w14:paraId="7A3C8E51" w14:textId="32B30394" w:rsidR="005C01B3" w:rsidRPr="005C01B3" w:rsidRDefault="005C01B3" w:rsidP="005C01B3">
      <w:pPr>
        <w:numPr>
          <w:ilvl w:val="0"/>
          <w:numId w:val="11"/>
        </w:numPr>
        <w:spacing w:line="240" w:lineRule="auto"/>
      </w:pPr>
      <w:r w:rsidRPr="005C01B3">
        <w:t>Analyse</w:t>
      </w:r>
      <w:r w:rsidRPr="005C01B3">
        <w:t xml:space="preserve"> financial news articles, social media discussions, and press releases to compare public sentiment with earnings call sentiment.</w:t>
      </w:r>
    </w:p>
    <w:p w14:paraId="002CA1CE" w14:textId="77777777" w:rsidR="005C01B3" w:rsidRPr="005C01B3" w:rsidRDefault="005C01B3" w:rsidP="005C01B3">
      <w:pPr>
        <w:numPr>
          <w:ilvl w:val="0"/>
          <w:numId w:val="11"/>
        </w:numPr>
        <w:spacing w:line="240" w:lineRule="auto"/>
      </w:pPr>
      <w:r w:rsidRPr="005C01B3">
        <w:t xml:space="preserve">Use </w:t>
      </w:r>
      <w:proofErr w:type="spellStart"/>
      <w:r w:rsidRPr="005C01B3">
        <w:t>FinBERT</w:t>
      </w:r>
      <w:proofErr w:type="spellEnd"/>
      <w:r w:rsidRPr="005C01B3">
        <w:t xml:space="preserve"> or Twitter scraping tools to track reactions from investors and analysts.</w:t>
      </w:r>
    </w:p>
    <w:p w14:paraId="4B48105C" w14:textId="77777777" w:rsidR="005C01B3" w:rsidRPr="005C01B3" w:rsidRDefault="005C01B3" w:rsidP="005C01B3">
      <w:pPr>
        <w:spacing w:line="240" w:lineRule="auto"/>
      </w:pPr>
      <w:r w:rsidRPr="005C01B3">
        <w:t>2. Alternative Data Sources</w:t>
      </w:r>
    </w:p>
    <w:p w14:paraId="26A87FED" w14:textId="77777777" w:rsidR="005C01B3" w:rsidRPr="005C01B3" w:rsidRDefault="005C01B3" w:rsidP="005C01B3">
      <w:pPr>
        <w:numPr>
          <w:ilvl w:val="0"/>
          <w:numId w:val="12"/>
        </w:numPr>
        <w:spacing w:line="240" w:lineRule="auto"/>
      </w:pPr>
      <w:r w:rsidRPr="005C01B3">
        <w:t>Market Transaction Data: Explore Bloomberg Terminal or Refinitiv for additional financial analytics.</w:t>
      </w:r>
    </w:p>
    <w:p w14:paraId="29407B8B" w14:textId="4591607F" w:rsidR="005C01B3" w:rsidRPr="005C01B3" w:rsidRDefault="005C01B3" w:rsidP="005C01B3">
      <w:pPr>
        <w:numPr>
          <w:ilvl w:val="0"/>
          <w:numId w:val="12"/>
        </w:numPr>
        <w:spacing w:line="240" w:lineRule="auto"/>
      </w:pPr>
      <w:r w:rsidRPr="005C01B3">
        <w:t xml:space="preserve">Credit Ratings &amp; ESG Reports: </w:t>
      </w:r>
      <w:r w:rsidRPr="005C01B3">
        <w:t>Investigate</w:t>
      </w:r>
      <w:r w:rsidRPr="005C01B3">
        <w:t xml:space="preserve"> credit agency reports (Moody’s, S&amp;P) and ESG (Environmental, Social, Governance) disclosures to understand bank sustainability trends.</w:t>
      </w:r>
    </w:p>
    <w:p w14:paraId="29D0522C" w14:textId="77777777" w:rsidR="005C01B3" w:rsidRPr="005C01B3" w:rsidRDefault="005C01B3" w:rsidP="005C01B3">
      <w:pPr>
        <w:spacing w:line="240" w:lineRule="auto"/>
      </w:pPr>
      <w:r w:rsidRPr="005C01B3">
        <w:t>3. Geospatial Financial Analysis</w:t>
      </w:r>
    </w:p>
    <w:p w14:paraId="37ED312F" w14:textId="77777777" w:rsidR="005C01B3" w:rsidRPr="005C01B3" w:rsidRDefault="005C01B3" w:rsidP="005C01B3">
      <w:pPr>
        <w:numPr>
          <w:ilvl w:val="0"/>
          <w:numId w:val="13"/>
        </w:numPr>
        <w:spacing w:line="240" w:lineRule="auto"/>
      </w:pPr>
      <w:r w:rsidRPr="005C01B3">
        <w:t>Map branch locations and investment flows using GIS tools.</w:t>
      </w:r>
    </w:p>
    <w:p w14:paraId="2184B1B1" w14:textId="77777777" w:rsidR="005C01B3" w:rsidRPr="005C01B3" w:rsidRDefault="005C01B3" w:rsidP="005C01B3">
      <w:pPr>
        <w:numPr>
          <w:ilvl w:val="0"/>
          <w:numId w:val="13"/>
        </w:numPr>
        <w:spacing w:line="240" w:lineRule="auto"/>
      </w:pPr>
      <w:r w:rsidRPr="005C01B3">
        <w:t>Overlay economic indicators (GDP, unemployment rates) to assess market positioning globally.</w:t>
      </w:r>
    </w:p>
    <w:p w14:paraId="2B50877B" w14:textId="77777777" w:rsidR="0012665B" w:rsidRPr="005C01B3" w:rsidRDefault="0012665B" w:rsidP="005C01B3">
      <w:pPr>
        <w:spacing w:line="240" w:lineRule="auto"/>
      </w:pPr>
    </w:p>
    <w:sectPr w:rsidR="0012665B" w:rsidRPr="005C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3C3A"/>
    <w:multiLevelType w:val="multilevel"/>
    <w:tmpl w:val="59D4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E52FB"/>
    <w:multiLevelType w:val="multilevel"/>
    <w:tmpl w:val="52F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7080C"/>
    <w:multiLevelType w:val="multilevel"/>
    <w:tmpl w:val="C14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979"/>
    <w:multiLevelType w:val="multilevel"/>
    <w:tmpl w:val="EA42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A480E"/>
    <w:multiLevelType w:val="multilevel"/>
    <w:tmpl w:val="FD7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7445"/>
    <w:multiLevelType w:val="multilevel"/>
    <w:tmpl w:val="81BA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D12BE"/>
    <w:multiLevelType w:val="multilevel"/>
    <w:tmpl w:val="800A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31418"/>
    <w:multiLevelType w:val="multilevel"/>
    <w:tmpl w:val="24E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75186"/>
    <w:multiLevelType w:val="multilevel"/>
    <w:tmpl w:val="9958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6473D"/>
    <w:multiLevelType w:val="multilevel"/>
    <w:tmpl w:val="73D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36CC8"/>
    <w:multiLevelType w:val="multilevel"/>
    <w:tmpl w:val="1EA0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52B85"/>
    <w:multiLevelType w:val="multilevel"/>
    <w:tmpl w:val="88C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7005A"/>
    <w:multiLevelType w:val="multilevel"/>
    <w:tmpl w:val="624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E28F9"/>
    <w:multiLevelType w:val="multilevel"/>
    <w:tmpl w:val="38B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80E8E"/>
    <w:multiLevelType w:val="multilevel"/>
    <w:tmpl w:val="28F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012608">
    <w:abstractNumId w:val="4"/>
  </w:num>
  <w:num w:numId="2" w16cid:durableId="927470611">
    <w:abstractNumId w:val="10"/>
  </w:num>
  <w:num w:numId="3" w16cid:durableId="1783972">
    <w:abstractNumId w:val="9"/>
  </w:num>
  <w:num w:numId="4" w16cid:durableId="1246762019">
    <w:abstractNumId w:val="6"/>
  </w:num>
  <w:num w:numId="5" w16cid:durableId="62144281">
    <w:abstractNumId w:val="5"/>
  </w:num>
  <w:num w:numId="6" w16cid:durableId="2124377121">
    <w:abstractNumId w:val="12"/>
  </w:num>
  <w:num w:numId="7" w16cid:durableId="1904364958">
    <w:abstractNumId w:val="0"/>
  </w:num>
  <w:num w:numId="8" w16cid:durableId="349648410">
    <w:abstractNumId w:val="13"/>
  </w:num>
  <w:num w:numId="9" w16cid:durableId="252207951">
    <w:abstractNumId w:val="7"/>
  </w:num>
  <w:num w:numId="10" w16cid:durableId="523860190">
    <w:abstractNumId w:val="1"/>
  </w:num>
  <w:num w:numId="11" w16cid:durableId="1322848974">
    <w:abstractNumId w:val="8"/>
  </w:num>
  <w:num w:numId="12" w16cid:durableId="1031149662">
    <w:abstractNumId w:val="3"/>
  </w:num>
  <w:num w:numId="13" w16cid:durableId="335772308">
    <w:abstractNumId w:val="14"/>
  </w:num>
  <w:num w:numId="14" w16cid:durableId="2007200205">
    <w:abstractNumId w:val="11"/>
  </w:num>
  <w:num w:numId="15" w16cid:durableId="296643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09"/>
    <w:rsid w:val="00053945"/>
    <w:rsid w:val="0012665B"/>
    <w:rsid w:val="00135763"/>
    <w:rsid w:val="00234942"/>
    <w:rsid w:val="00396751"/>
    <w:rsid w:val="003B7160"/>
    <w:rsid w:val="005C01B3"/>
    <w:rsid w:val="00614C1F"/>
    <w:rsid w:val="00666D56"/>
    <w:rsid w:val="008A6AE5"/>
    <w:rsid w:val="00AA04CC"/>
    <w:rsid w:val="00C26B09"/>
    <w:rsid w:val="00E5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704A"/>
  <w15:chartTrackingRefBased/>
  <w15:docId w15:val="{7F029457-6306-46F0-937A-A1E54317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s.com/discover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gs.com/discover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s.com/discover/data" TargetMode="External"/><Relationship Id="rId11" Type="http://schemas.openxmlformats.org/officeDocument/2006/relationships/hyperlink" Target="https://www.thetradenews.com/fx-data-platform-goes-live-goldman-sachs-ubs-xtx-markets/" TargetMode="External"/><Relationship Id="rId5" Type="http://schemas.openxmlformats.org/officeDocument/2006/relationships/hyperlink" Target="https://developer.gs.com/discover/data" TargetMode="External"/><Relationship Id="rId10" Type="http://schemas.openxmlformats.org/officeDocument/2006/relationships/hyperlink" Target="https://developer.gs.com/discover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gs.com/discover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wojtkowiak</dc:creator>
  <cp:keywords/>
  <dc:description/>
  <cp:lastModifiedBy>maciej wojtkowiak</cp:lastModifiedBy>
  <cp:revision>2</cp:revision>
  <dcterms:created xsi:type="dcterms:W3CDTF">2025-05-29T16:08:00Z</dcterms:created>
  <dcterms:modified xsi:type="dcterms:W3CDTF">2025-05-29T16:51:00Z</dcterms:modified>
</cp:coreProperties>
</file>