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E340E" w14:textId="0074C3C8" w:rsidR="00666B87" w:rsidRDefault="00666B87" w:rsidP="00666B87">
      <w:pPr>
        <w:pStyle w:val="Heading1"/>
      </w:pPr>
      <w:r w:rsidRPr="00666B87">
        <w:t>Quarterly Management Discussions</w:t>
      </w:r>
      <w:r>
        <w:t xml:space="preserve"> </w:t>
      </w:r>
      <w:r w:rsidRPr="0094432B">
        <w:rPr>
          <w:lang w:val="en-US"/>
        </w:rPr>
        <w:t>Analysis – Goldman Sachs &amp; JP Morgan (2022–2025</w:t>
      </w:r>
      <w:r>
        <w:rPr>
          <w:lang w:val="en-US"/>
        </w:rPr>
        <w:t>)</w:t>
      </w:r>
    </w:p>
    <w:p w14:paraId="28CA9840" w14:textId="77777777" w:rsidR="00666B87" w:rsidRDefault="00666B87" w:rsidP="00666B87"/>
    <w:p w14:paraId="6421D84E" w14:textId="6FF3923D" w:rsidR="00982562" w:rsidRDefault="00982562" w:rsidP="00666B87">
      <w:pPr>
        <w:pStyle w:val="Heading1"/>
      </w:pPr>
      <w:r w:rsidRPr="00982562">
        <w:t>JPMorgan Chase &amp; Co.:</w:t>
      </w:r>
    </w:p>
    <w:p w14:paraId="68159FD8" w14:textId="77777777" w:rsidR="00982562" w:rsidRPr="00982562" w:rsidRDefault="00982562" w:rsidP="00982562">
      <w:pPr>
        <w:pStyle w:val="NoSpacing"/>
        <w:rPr>
          <w:b/>
          <w:bCs/>
        </w:rPr>
      </w:pPr>
    </w:p>
    <w:p w14:paraId="01742219" w14:textId="5F58EFAA" w:rsidR="00982562" w:rsidRDefault="00982562" w:rsidP="00982562">
      <w:pPr>
        <w:pStyle w:val="NoSpacing"/>
        <w:numPr>
          <w:ilvl w:val="0"/>
          <w:numId w:val="6"/>
        </w:numPr>
        <w:ind w:left="284" w:hanging="284"/>
        <w:rPr>
          <w:b/>
          <w:bCs/>
        </w:rPr>
      </w:pPr>
      <w:r w:rsidRPr="00982562">
        <w:rPr>
          <w:b/>
          <w:bCs/>
        </w:rPr>
        <w:t>Content Length Distribution by Quarter and Speaker:</w:t>
      </w:r>
    </w:p>
    <w:p w14:paraId="09F8A5F2" w14:textId="77777777" w:rsidR="00982562" w:rsidRPr="00982562" w:rsidRDefault="00982562" w:rsidP="00982562">
      <w:pPr>
        <w:pStyle w:val="NoSpacing"/>
        <w:rPr>
          <w:b/>
          <w:bCs/>
        </w:rPr>
      </w:pPr>
    </w:p>
    <w:p w14:paraId="5F4CD2ED" w14:textId="77777777" w:rsidR="00982562" w:rsidRPr="00982562" w:rsidRDefault="00982562" w:rsidP="00982562">
      <w:pPr>
        <w:pStyle w:val="NoSpacing"/>
        <w:numPr>
          <w:ilvl w:val="0"/>
          <w:numId w:val="2"/>
        </w:numPr>
      </w:pPr>
      <w:r w:rsidRPr="00982562">
        <w:t>Clearly focused on two main speakers: Jeremy Barnum and Jamie Dimon.</w:t>
      </w:r>
    </w:p>
    <w:p w14:paraId="2144B0A2" w14:textId="77777777" w:rsidR="00982562" w:rsidRPr="00982562" w:rsidRDefault="00982562" w:rsidP="00982562">
      <w:pPr>
        <w:pStyle w:val="NoSpacing"/>
        <w:numPr>
          <w:ilvl w:val="0"/>
          <w:numId w:val="2"/>
        </w:numPr>
      </w:pPr>
      <w:r w:rsidRPr="00982562">
        <w:t>Jamie Dimon consistently presents lengthier content, suggesting deeper strategic discussions.</w:t>
      </w:r>
    </w:p>
    <w:p w14:paraId="6338F052" w14:textId="77777777" w:rsidR="00982562" w:rsidRPr="00982562" w:rsidRDefault="00982562" w:rsidP="00982562">
      <w:pPr>
        <w:pStyle w:val="NoSpacing"/>
        <w:numPr>
          <w:ilvl w:val="0"/>
          <w:numId w:val="2"/>
        </w:numPr>
      </w:pPr>
      <w:r w:rsidRPr="00982562">
        <w:t>Quarter-to-quarter variation may indicate shifts in strategic priorities or responses to external events.</w:t>
      </w:r>
    </w:p>
    <w:p w14:paraId="1ECCEED9" w14:textId="77777777" w:rsidR="00396751" w:rsidRDefault="00396751" w:rsidP="00982562">
      <w:pPr>
        <w:pStyle w:val="NoSpacing"/>
      </w:pPr>
    </w:p>
    <w:p w14:paraId="22AC382B" w14:textId="2496BFF4" w:rsidR="00982562" w:rsidRPr="00982562" w:rsidRDefault="00982562" w:rsidP="00982562">
      <w:pPr>
        <w:pStyle w:val="NoSpacing"/>
        <w:numPr>
          <w:ilvl w:val="0"/>
          <w:numId w:val="6"/>
        </w:numPr>
        <w:ind w:left="284" w:hanging="284"/>
        <w:rPr>
          <w:b/>
          <w:bCs/>
        </w:rPr>
      </w:pPr>
      <w:r w:rsidRPr="00982562">
        <w:rPr>
          <w:b/>
          <w:bCs/>
        </w:rPr>
        <w:t>Sentiment Polarity Analysis (General and Financial Keywords)</w:t>
      </w:r>
    </w:p>
    <w:p w14:paraId="518ECC43" w14:textId="58541F5F" w:rsidR="00982562" w:rsidRPr="00982562" w:rsidRDefault="00982562" w:rsidP="00982562">
      <w:pPr>
        <w:pStyle w:val="NoSpacing"/>
        <w:rPr>
          <w:b/>
          <w:bCs/>
        </w:rPr>
      </w:pPr>
      <w:r w:rsidRPr="00982562">
        <w:rPr>
          <w:b/>
          <w:bCs/>
        </w:rPr>
        <w:t>Key Insights:</w:t>
      </w:r>
    </w:p>
    <w:p w14:paraId="6E3EF709" w14:textId="715BE385" w:rsidR="00982562" w:rsidRPr="00520E8A" w:rsidRDefault="00982562" w:rsidP="00982562">
      <w:pPr>
        <w:pStyle w:val="NoSpacing"/>
        <w:numPr>
          <w:ilvl w:val="0"/>
          <w:numId w:val="7"/>
        </w:numPr>
        <w:rPr>
          <w:b/>
          <w:bCs/>
        </w:rPr>
      </w:pPr>
      <w:r w:rsidRPr="00520E8A">
        <w:rPr>
          <w:b/>
          <w:bCs/>
        </w:rPr>
        <w:t>Q4 2024 Stands Out Dramatically</w:t>
      </w:r>
    </w:p>
    <w:p w14:paraId="63313054" w14:textId="501F206A" w:rsidR="00982562" w:rsidRPr="00982562" w:rsidRDefault="00982562" w:rsidP="00982562">
      <w:pPr>
        <w:pStyle w:val="NoSpacing"/>
        <w:numPr>
          <w:ilvl w:val="0"/>
          <w:numId w:val="3"/>
        </w:numPr>
      </w:pPr>
      <w:r w:rsidRPr="00982562">
        <w:t>Very high sentiment polarity in Q4 of 2024.</w:t>
      </w:r>
    </w:p>
    <w:p w14:paraId="3EEF5EB3" w14:textId="1614A910" w:rsidR="00982562" w:rsidRPr="00982562" w:rsidRDefault="00982562" w:rsidP="00982562">
      <w:pPr>
        <w:pStyle w:val="NoSpacing"/>
        <w:numPr>
          <w:ilvl w:val="0"/>
          <w:numId w:val="3"/>
        </w:numPr>
      </w:pPr>
      <w:r w:rsidRPr="00982562">
        <w:t>The median is around 0.32, and the upper range goes above 0.5 — suggesting a highly positive tone in discussions involving financial terms.</w:t>
      </w:r>
    </w:p>
    <w:p w14:paraId="0010D15F" w14:textId="597F76AB" w:rsidR="00982562" w:rsidRPr="00982562" w:rsidRDefault="00982562" w:rsidP="00982562">
      <w:pPr>
        <w:pStyle w:val="NoSpacing"/>
        <w:numPr>
          <w:ilvl w:val="0"/>
          <w:numId w:val="3"/>
        </w:numPr>
      </w:pPr>
      <w:r w:rsidRPr="00982562">
        <w:t xml:space="preserve">This could be due to strong performance, positive forecasts, or </w:t>
      </w:r>
      <w:r w:rsidR="00520E8A" w:rsidRPr="00982562">
        <w:t>favourable</w:t>
      </w:r>
      <w:r w:rsidRPr="00982562">
        <w:t xml:space="preserve"> macro/earnings news.</w:t>
      </w:r>
    </w:p>
    <w:p w14:paraId="5AD9BD5E" w14:textId="691EEFAC" w:rsidR="00982562" w:rsidRPr="00520E8A" w:rsidRDefault="00982562" w:rsidP="00982562">
      <w:pPr>
        <w:pStyle w:val="NoSpacing"/>
        <w:numPr>
          <w:ilvl w:val="0"/>
          <w:numId w:val="7"/>
        </w:numPr>
        <w:rPr>
          <w:b/>
          <w:bCs/>
        </w:rPr>
      </w:pPr>
      <w:r w:rsidRPr="00520E8A">
        <w:rPr>
          <w:b/>
          <w:bCs/>
        </w:rPr>
        <w:t>Other Quarters (Q1–Q3) Show Much Lower Polarity</w:t>
      </w:r>
    </w:p>
    <w:p w14:paraId="6E429384" w14:textId="77777777" w:rsidR="00982562" w:rsidRPr="00982562" w:rsidRDefault="00982562" w:rsidP="00982562">
      <w:pPr>
        <w:pStyle w:val="NoSpacing"/>
        <w:numPr>
          <w:ilvl w:val="0"/>
          <w:numId w:val="4"/>
        </w:numPr>
      </w:pPr>
      <w:r w:rsidRPr="00982562">
        <w:t>From 2022 to 2025, sentiment polarity in Q1–Q3 is relatively stable and consistently low (median values between 0.06–0.11).</w:t>
      </w:r>
    </w:p>
    <w:p w14:paraId="36C04293" w14:textId="77777777" w:rsidR="00982562" w:rsidRPr="00982562" w:rsidRDefault="00982562" w:rsidP="00982562">
      <w:pPr>
        <w:pStyle w:val="NoSpacing"/>
        <w:numPr>
          <w:ilvl w:val="0"/>
          <w:numId w:val="4"/>
        </w:numPr>
      </w:pPr>
      <w:r w:rsidRPr="00982562">
        <w:t>Little quarter-over-quarter variability, except in Q3 2022, which shows slightly elevated polarity and a broader range.</w:t>
      </w:r>
    </w:p>
    <w:p w14:paraId="50CA0034" w14:textId="180F8FAB" w:rsidR="00982562" w:rsidRPr="00520E8A" w:rsidRDefault="00982562" w:rsidP="00982562">
      <w:pPr>
        <w:pStyle w:val="NoSpacing"/>
        <w:numPr>
          <w:ilvl w:val="0"/>
          <w:numId w:val="7"/>
        </w:numPr>
        <w:rPr>
          <w:b/>
          <w:bCs/>
        </w:rPr>
      </w:pPr>
      <w:r w:rsidRPr="00520E8A">
        <w:rPr>
          <w:b/>
          <w:bCs/>
        </w:rPr>
        <w:t>Sentiment Over Years is Mostly Flat — Until Q4 2024</w:t>
      </w:r>
    </w:p>
    <w:p w14:paraId="52918C52" w14:textId="09F86BAB" w:rsidR="00982562" w:rsidRPr="00982562" w:rsidRDefault="00982562" w:rsidP="00982562">
      <w:pPr>
        <w:pStyle w:val="NoSpacing"/>
        <w:numPr>
          <w:ilvl w:val="0"/>
          <w:numId w:val="5"/>
        </w:numPr>
      </w:pPr>
      <w:r w:rsidRPr="00982562">
        <w:t>There is no major jump or drop across years in Q1–Q3.</w:t>
      </w:r>
      <w:r w:rsidR="00520E8A">
        <w:t xml:space="preserve"> </w:t>
      </w:r>
      <w:proofErr w:type="gramStart"/>
      <w:r w:rsidRPr="00982562">
        <w:t>Suggests</w:t>
      </w:r>
      <w:proofErr w:type="gramEnd"/>
      <w:r w:rsidRPr="00982562">
        <w:t xml:space="preserve"> that external sentiment triggers (macro trends, leadership tone, etc.) were quarter-specific rather than year-wide.</w:t>
      </w:r>
    </w:p>
    <w:p w14:paraId="08D7B1F4" w14:textId="1FC4B4AD" w:rsidR="00982562" w:rsidRPr="00982562" w:rsidRDefault="00982562" w:rsidP="00982562">
      <w:pPr>
        <w:pStyle w:val="NoSpacing"/>
        <w:rPr>
          <w:b/>
          <w:bCs/>
        </w:rPr>
      </w:pPr>
      <w:r w:rsidRPr="00982562">
        <w:rPr>
          <w:b/>
          <w:bCs/>
        </w:rPr>
        <w:t>Interpretation</w:t>
      </w:r>
      <w:r>
        <w:rPr>
          <w:b/>
          <w:bCs/>
        </w:rPr>
        <w:t>:</w:t>
      </w:r>
    </w:p>
    <w:p w14:paraId="141E1A9B" w14:textId="55D28713" w:rsidR="00982562" w:rsidRPr="00982562" w:rsidRDefault="00982562" w:rsidP="00982562">
      <w:pPr>
        <w:pStyle w:val="NoSpacing"/>
      </w:pPr>
      <w:r w:rsidRPr="00982562">
        <w:t>Investigate Q4 2024: This quarter is clearly an anomaly — worth checking what happened in earnings, management commentary, or economic conditions.</w:t>
      </w:r>
    </w:p>
    <w:p w14:paraId="36433ED0" w14:textId="0894CEE7" w:rsidR="00982562" w:rsidRPr="00982562" w:rsidRDefault="00982562" w:rsidP="00982562">
      <w:pPr>
        <w:pStyle w:val="NoSpacing"/>
      </w:pPr>
      <w:r w:rsidRPr="00982562">
        <w:t>Keyword-driven positivity: Since this is filtered for financial keywords, the spike in sentiment is likely financially relevant — not just casual optimism.</w:t>
      </w:r>
    </w:p>
    <w:p w14:paraId="05B73118" w14:textId="5B45B8C2" w:rsidR="00982562" w:rsidRPr="00982562" w:rsidRDefault="00982562" w:rsidP="00982562">
      <w:pPr>
        <w:pStyle w:val="NoSpacing"/>
      </w:pPr>
      <w:r w:rsidRPr="00982562">
        <w:t>Consider overlaying events or revenue trends to explain why the sentiment surged in that quarter.</w:t>
      </w:r>
    </w:p>
    <w:p w14:paraId="4EBB5050" w14:textId="2F13A599" w:rsidR="00982562" w:rsidRPr="00982562" w:rsidRDefault="00982562" w:rsidP="00982562">
      <w:pPr>
        <w:pStyle w:val="NoSpacing"/>
        <w:rPr>
          <w:b/>
          <w:bCs/>
        </w:rPr>
      </w:pPr>
      <w:r w:rsidRPr="00982562">
        <w:rPr>
          <w:b/>
          <w:bCs/>
        </w:rPr>
        <w:t>Suggestions:</w:t>
      </w:r>
    </w:p>
    <w:p w14:paraId="507B2597" w14:textId="7B6A10CE" w:rsidR="00982562" w:rsidRPr="00982562" w:rsidRDefault="00982562" w:rsidP="00982562">
      <w:pPr>
        <w:pStyle w:val="NoSpacing"/>
        <w:numPr>
          <w:ilvl w:val="0"/>
          <w:numId w:val="5"/>
        </w:numPr>
      </w:pPr>
      <w:r w:rsidRPr="00982562">
        <w:t>Investigate Q4 2024: This quarter is clearly an anomaly — worth checking what happened in earnings, management commentary, or economic conditions.</w:t>
      </w:r>
    </w:p>
    <w:p w14:paraId="73136738" w14:textId="2D2D30F0" w:rsidR="00982562" w:rsidRPr="00982562" w:rsidRDefault="00982562" w:rsidP="00982562">
      <w:pPr>
        <w:pStyle w:val="NoSpacing"/>
        <w:numPr>
          <w:ilvl w:val="0"/>
          <w:numId w:val="5"/>
        </w:numPr>
      </w:pPr>
      <w:r w:rsidRPr="00982562">
        <w:t>Keyword-driven positivity: Since this is filtered for financial keywords, the spike in sentiment is likely financially relevant — not just casual optimism.</w:t>
      </w:r>
    </w:p>
    <w:p w14:paraId="4A6BC0EF" w14:textId="77777777" w:rsidR="00982562" w:rsidRPr="00982562" w:rsidRDefault="00982562" w:rsidP="00982562">
      <w:pPr>
        <w:pStyle w:val="NoSpacing"/>
        <w:numPr>
          <w:ilvl w:val="0"/>
          <w:numId w:val="5"/>
        </w:numPr>
      </w:pPr>
      <w:r w:rsidRPr="00982562">
        <w:t>Consider overlaying events or revenue trends to explain why the sentiment surged in that quarter.</w:t>
      </w:r>
    </w:p>
    <w:p w14:paraId="7428F047" w14:textId="77777777" w:rsidR="00982562" w:rsidRPr="00982562" w:rsidRDefault="00982562" w:rsidP="00982562">
      <w:pPr>
        <w:pStyle w:val="NoSpacing"/>
      </w:pPr>
    </w:p>
    <w:p w14:paraId="215219C8" w14:textId="4AD3E2F6" w:rsidR="00982562" w:rsidRDefault="00982562" w:rsidP="00982562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D569EA" wp14:editId="464EAA57">
            <wp:extent cx="5731510" cy="2418715"/>
            <wp:effectExtent l="0" t="0" r="2540" b="635"/>
            <wp:docPr id="943825475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25475" name="Picture 1" descr="A graph with a line graph and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50E7" w14:textId="77777777" w:rsidR="00982562" w:rsidRDefault="00982562" w:rsidP="00982562">
      <w:pPr>
        <w:pStyle w:val="NoSpacing"/>
        <w:rPr>
          <w:b/>
          <w:bCs/>
        </w:rPr>
      </w:pPr>
    </w:p>
    <w:p w14:paraId="41516C0F" w14:textId="77777777" w:rsidR="00520E8A" w:rsidRDefault="00520E8A" w:rsidP="00982562">
      <w:pPr>
        <w:pStyle w:val="NoSpacing"/>
        <w:rPr>
          <w:b/>
          <w:bCs/>
        </w:rPr>
      </w:pPr>
    </w:p>
    <w:p w14:paraId="3131157D" w14:textId="7859CC3D" w:rsidR="00982562" w:rsidRDefault="00982562" w:rsidP="00982562">
      <w:pPr>
        <w:pStyle w:val="NoSpacing"/>
        <w:numPr>
          <w:ilvl w:val="0"/>
          <w:numId w:val="6"/>
        </w:numPr>
        <w:ind w:left="284" w:hanging="284"/>
        <w:rPr>
          <w:b/>
          <w:bCs/>
        </w:rPr>
      </w:pPr>
      <w:r w:rsidRPr="00982562">
        <w:rPr>
          <w:b/>
          <w:bCs/>
        </w:rPr>
        <w:t>N-gram Analysis:</w:t>
      </w:r>
    </w:p>
    <w:p w14:paraId="5D25A121" w14:textId="77777777" w:rsidR="00982562" w:rsidRPr="00982562" w:rsidRDefault="00982562" w:rsidP="00982562">
      <w:pPr>
        <w:pStyle w:val="NoSpacing"/>
        <w:rPr>
          <w:b/>
          <w:bCs/>
        </w:rPr>
      </w:pPr>
      <w:r w:rsidRPr="00982562">
        <w:rPr>
          <w:b/>
          <w:bCs/>
        </w:rPr>
        <w:t>Key Observations:</w:t>
      </w:r>
    </w:p>
    <w:p w14:paraId="22E5085F" w14:textId="0EFA5EBF" w:rsidR="00982562" w:rsidRPr="0063695A" w:rsidRDefault="00982562" w:rsidP="00520E8A">
      <w:pPr>
        <w:pStyle w:val="NoSpacing"/>
        <w:numPr>
          <w:ilvl w:val="0"/>
          <w:numId w:val="10"/>
        </w:numPr>
        <w:rPr>
          <w:b/>
          <w:bCs/>
        </w:rPr>
      </w:pPr>
      <w:r w:rsidRPr="0063695A">
        <w:rPr>
          <w:b/>
          <w:bCs/>
        </w:rPr>
        <w:t>Most Frequent Phrases:</w:t>
      </w:r>
    </w:p>
    <w:p w14:paraId="6D32DCE6" w14:textId="0498BC16" w:rsidR="00982562" w:rsidRDefault="00982562" w:rsidP="00982562">
      <w:pPr>
        <w:pStyle w:val="NoSpacing"/>
        <w:numPr>
          <w:ilvl w:val="0"/>
          <w:numId w:val="8"/>
        </w:numPr>
      </w:pPr>
      <w:r>
        <w:t>"</w:t>
      </w:r>
      <w:proofErr w:type="gramStart"/>
      <w:r>
        <w:t>year</w:t>
      </w:r>
      <w:proofErr w:type="gramEnd"/>
      <w:r>
        <w:t xml:space="preserve"> </w:t>
      </w:r>
      <w:proofErr w:type="spellStart"/>
      <w:r>
        <w:t>year</w:t>
      </w:r>
      <w:proofErr w:type="spellEnd"/>
      <w:r>
        <w:t xml:space="preserve">", "billion year", and "net income" are the top phrases. Like earlier charts, "year </w:t>
      </w:r>
      <w:proofErr w:type="spellStart"/>
      <w:r>
        <w:t>year</w:t>
      </w:r>
      <w:proofErr w:type="spellEnd"/>
      <w:r>
        <w:t>" is likely a text preprocessing artifact (should be filtered out).</w:t>
      </w:r>
    </w:p>
    <w:p w14:paraId="74DFD60C" w14:textId="59782124" w:rsidR="00982562" w:rsidRDefault="00982562" w:rsidP="00982562">
      <w:pPr>
        <w:pStyle w:val="NoSpacing"/>
        <w:numPr>
          <w:ilvl w:val="0"/>
          <w:numId w:val="8"/>
        </w:numPr>
      </w:pPr>
      <w:r>
        <w:t>"</w:t>
      </w:r>
      <w:proofErr w:type="gramStart"/>
      <w:r>
        <w:t>net</w:t>
      </w:r>
      <w:proofErr w:type="gramEnd"/>
      <w:r>
        <w:t xml:space="preserve"> income", "revenue billion", "reported net income", and "income billion" suggest core financial reporting terms dominate the narrative.</w:t>
      </w:r>
    </w:p>
    <w:p w14:paraId="4A2385B1" w14:textId="0DF492E0" w:rsidR="00982562" w:rsidRPr="00520E8A" w:rsidRDefault="00982562" w:rsidP="00520E8A">
      <w:pPr>
        <w:pStyle w:val="NoSpacing"/>
        <w:numPr>
          <w:ilvl w:val="0"/>
          <w:numId w:val="7"/>
        </w:numPr>
        <w:rPr>
          <w:b/>
          <w:bCs/>
        </w:rPr>
      </w:pPr>
      <w:r w:rsidRPr="00520E8A">
        <w:rPr>
          <w:b/>
          <w:bCs/>
        </w:rPr>
        <w:t>Performance Drivers:</w:t>
      </w:r>
    </w:p>
    <w:p w14:paraId="2DA4E686" w14:textId="77777777" w:rsidR="00520E8A" w:rsidRDefault="00982562" w:rsidP="00982562">
      <w:pPr>
        <w:pStyle w:val="NoSpacing"/>
        <w:numPr>
          <w:ilvl w:val="0"/>
          <w:numId w:val="11"/>
        </w:numPr>
      </w:pPr>
      <w:r>
        <w:t>"</w:t>
      </w:r>
      <w:proofErr w:type="gramStart"/>
      <w:r>
        <w:t>driven</w:t>
      </w:r>
      <w:proofErr w:type="gramEnd"/>
      <w:r>
        <w:t xml:space="preserve"> higher", "predominantly driven", "year driven" indicate a pattern of explaining performance changes, i.e., identifying what "drove" results.</w:t>
      </w:r>
    </w:p>
    <w:p w14:paraId="65DA4FC1" w14:textId="07B108A2" w:rsidR="00982562" w:rsidRDefault="00982562" w:rsidP="00520E8A">
      <w:pPr>
        <w:pStyle w:val="NoSpacing"/>
        <w:ind w:left="720"/>
      </w:pPr>
      <w:r>
        <w:t>This aligns with earnings call practices where companies explain positive/negative variances.</w:t>
      </w:r>
    </w:p>
    <w:p w14:paraId="7C2162D5" w14:textId="77777777" w:rsidR="00520E8A" w:rsidRDefault="00982562" w:rsidP="00982562">
      <w:pPr>
        <w:pStyle w:val="NoSpacing"/>
        <w:numPr>
          <w:ilvl w:val="0"/>
          <w:numId w:val="7"/>
        </w:numPr>
        <w:rPr>
          <w:b/>
          <w:bCs/>
        </w:rPr>
      </w:pPr>
      <w:r w:rsidRPr="00520E8A">
        <w:rPr>
          <w:b/>
          <w:bCs/>
        </w:rPr>
        <w:t>Financial Metrics Focus:</w:t>
      </w:r>
    </w:p>
    <w:p w14:paraId="40E6739A" w14:textId="1F5E154C" w:rsidR="00982562" w:rsidRPr="00520E8A" w:rsidRDefault="00982562" w:rsidP="00520E8A">
      <w:pPr>
        <w:pStyle w:val="NoSpacing"/>
        <w:ind w:left="720"/>
        <w:rPr>
          <w:b/>
          <w:bCs/>
        </w:rPr>
      </w:pPr>
      <w:r>
        <w:t>Frequent trigrams and bigrams like:</w:t>
      </w:r>
      <w:r w:rsidR="00520E8A">
        <w:t xml:space="preserve"> </w:t>
      </w:r>
      <w:r>
        <w:t>"reported net income"</w:t>
      </w:r>
      <w:r w:rsidR="00520E8A">
        <w:rPr>
          <w:b/>
          <w:bCs/>
        </w:rPr>
        <w:t xml:space="preserve">, </w:t>
      </w:r>
      <w:r>
        <w:t>"expenses billion"</w:t>
      </w:r>
      <w:r w:rsidR="00520E8A">
        <w:rPr>
          <w:b/>
          <w:bCs/>
        </w:rPr>
        <w:t xml:space="preserve">, </w:t>
      </w:r>
      <w:r>
        <w:t>"net charge"</w:t>
      </w:r>
      <w:r w:rsidR="00520E8A">
        <w:rPr>
          <w:b/>
          <w:bCs/>
        </w:rPr>
        <w:t xml:space="preserve">, </w:t>
      </w:r>
      <w:r>
        <w:t>"higher rates"</w:t>
      </w:r>
      <w:r w:rsidR="00520E8A">
        <w:rPr>
          <w:b/>
          <w:bCs/>
        </w:rPr>
        <w:t xml:space="preserve">, </w:t>
      </w:r>
      <w:r>
        <w:t>"partially offset"</w:t>
      </w:r>
      <w:r w:rsidR="00520E8A">
        <w:rPr>
          <w:b/>
          <w:bCs/>
        </w:rPr>
        <w:t xml:space="preserve"> </w:t>
      </w:r>
      <w:r>
        <w:t>...</w:t>
      </w:r>
      <w:r w:rsidR="00520E8A">
        <w:t xml:space="preserve"> </w:t>
      </w:r>
      <w:r>
        <w:t>suggest heavy focus on:</w:t>
      </w:r>
      <w:r w:rsidR="00520E8A">
        <w:rPr>
          <w:b/>
          <w:bCs/>
        </w:rPr>
        <w:t xml:space="preserve"> </w:t>
      </w:r>
      <w:r>
        <w:t>Revenue/expense structure,</w:t>
      </w:r>
      <w:r w:rsidR="00520E8A">
        <w:rPr>
          <w:b/>
          <w:bCs/>
        </w:rPr>
        <w:t xml:space="preserve"> </w:t>
      </w:r>
      <w:r>
        <w:t>Macroeconomic factors (e.g., rates),</w:t>
      </w:r>
      <w:r w:rsidR="00520E8A">
        <w:rPr>
          <w:b/>
          <w:bCs/>
        </w:rPr>
        <w:t xml:space="preserve"> </w:t>
      </w:r>
      <w:r>
        <w:t>Charges and one-offs</w:t>
      </w:r>
    </w:p>
    <w:p w14:paraId="6AB6FFDB" w14:textId="77777777" w:rsidR="00520E8A" w:rsidRDefault="00982562" w:rsidP="00982562">
      <w:pPr>
        <w:pStyle w:val="NoSpacing"/>
        <w:numPr>
          <w:ilvl w:val="0"/>
          <w:numId w:val="7"/>
        </w:numPr>
        <w:rPr>
          <w:b/>
          <w:bCs/>
        </w:rPr>
      </w:pPr>
      <w:r w:rsidRPr="00520E8A">
        <w:rPr>
          <w:b/>
          <w:bCs/>
        </w:rPr>
        <w:t>Temporal or Redundant Terms:</w:t>
      </w:r>
    </w:p>
    <w:p w14:paraId="056586A1" w14:textId="0E36E334" w:rsidR="00982562" w:rsidRPr="00520E8A" w:rsidRDefault="00982562" w:rsidP="00520E8A">
      <w:pPr>
        <w:pStyle w:val="NoSpacing"/>
        <w:ind w:left="720"/>
        <w:rPr>
          <w:b/>
          <w:bCs/>
        </w:rPr>
      </w:pPr>
      <w:r>
        <w:t>"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quarter</w:t>
      </w:r>
      <w:proofErr w:type="spellEnd"/>
      <w:r>
        <w:t xml:space="preserve">", "year </w:t>
      </w:r>
      <w:proofErr w:type="spellStart"/>
      <w:r>
        <w:t>year</w:t>
      </w:r>
      <w:proofErr w:type="spellEnd"/>
      <w:r>
        <w:t xml:space="preserve"> driven", "</w:t>
      </w:r>
      <w:proofErr w:type="gramStart"/>
      <w:r>
        <w:t>million year</w:t>
      </w:r>
      <w:proofErr w:type="gramEnd"/>
      <w:r>
        <w:t xml:space="preserve"> </w:t>
      </w:r>
      <w:proofErr w:type="spellStart"/>
      <w:r>
        <w:t>year</w:t>
      </w:r>
      <w:proofErr w:type="spellEnd"/>
      <w:r>
        <w:t>" likely require cleaning — they don’t add analytical value and may result from repetitive phrasing or parsing issues.</w:t>
      </w:r>
    </w:p>
    <w:p w14:paraId="12DBCC72" w14:textId="100B80A0" w:rsidR="00982562" w:rsidRPr="00520E8A" w:rsidRDefault="00982562" w:rsidP="00982562">
      <w:pPr>
        <w:pStyle w:val="NoSpacing"/>
        <w:rPr>
          <w:b/>
          <w:bCs/>
        </w:rPr>
      </w:pPr>
      <w:r w:rsidRPr="00520E8A">
        <w:rPr>
          <w:b/>
          <w:bCs/>
        </w:rPr>
        <w:t>Interpretation</w:t>
      </w:r>
      <w:r w:rsidR="00520E8A" w:rsidRPr="00520E8A">
        <w:rPr>
          <w:b/>
          <w:bCs/>
        </w:rPr>
        <w:t>:</w:t>
      </w:r>
    </w:p>
    <w:p w14:paraId="2A9A7C96" w14:textId="24523FA9" w:rsidR="00982562" w:rsidRDefault="00982562" w:rsidP="00982562">
      <w:pPr>
        <w:pStyle w:val="NoSpacing"/>
      </w:pPr>
      <w:r>
        <w:t>The discussion content is metrics-heavy and explanation-oriented.</w:t>
      </w:r>
    </w:p>
    <w:p w14:paraId="370E1348" w14:textId="0260FF74" w:rsidR="00982562" w:rsidRDefault="00982562" w:rsidP="00982562">
      <w:pPr>
        <w:pStyle w:val="NoSpacing"/>
      </w:pPr>
      <w:r>
        <w:t>Sentiment framing likely revolves around performance justifications:</w:t>
      </w:r>
    </w:p>
    <w:p w14:paraId="3D298BAD" w14:textId="5E34BC70" w:rsidR="00982562" w:rsidRDefault="00982562" w:rsidP="00982562">
      <w:pPr>
        <w:pStyle w:val="NoSpacing"/>
      </w:pPr>
      <w:r>
        <w:t>“</w:t>
      </w:r>
      <w:proofErr w:type="gramStart"/>
      <w:r>
        <w:t>driven</w:t>
      </w:r>
      <w:proofErr w:type="gramEnd"/>
      <w:r>
        <w:t xml:space="preserve"> higher”, “partially offset”, “predominantly driven”</w:t>
      </w:r>
    </w:p>
    <w:p w14:paraId="6653D9D4" w14:textId="7DE03A4B" w:rsidR="00982562" w:rsidRDefault="00982562" w:rsidP="00982562">
      <w:pPr>
        <w:pStyle w:val="NoSpacing"/>
      </w:pPr>
      <w:r>
        <w:t>Pairs well with sentiment analysis or summarization focused on drivers of performance.</w:t>
      </w:r>
    </w:p>
    <w:p w14:paraId="056F565C" w14:textId="77777777" w:rsidR="00520E8A" w:rsidRDefault="00520E8A" w:rsidP="00982562">
      <w:pPr>
        <w:pStyle w:val="NoSpacing"/>
      </w:pPr>
    </w:p>
    <w:p w14:paraId="02E27DF2" w14:textId="1A6563DC" w:rsidR="00520E8A" w:rsidRDefault="00520E8A" w:rsidP="00982562">
      <w:pPr>
        <w:pStyle w:val="NoSpacing"/>
      </w:pPr>
      <w:r>
        <w:rPr>
          <w:noProof/>
        </w:rPr>
        <w:lastRenderedPageBreak/>
        <w:drawing>
          <wp:inline distT="0" distB="0" distL="0" distR="0" wp14:anchorId="04081BE2" wp14:editId="3CFCFB2C">
            <wp:extent cx="5731510" cy="2843530"/>
            <wp:effectExtent l="0" t="0" r="2540" b="0"/>
            <wp:docPr id="2012974121" name="Picture 2" descr="A graph with a number of blue and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4121" name="Picture 2" descr="A graph with a number of blue and gray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8E6A" w14:textId="77777777" w:rsidR="00520E8A" w:rsidRDefault="00520E8A" w:rsidP="00982562">
      <w:pPr>
        <w:pStyle w:val="NoSpacing"/>
      </w:pPr>
    </w:p>
    <w:p w14:paraId="63334C20" w14:textId="425F36F7" w:rsidR="00520E8A" w:rsidRDefault="00520E8A" w:rsidP="0063695A">
      <w:pPr>
        <w:pStyle w:val="NoSpacing"/>
        <w:numPr>
          <w:ilvl w:val="0"/>
          <w:numId w:val="6"/>
        </w:numPr>
        <w:ind w:left="284" w:hanging="284"/>
        <w:rPr>
          <w:b/>
          <w:bCs/>
        </w:rPr>
      </w:pPr>
      <w:r w:rsidRPr="00520E8A">
        <w:rPr>
          <w:b/>
          <w:bCs/>
        </w:rPr>
        <w:t>Sentiment and Stock Change Correlation:</w:t>
      </w:r>
    </w:p>
    <w:p w14:paraId="273D0FDE" w14:textId="0D4352D2" w:rsidR="00520E8A" w:rsidRDefault="00520E8A" w:rsidP="00520E8A">
      <w:pPr>
        <w:pStyle w:val="NoSpacing"/>
      </w:pPr>
      <w:r>
        <w:t>Plot</w:t>
      </w:r>
      <w:r>
        <w:t xml:space="preserve"> shows the average sentiment polarity from Goldman Sachs quarterly transcripts, filtered for financial keywords.</w:t>
      </w:r>
    </w:p>
    <w:p w14:paraId="651185E2" w14:textId="77777777" w:rsidR="00520E8A" w:rsidRDefault="00520E8A" w:rsidP="00520E8A">
      <w:pPr>
        <w:pStyle w:val="NoSpacing"/>
      </w:pPr>
    </w:p>
    <w:p w14:paraId="6C4A27CF" w14:textId="77777777" w:rsidR="00520E8A" w:rsidRPr="0063695A" w:rsidRDefault="00520E8A" w:rsidP="00520E8A">
      <w:pPr>
        <w:pStyle w:val="NoSpacing"/>
        <w:rPr>
          <w:b/>
          <w:bCs/>
        </w:rPr>
      </w:pPr>
      <w:r w:rsidRPr="0063695A">
        <w:rPr>
          <w:b/>
          <w:bCs/>
        </w:rPr>
        <w:t>General Correlation:</w:t>
      </w:r>
    </w:p>
    <w:p w14:paraId="7052859B" w14:textId="77777777" w:rsidR="0063695A" w:rsidRDefault="00520E8A" w:rsidP="0063695A">
      <w:pPr>
        <w:pStyle w:val="NoSpacing"/>
      </w:pPr>
      <w:r>
        <w:t>There appears to be a loose positive relationship: quarters with higher sentiment polarity tend to correspond with positive stock price changes.</w:t>
      </w:r>
    </w:p>
    <w:p w14:paraId="441583AA" w14:textId="3860B026" w:rsidR="00520E8A" w:rsidRDefault="00520E8A" w:rsidP="0063695A">
      <w:pPr>
        <w:pStyle w:val="NoSpacing"/>
      </w:pPr>
      <w:r>
        <w:t>However, this relationship is not consistent, suggesting other factors (e.g., macroeconomic conditions, guidance, market expectations) also play strong roles.</w:t>
      </w:r>
    </w:p>
    <w:p w14:paraId="0868E222" w14:textId="77777777" w:rsidR="00520E8A" w:rsidRDefault="00520E8A" w:rsidP="00520E8A">
      <w:pPr>
        <w:pStyle w:val="NoSpacing"/>
      </w:pPr>
    </w:p>
    <w:p w14:paraId="3AB7EFDE" w14:textId="77777777" w:rsidR="00520E8A" w:rsidRPr="0063695A" w:rsidRDefault="00520E8A" w:rsidP="00520E8A">
      <w:pPr>
        <w:pStyle w:val="NoSpacing"/>
        <w:rPr>
          <w:b/>
          <w:bCs/>
        </w:rPr>
      </w:pPr>
      <w:r w:rsidRPr="0063695A">
        <w:rPr>
          <w:b/>
          <w:bCs/>
        </w:rPr>
        <w:t>Notable Quarters:</w:t>
      </w:r>
    </w:p>
    <w:p w14:paraId="46232485" w14:textId="77777777" w:rsidR="0063695A" w:rsidRPr="0063695A" w:rsidRDefault="00520E8A" w:rsidP="00520E8A">
      <w:pPr>
        <w:pStyle w:val="NoSpacing"/>
        <w:numPr>
          <w:ilvl w:val="0"/>
          <w:numId w:val="7"/>
        </w:numPr>
        <w:rPr>
          <w:b/>
          <w:bCs/>
        </w:rPr>
      </w:pPr>
      <w:r w:rsidRPr="0063695A">
        <w:rPr>
          <w:b/>
          <w:bCs/>
        </w:rPr>
        <w:t>2022 Q4:</w:t>
      </w:r>
    </w:p>
    <w:p w14:paraId="321E2CE7" w14:textId="77777777" w:rsidR="0063695A" w:rsidRDefault="00520E8A" w:rsidP="00520E8A">
      <w:pPr>
        <w:pStyle w:val="NoSpacing"/>
        <w:numPr>
          <w:ilvl w:val="0"/>
          <w:numId w:val="12"/>
        </w:numPr>
      </w:pPr>
      <w:r>
        <w:t>Sentiment: Moderate (~0.085).</w:t>
      </w:r>
    </w:p>
    <w:p w14:paraId="3CAD8229" w14:textId="77777777" w:rsidR="0063695A" w:rsidRDefault="00520E8A" w:rsidP="00520E8A">
      <w:pPr>
        <w:pStyle w:val="NoSpacing"/>
        <w:numPr>
          <w:ilvl w:val="0"/>
          <w:numId w:val="12"/>
        </w:numPr>
      </w:pPr>
      <w:r>
        <w:t>Stock Price Change: Spiked dramatically to nearly +30% — possibly due to external surprise factors.</w:t>
      </w:r>
    </w:p>
    <w:p w14:paraId="6CB16430" w14:textId="77777777" w:rsidR="0063695A" w:rsidRPr="0063695A" w:rsidRDefault="00520E8A" w:rsidP="00520E8A">
      <w:pPr>
        <w:pStyle w:val="NoSpacing"/>
        <w:numPr>
          <w:ilvl w:val="0"/>
          <w:numId w:val="13"/>
        </w:numPr>
        <w:rPr>
          <w:b/>
          <w:bCs/>
        </w:rPr>
      </w:pPr>
      <w:r w:rsidRPr="0063695A">
        <w:rPr>
          <w:b/>
          <w:bCs/>
        </w:rPr>
        <w:t>2023 Q4:</w:t>
      </w:r>
    </w:p>
    <w:p w14:paraId="15D91453" w14:textId="77777777" w:rsidR="0063695A" w:rsidRDefault="00520E8A" w:rsidP="00520E8A">
      <w:pPr>
        <w:pStyle w:val="NoSpacing"/>
        <w:numPr>
          <w:ilvl w:val="0"/>
          <w:numId w:val="14"/>
        </w:numPr>
      </w:pPr>
      <w:r>
        <w:t>Highest sentiment (0.12) and strong positive stock response (18%) — strong alignment here.</w:t>
      </w:r>
    </w:p>
    <w:p w14:paraId="11256254" w14:textId="77777777" w:rsidR="0063695A" w:rsidRPr="0063695A" w:rsidRDefault="00520E8A" w:rsidP="00520E8A">
      <w:pPr>
        <w:pStyle w:val="NoSpacing"/>
        <w:numPr>
          <w:ilvl w:val="0"/>
          <w:numId w:val="15"/>
        </w:numPr>
        <w:rPr>
          <w:b/>
          <w:bCs/>
        </w:rPr>
      </w:pPr>
      <w:r w:rsidRPr="0063695A">
        <w:rPr>
          <w:b/>
          <w:bCs/>
        </w:rPr>
        <w:t>2022 Q2:</w:t>
      </w:r>
    </w:p>
    <w:p w14:paraId="79C057E3" w14:textId="77777777" w:rsidR="0063695A" w:rsidRDefault="00520E8A" w:rsidP="00520E8A">
      <w:pPr>
        <w:pStyle w:val="NoSpacing"/>
        <w:numPr>
          <w:ilvl w:val="0"/>
          <w:numId w:val="16"/>
        </w:numPr>
      </w:pPr>
      <w:r>
        <w:t>Low sentiment (0.06) and negative stock movement ( -10%) — a clearer match.</w:t>
      </w:r>
    </w:p>
    <w:p w14:paraId="64688072" w14:textId="77777777" w:rsidR="0063695A" w:rsidRPr="0063695A" w:rsidRDefault="00520E8A" w:rsidP="00520E8A">
      <w:pPr>
        <w:pStyle w:val="NoSpacing"/>
        <w:numPr>
          <w:ilvl w:val="0"/>
          <w:numId w:val="17"/>
        </w:numPr>
        <w:rPr>
          <w:b/>
          <w:bCs/>
        </w:rPr>
      </w:pPr>
      <w:r w:rsidRPr="0063695A">
        <w:rPr>
          <w:b/>
          <w:bCs/>
        </w:rPr>
        <w:t>2024 Q1 &amp; Q2:</w:t>
      </w:r>
    </w:p>
    <w:p w14:paraId="003630D1" w14:textId="77777777" w:rsidR="0063695A" w:rsidRDefault="00520E8A" w:rsidP="00520E8A">
      <w:pPr>
        <w:pStyle w:val="NoSpacing"/>
        <w:numPr>
          <w:ilvl w:val="0"/>
          <w:numId w:val="18"/>
        </w:numPr>
      </w:pPr>
      <w:r>
        <w:t>Moderate to high sentiment, yet muted stock response — indicates possible expectation mismatch or neutral market reaction.</w:t>
      </w:r>
    </w:p>
    <w:p w14:paraId="5D691EFC" w14:textId="77777777" w:rsidR="0063695A" w:rsidRPr="0063695A" w:rsidRDefault="00520E8A" w:rsidP="00520E8A">
      <w:pPr>
        <w:pStyle w:val="NoSpacing"/>
        <w:numPr>
          <w:ilvl w:val="0"/>
          <w:numId w:val="19"/>
        </w:numPr>
        <w:rPr>
          <w:b/>
          <w:bCs/>
        </w:rPr>
      </w:pPr>
      <w:r w:rsidRPr="0063695A">
        <w:rPr>
          <w:b/>
          <w:bCs/>
        </w:rPr>
        <w:t>Recent Period (2024–2025):</w:t>
      </w:r>
    </w:p>
    <w:p w14:paraId="0F1E954A" w14:textId="485E1C1B" w:rsidR="00520E8A" w:rsidRDefault="00520E8A" w:rsidP="0063695A">
      <w:pPr>
        <w:pStyle w:val="NoSpacing"/>
        <w:numPr>
          <w:ilvl w:val="0"/>
          <w:numId w:val="20"/>
        </w:numPr>
      </w:pPr>
      <w:r>
        <w:t>Sentiment is relatively stable, but stock price changes fluctuate, with a dip in 2025 Q1 despite decent sentiment — possibly reflecting uncertainty or conservative guidance.</w:t>
      </w:r>
    </w:p>
    <w:p w14:paraId="2351F7CC" w14:textId="77777777" w:rsidR="00520E8A" w:rsidRDefault="00520E8A" w:rsidP="00520E8A">
      <w:pPr>
        <w:pStyle w:val="NoSpacing"/>
      </w:pPr>
    </w:p>
    <w:p w14:paraId="47F758BA" w14:textId="77777777" w:rsidR="0063695A" w:rsidRDefault="0063695A" w:rsidP="00520E8A">
      <w:pPr>
        <w:pStyle w:val="NoSpacing"/>
      </w:pPr>
    </w:p>
    <w:p w14:paraId="4C753931" w14:textId="77777777" w:rsidR="0063695A" w:rsidRDefault="0063695A" w:rsidP="00520E8A">
      <w:pPr>
        <w:pStyle w:val="NoSpacing"/>
      </w:pPr>
    </w:p>
    <w:p w14:paraId="0B3BEF1D" w14:textId="77777777" w:rsidR="0063695A" w:rsidRDefault="0063695A" w:rsidP="00520E8A">
      <w:pPr>
        <w:pStyle w:val="NoSpacing"/>
      </w:pPr>
    </w:p>
    <w:p w14:paraId="5DB2E34A" w14:textId="77777777" w:rsidR="0063695A" w:rsidRDefault="0063695A" w:rsidP="00520E8A">
      <w:pPr>
        <w:pStyle w:val="NoSpacing"/>
      </w:pPr>
    </w:p>
    <w:p w14:paraId="048547D8" w14:textId="77777777" w:rsidR="0063695A" w:rsidRDefault="0063695A" w:rsidP="00520E8A">
      <w:pPr>
        <w:pStyle w:val="NoSpacing"/>
      </w:pPr>
    </w:p>
    <w:p w14:paraId="14B05267" w14:textId="77777777" w:rsidR="0063695A" w:rsidRDefault="0063695A" w:rsidP="00520E8A">
      <w:pPr>
        <w:pStyle w:val="NoSpacing"/>
      </w:pPr>
    </w:p>
    <w:p w14:paraId="1A9C24A1" w14:textId="77777777" w:rsidR="00520E8A" w:rsidRPr="0063695A" w:rsidRDefault="00520E8A" w:rsidP="00520E8A">
      <w:pPr>
        <w:pStyle w:val="NoSpacing"/>
        <w:rPr>
          <w:b/>
          <w:bCs/>
        </w:rPr>
      </w:pPr>
      <w:r w:rsidRPr="0063695A">
        <w:rPr>
          <w:b/>
          <w:bCs/>
        </w:rPr>
        <w:lastRenderedPageBreak/>
        <w:t>Interpretation:</w:t>
      </w:r>
    </w:p>
    <w:p w14:paraId="76F6B60E" w14:textId="23B0D92A" w:rsidR="00520E8A" w:rsidRDefault="00520E8A" w:rsidP="00520E8A">
      <w:pPr>
        <w:pStyle w:val="NoSpacing"/>
      </w:pPr>
      <w:r>
        <w:t>Sentiment polarity from management discussions can signal directional cues but isn't a standalone predictor.</w:t>
      </w:r>
    </w:p>
    <w:p w14:paraId="2627549C" w14:textId="77777777" w:rsidR="0063695A" w:rsidRDefault="00520E8A" w:rsidP="00520E8A">
      <w:pPr>
        <w:pStyle w:val="NoSpacing"/>
      </w:pPr>
      <w:r>
        <w:t>Market reaction is partially sentiment-driven, but modulated by:</w:t>
      </w:r>
    </w:p>
    <w:p w14:paraId="70DE1198" w14:textId="523C6B6F" w:rsidR="00520E8A" w:rsidRDefault="00520E8A" w:rsidP="0063695A">
      <w:pPr>
        <w:pStyle w:val="NoSpacing"/>
        <w:numPr>
          <w:ilvl w:val="0"/>
          <w:numId w:val="19"/>
        </w:numPr>
      </w:pPr>
      <w:r>
        <w:t>Expectations vs. actuals</w:t>
      </w:r>
      <w:r w:rsidR="0063695A">
        <w:t>,</w:t>
      </w:r>
    </w:p>
    <w:p w14:paraId="28C3C9FF" w14:textId="77777777" w:rsidR="0063695A" w:rsidRDefault="00520E8A" w:rsidP="00520E8A">
      <w:pPr>
        <w:pStyle w:val="NoSpacing"/>
        <w:numPr>
          <w:ilvl w:val="0"/>
          <w:numId w:val="19"/>
        </w:numPr>
      </w:pPr>
      <w:r>
        <w:t>Broader economic news (interest rates, inflation, etc.),</w:t>
      </w:r>
    </w:p>
    <w:p w14:paraId="67B8E1F7" w14:textId="5C725215" w:rsidR="00520E8A" w:rsidRDefault="00520E8A" w:rsidP="00520E8A">
      <w:pPr>
        <w:pStyle w:val="NoSpacing"/>
        <w:numPr>
          <w:ilvl w:val="0"/>
          <w:numId w:val="19"/>
        </w:numPr>
      </w:pPr>
      <w:r>
        <w:t xml:space="preserve">Market sentiment toward financial </w:t>
      </w:r>
      <w:proofErr w:type="gramStart"/>
      <w:r>
        <w:t>sector as a whole</w:t>
      </w:r>
      <w:proofErr w:type="gramEnd"/>
      <w:r>
        <w:t>.</w:t>
      </w:r>
    </w:p>
    <w:p w14:paraId="223589F1" w14:textId="77777777" w:rsidR="00520E8A" w:rsidRDefault="00520E8A" w:rsidP="00520E8A">
      <w:pPr>
        <w:pStyle w:val="NoSpacing"/>
      </w:pPr>
    </w:p>
    <w:p w14:paraId="56A97D6F" w14:textId="406EAD33" w:rsidR="00520E8A" w:rsidRDefault="0063695A" w:rsidP="00520E8A">
      <w:pPr>
        <w:pStyle w:val="NoSpacing"/>
      </w:pPr>
      <w:r>
        <w:rPr>
          <w:noProof/>
        </w:rPr>
        <w:drawing>
          <wp:inline distT="0" distB="0" distL="0" distR="0" wp14:anchorId="039560B2" wp14:editId="70E2009C">
            <wp:extent cx="5731510" cy="2419985"/>
            <wp:effectExtent l="0" t="0" r="2540" b="0"/>
            <wp:docPr id="774796651" name="Picture 3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6651" name="Picture 3" descr="A graph with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96FC" w14:textId="77777777" w:rsidR="00520E8A" w:rsidRPr="0063695A" w:rsidRDefault="00520E8A" w:rsidP="00520E8A">
      <w:pPr>
        <w:pStyle w:val="NoSpacing"/>
        <w:rPr>
          <w:sz w:val="18"/>
          <w:szCs w:val="18"/>
        </w:rPr>
      </w:pPr>
      <w:r w:rsidRPr="0063695A">
        <w:rPr>
          <w:sz w:val="18"/>
          <w:szCs w:val="18"/>
        </w:rPr>
        <w:t>Scale: Ranges from 0 to ~0.12 (higher values mean more positive sentiment).</w:t>
      </w:r>
    </w:p>
    <w:p w14:paraId="19DC0BF4" w14:textId="77777777" w:rsidR="00520E8A" w:rsidRPr="0063695A" w:rsidRDefault="00520E8A" w:rsidP="00520E8A">
      <w:pPr>
        <w:pStyle w:val="NoSpacing"/>
        <w:rPr>
          <w:sz w:val="18"/>
          <w:szCs w:val="18"/>
        </w:rPr>
      </w:pPr>
      <w:r w:rsidRPr="0063695A">
        <w:rPr>
          <w:sz w:val="18"/>
          <w:szCs w:val="18"/>
        </w:rPr>
        <w:t>Line Plot (Right Y-Axis): Stock Price Change (%) Represents quarter-over-quarter percentage change in Goldman Sachs (GS) stock price.</w:t>
      </w:r>
    </w:p>
    <w:p w14:paraId="29C35148" w14:textId="77777777" w:rsidR="00520E8A" w:rsidRPr="0063695A" w:rsidRDefault="00520E8A" w:rsidP="00520E8A">
      <w:pPr>
        <w:pStyle w:val="NoSpacing"/>
        <w:rPr>
          <w:sz w:val="18"/>
          <w:szCs w:val="18"/>
        </w:rPr>
      </w:pPr>
      <w:r w:rsidRPr="0063695A">
        <w:rPr>
          <w:sz w:val="18"/>
          <w:szCs w:val="18"/>
        </w:rPr>
        <w:t>Scale: From ~–10% to 30% change.</w:t>
      </w:r>
    </w:p>
    <w:p w14:paraId="4A818B99" w14:textId="77777777" w:rsidR="0063695A" w:rsidRDefault="0063695A" w:rsidP="00520E8A">
      <w:pPr>
        <w:pStyle w:val="NoSpacing"/>
      </w:pPr>
    </w:p>
    <w:p w14:paraId="60C868AD" w14:textId="77777777" w:rsidR="00520E8A" w:rsidRDefault="00520E8A" w:rsidP="00520E8A">
      <w:pPr>
        <w:pStyle w:val="NoSpacing"/>
      </w:pPr>
    </w:p>
    <w:p w14:paraId="1ABB49D3" w14:textId="77777777" w:rsidR="0063695A" w:rsidRDefault="0063695A" w:rsidP="00520E8A">
      <w:pPr>
        <w:pStyle w:val="NoSpacing"/>
      </w:pPr>
    </w:p>
    <w:p w14:paraId="4814F57A" w14:textId="77777777" w:rsidR="0063695A" w:rsidRDefault="0063695A" w:rsidP="00520E8A">
      <w:pPr>
        <w:pStyle w:val="NoSpacing"/>
      </w:pPr>
    </w:p>
    <w:p w14:paraId="72D775A3" w14:textId="77777777" w:rsidR="0063695A" w:rsidRDefault="0063695A" w:rsidP="00520E8A">
      <w:pPr>
        <w:pStyle w:val="NoSpacing"/>
      </w:pPr>
    </w:p>
    <w:p w14:paraId="0E18E911" w14:textId="77777777" w:rsidR="0063695A" w:rsidRDefault="0063695A" w:rsidP="00520E8A">
      <w:pPr>
        <w:pStyle w:val="NoSpacing"/>
      </w:pPr>
    </w:p>
    <w:p w14:paraId="7FB1CB6E" w14:textId="77777777" w:rsidR="0063695A" w:rsidRDefault="0063695A" w:rsidP="00520E8A">
      <w:pPr>
        <w:pStyle w:val="NoSpacing"/>
      </w:pPr>
    </w:p>
    <w:p w14:paraId="51073C3A" w14:textId="77777777" w:rsidR="0063695A" w:rsidRDefault="0063695A" w:rsidP="00520E8A">
      <w:pPr>
        <w:pStyle w:val="NoSpacing"/>
      </w:pPr>
    </w:p>
    <w:p w14:paraId="5ED7D60C" w14:textId="77777777" w:rsidR="0063695A" w:rsidRDefault="0063695A" w:rsidP="00520E8A">
      <w:pPr>
        <w:pStyle w:val="NoSpacing"/>
      </w:pPr>
    </w:p>
    <w:p w14:paraId="190C4CD8" w14:textId="77777777" w:rsidR="0063695A" w:rsidRDefault="0063695A" w:rsidP="00520E8A">
      <w:pPr>
        <w:pStyle w:val="NoSpacing"/>
      </w:pPr>
    </w:p>
    <w:p w14:paraId="215226A0" w14:textId="77777777" w:rsidR="0063695A" w:rsidRDefault="0063695A" w:rsidP="00520E8A">
      <w:pPr>
        <w:pStyle w:val="NoSpacing"/>
      </w:pPr>
    </w:p>
    <w:p w14:paraId="17447FFC" w14:textId="77777777" w:rsidR="0063695A" w:rsidRDefault="0063695A" w:rsidP="00520E8A">
      <w:pPr>
        <w:pStyle w:val="NoSpacing"/>
      </w:pPr>
    </w:p>
    <w:p w14:paraId="13217823" w14:textId="77777777" w:rsidR="0063695A" w:rsidRDefault="0063695A" w:rsidP="00520E8A">
      <w:pPr>
        <w:pStyle w:val="NoSpacing"/>
      </w:pPr>
    </w:p>
    <w:p w14:paraId="5EF3D97F" w14:textId="77777777" w:rsidR="0063695A" w:rsidRDefault="0063695A" w:rsidP="00520E8A">
      <w:pPr>
        <w:pStyle w:val="NoSpacing"/>
      </w:pPr>
    </w:p>
    <w:p w14:paraId="2D2AC2BE" w14:textId="77777777" w:rsidR="0063695A" w:rsidRDefault="0063695A" w:rsidP="00520E8A">
      <w:pPr>
        <w:pStyle w:val="NoSpacing"/>
      </w:pPr>
    </w:p>
    <w:p w14:paraId="606E345D" w14:textId="77777777" w:rsidR="0063695A" w:rsidRDefault="0063695A" w:rsidP="00520E8A">
      <w:pPr>
        <w:pStyle w:val="NoSpacing"/>
      </w:pPr>
    </w:p>
    <w:p w14:paraId="4C7586BC" w14:textId="77777777" w:rsidR="0063695A" w:rsidRDefault="0063695A" w:rsidP="00520E8A">
      <w:pPr>
        <w:pStyle w:val="NoSpacing"/>
      </w:pPr>
    </w:p>
    <w:p w14:paraId="5986CC8E" w14:textId="77777777" w:rsidR="0063695A" w:rsidRDefault="0063695A" w:rsidP="00520E8A">
      <w:pPr>
        <w:pStyle w:val="NoSpacing"/>
      </w:pPr>
    </w:p>
    <w:p w14:paraId="0A4B96BD" w14:textId="77777777" w:rsidR="0063695A" w:rsidRDefault="0063695A" w:rsidP="00520E8A">
      <w:pPr>
        <w:pStyle w:val="NoSpacing"/>
      </w:pPr>
    </w:p>
    <w:p w14:paraId="5F04EC97" w14:textId="77777777" w:rsidR="0063695A" w:rsidRDefault="0063695A" w:rsidP="00520E8A">
      <w:pPr>
        <w:pStyle w:val="NoSpacing"/>
      </w:pPr>
    </w:p>
    <w:p w14:paraId="0D87CD99" w14:textId="77777777" w:rsidR="0063695A" w:rsidRDefault="0063695A" w:rsidP="00520E8A">
      <w:pPr>
        <w:pStyle w:val="NoSpacing"/>
      </w:pPr>
    </w:p>
    <w:p w14:paraId="14641432" w14:textId="77777777" w:rsidR="0063695A" w:rsidRDefault="0063695A" w:rsidP="00520E8A">
      <w:pPr>
        <w:pStyle w:val="NoSpacing"/>
      </w:pPr>
    </w:p>
    <w:p w14:paraId="43101B21" w14:textId="77777777" w:rsidR="0063695A" w:rsidRDefault="0063695A" w:rsidP="00520E8A">
      <w:pPr>
        <w:pStyle w:val="NoSpacing"/>
      </w:pPr>
    </w:p>
    <w:p w14:paraId="43E9993E" w14:textId="77777777" w:rsidR="0063695A" w:rsidRDefault="0063695A" w:rsidP="00520E8A">
      <w:pPr>
        <w:pStyle w:val="NoSpacing"/>
      </w:pPr>
    </w:p>
    <w:p w14:paraId="295AC7CA" w14:textId="77777777" w:rsidR="0063695A" w:rsidRDefault="0063695A" w:rsidP="00520E8A">
      <w:pPr>
        <w:pStyle w:val="NoSpacing"/>
      </w:pPr>
    </w:p>
    <w:p w14:paraId="3258B33C" w14:textId="77777777" w:rsidR="00A2371A" w:rsidRDefault="00A2371A" w:rsidP="0063695A">
      <w:pPr>
        <w:pStyle w:val="NoSpacing"/>
        <w:rPr>
          <w:b/>
          <w:bCs/>
        </w:rPr>
      </w:pPr>
    </w:p>
    <w:p w14:paraId="0D5ED6A5" w14:textId="20E2A821" w:rsidR="0063695A" w:rsidRDefault="0063695A" w:rsidP="00D50351">
      <w:pPr>
        <w:pStyle w:val="Heading1"/>
      </w:pPr>
      <w:r w:rsidRPr="0063695A">
        <w:lastRenderedPageBreak/>
        <w:t>Goldman Sachs &amp; Co.:</w:t>
      </w:r>
    </w:p>
    <w:p w14:paraId="00EBCF14" w14:textId="77777777" w:rsidR="0063695A" w:rsidRPr="00982562" w:rsidRDefault="0063695A" w:rsidP="0063695A">
      <w:pPr>
        <w:pStyle w:val="NoSpacing"/>
        <w:rPr>
          <w:b/>
          <w:bCs/>
        </w:rPr>
      </w:pPr>
    </w:p>
    <w:p w14:paraId="0A5D1DA2" w14:textId="77777777" w:rsidR="0063695A" w:rsidRDefault="0063695A" w:rsidP="0063695A">
      <w:pPr>
        <w:pStyle w:val="NoSpacing"/>
        <w:numPr>
          <w:ilvl w:val="0"/>
          <w:numId w:val="21"/>
        </w:numPr>
        <w:ind w:left="426" w:hanging="426"/>
        <w:rPr>
          <w:b/>
          <w:bCs/>
        </w:rPr>
      </w:pPr>
      <w:r w:rsidRPr="00982562">
        <w:rPr>
          <w:b/>
          <w:bCs/>
        </w:rPr>
        <w:t>Content Length Distribution by Quarter and Speaker:</w:t>
      </w:r>
    </w:p>
    <w:p w14:paraId="5FA8FC40" w14:textId="75DC67D9" w:rsidR="0063695A" w:rsidRDefault="0063695A" w:rsidP="0063695A">
      <w:pPr>
        <w:pStyle w:val="NoSpacing"/>
        <w:numPr>
          <w:ilvl w:val="0"/>
          <w:numId w:val="20"/>
        </w:numPr>
      </w:pPr>
      <w:r>
        <w:t>Three key executives</w:t>
      </w:r>
      <w:r w:rsidR="00994346">
        <w:t xml:space="preserve"> - </w:t>
      </w:r>
      <w:r>
        <w:t xml:space="preserve">David Solomon, Denis Coleman, and Carey </w:t>
      </w:r>
      <w:proofErr w:type="spellStart"/>
      <w:r>
        <w:t>Halio</w:t>
      </w:r>
      <w:proofErr w:type="spellEnd"/>
      <w:r w:rsidR="00994346">
        <w:t xml:space="preserve"> - </w:t>
      </w:r>
      <w:r>
        <w:t>show broader involvement compared to JPM.</w:t>
      </w:r>
    </w:p>
    <w:p w14:paraId="52FE873F" w14:textId="29F9651E" w:rsidR="0063695A" w:rsidRDefault="0063695A" w:rsidP="0063695A">
      <w:pPr>
        <w:pStyle w:val="NoSpacing"/>
        <w:numPr>
          <w:ilvl w:val="0"/>
          <w:numId w:val="20"/>
        </w:numPr>
      </w:pPr>
      <w:r>
        <w:t>David Solomon typically dominates discussion length, indicating primary strategic leadership.</w:t>
      </w:r>
    </w:p>
    <w:p w14:paraId="710E78F9" w14:textId="77777777" w:rsidR="00C329AC" w:rsidRDefault="00C329AC" w:rsidP="00C329AC">
      <w:pPr>
        <w:pStyle w:val="NoSpacing"/>
      </w:pPr>
    </w:p>
    <w:p w14:paraId="6C3FDB91" w14:textId="5400619D" w:rsidR="00C329AC" w:rsidRPr="00C329AC" w:rsidRDefault="00C329AC" w:rsidP="00C329AC">
      <w:pPr>
        <w:pStyle w:val="NoSpacing"/>
        <w:numPr>
          <w:ilvl w:val="0"/>
          <w:numId w:val="21"/>
        </w:numPr>
        <w:ind w:left="426" w:hanging="426"/>
        <w:rPr>
          <w:b/>
          <w:bCs/>
        </w:rPr>
      </w:pPr>
      <w:r w:rsidRPr="00C329AC">
        <w:rPr>
          <w:b/>
          <w:bCs/>
        </w:rPr>
        <w:t>Sentiment Polarity Analysis (General and Financial Keywords):</w:t>
      </w:r>
    </w:p>
    <w:p w14:paraId="7C0FBB53" w14:textId="77777777" w:rsidR="00C329AC" w:rsidRPr="00C329AC" w:rsidRDefault="00C329AC" w:rsidP="00C329AC">
      <w:pPr>
        <w:pStyle w:val="NoSpacing"/>
        <w:rPr>
          <w:b/>
          <w:bCs/>
        </w:rPr>
      </w:pPr>
      <w:r w:rsidRPr="00C329AC">
        <w:rPr>
          <w:b/>
          <w:bCs/>
        </w:rPr>
        <w:t>Key Insights:</w:t>
      </w:r>
    </w:p>
    <w:p w14:paraId="02925757" w14:textId="77777777" w:rsidR="00C329AC" w:rsidRPr="00C329AC" w:rsidRDefault="00C329AC" w:rsidP="00C329AC">
      <w:pPr>
        <w:pStyle w:val="NoSpacing"/>
      </w:pPr>
      <w:r w:rsidRPr="00C329AC">
        <w:t>Quarterly Distribution (Q1 to Q4) Each quarter shows a wide range of sentiment scores—indicating speaker variation (i.e., some participants are more positive/negative).</w:t>
      </w:r>
    </w:p>
    <w:p w14:paraId="432D6592" w14:textId="77777777" w:rsidR="00C329AC" w:rsidRPr="00C329AC" w:rsidRDefault="00C329AC" w:rsidP="00C329AC">
      <w:pPr>
        <w:pStyle w:val="NoSpacing"/>
      </w:pPr>
      <w:r w:rsidRPr="00C329AC">
        <w:t>The black dots represent mean sentiment polarity for each year-quarter combo.</w:t>
      </w:r>
    </w:p>
    <w:p w14:paraId="642DA536" w14:textId="77777777" w:rsidR="00C329AC" w:rsidRPr="00C329AC" w:rsidRDefault="00C329AC" w:rsidP="00C329AC">
      <w:pPr>
        <w:pStyle w:val="NoSpacing"/>
        <w:numPr>
          <w:ilvl w:val="0"/>
          <w:numId w:val="19"/>
        </w:numPr>
        <w:rPr>
          <w:b/>
          <w:bCs/>
        </w:rPr>
      </w:pPr>
      <w:r w:rsidRPr="00C329AC">
        <w:rPr>
          <w:b/>
          <w:bCs/>
        </w:rPr>
        <w:t>Q1 (First Quarter):</w:t>
      </w:r>
    </w:p>
    <w:p w14:paraId="38A3C1AF" w14:textId="3B7D0C31" w:rsidR="00C329AC" w:rsidRPr="00C329AC" w:rsidRDefault="00C329AC" w:rsidP="00C329AC">
      <w:pPr>
        <w:pStyle w:val="NoSpacing"/>
        <w:numPr>
          <w:ilvl w:val="0"/>
          <w:numId w:val="25"/>
        </w:numPr>
      </w:pPr>
      <w:r w:rsidRPr="00C329AC">
        <w:t>2022 &amp; 2023 have very wide interquartile ranges (IQR), especially 2022 (range up to 0.5).</w:t>
      </w:r>
      <w:r>
        <w:t xml:space="preserve"> </w:t>
      </w:r>
      <w:proofErr w:type="gramStart"/>
      <w:r w:rsidRPr="00C329AC">
        <w:t>Suggests</w:t>
      </w:r>
      <w:proofErr w:type="gramEnd"/>
      <w:r w:rsidRPr="00C329AC">
        <w:t xml:space="preserve"> a volatile or inconsistent tone, possibly reflecting market uncertainty or mixed signals in management's messaging.</w:t>
      </w:r>
    </w:p>
    <w:p w14:paraId="7D4A38CD" w14:textId="77777777" w:rsidR="00C329AC" w:rsidRPr="00C329AC" w:rsidRDefault="00C329AC" w:rsidP="00C329AC">
      <w:pPr>
        <w:pStyle w:val="NoSpacing"/>
        <w:numPr>
          <w:ilvl w:val="0"/>
          <w:numId w:val="25"/>
        </w:numPr>
      </w:pPr>
      <w:r w:rsidRPr="00C329AC">
        <w:t>2024 &amp; 2025 show narrower distributions, with means around 0.11–0.15, indicating more controlled/neutral sentiment.</w:t>
      </w:r>
    </w:p>
    <w:p w14:paraId="561E2BA4" w14:textId="14BB56EB" w:rsidR="00C329AC" w:rsidRPr="00C329AC" w:rsidRDefault="00C329AC" w:rsidP="00C329AC">
      <w:pPr>
        <w:pStyle w:val="NoSpacing"/>
        <w:numPr>
          <w:ilvl w:val="0"/>
          <w:numId w:val="26"/>
        </w:numPr>
        <w:rPr>
          <w:b/>
          <w:bCs/>
        </w:rPr>
      </w:pPr>
      <w:r w:rsidRPr="00C329AC">
        <w:rPr>
          <w:b/>
          <w:bCs/>
        </w:rPr>
        <w:t>Q2</w:t>
      </w:r>
      <w:r w:rsidRPr="00C329AC">
        <w:rPr>
          <w:b/>
          <w:bCs/>
        </w:rPr>
        <w:t xml:space="preserve"> (Second Quarter)</w:t>
      </w:r>
    </w:p>
    <w:p w14:paraId="237215B2" w14:textId="31EC2C29" w:rsidR="00C329AC" w:rsidRPr="00C329AC" w:rsidRDefault="00C329AC" w:rsidP="00C329AC">
      <w:pPr>
        <w:pStyle w:val="NoSpacing"/>
        <w:numPr>
          <w:ilvl w:val="0"/>
          <w:numId w:val="30"/>
        </w:numPr>
      </w:pPr>
      <w:r w:rsidRPr="00C329AC">
        <w:t xml:space="preserve">2022 </w:t>
      </w:r>
      <w:r>
        <w:t>S</w:t>
      </w:r>
      <w:r w:rsidRPr="00C329AC">
        <w:t xml:space="preserve">hows a </w:t>
      </w:r>
      <w:r w:rsidRPr="00C329AC">
        <w:t>widespread</w:t>
      </w:r>
      <w:r w:rsidRPr="00C329AC">
        <w:t xml:space="preserve"> with a higher median and mean (~0.2).</w:t>
      </w:r>
    </w:p>
    <w:p w14:paraId="08DADDBE" w14:textId="77777777" w:rsidR="00C329AC" w:rsidRDefault="00C329AC" w:rsidP="00C329AC">
      <w:pPr>
        <w:pStyle w:val="NoSpacing"/>
        <w:numPr>
          <w:ilvl w:val="0"/>
          <w:numId w:val="27"/>
        </w:numPr>
      </w:pPr>
      <w:r w:rsidRPr="00C329AC">
        <w:t>2023 onward shows tighter clustering, especially 2024–2025, suggesting more consistent sentiment expression.</w:t>
      </w:r>
    </w:p>
    <w:p w14:paraId="0F39D420" w14:textId="4162DD91" w:rsidR="00C329AC" w:rsidRPr="00C329AC" w:rsidRDefault="00C329AC" w:rsidP="00C329AC">
      <w:pPr>
        <w:pStyle w:val="NoSpacing"/>
        <w:ind w:left="720"/>
      </w:pPr>
      <w:r w:rsidRPr="00C329AC">
        <w:t>Gradual narrowing implies possibly more refined communication or reduced uncertainty.</w:t>
      </w:r>
    </w:p>
    <w:p w14:paraId="0873CCBA" w14:textId="694AE2BA" w:rsidR="00C329AC" w:rsidRPr="00C329AC" w:rsidRDefault="00C329AC" w:rsidP="00C329AC">
      <w:pPr>
        <w:pStyle w:val="NoSpacing"/>
        <w:numPr>
          <w:ilvl w:val="0"/>
          <w:numId w:val="28"/>
        </w:numPr>
        <w:rPr>
          <w:b/>
          <w:bCs/>
        </w:rPr>
      </w:pPr>
      <w:r w:rsidRPr="00C329AC">
        <w:rPr>
          <w:b/>
          <w:bCs/>
        </w:rPr>
        <w:t>Q3</w:t>
      </w:r>
      <w:r w:rsidRPr="00C329AC">
        <w:rPr>
          <w:b/>
          <w:bCs/>
        </w:rPr>
        <w:t xml:space="preserve"> (Third Quarter)</w:t>
      </w:r>
    </w:p>
    <w:p w14:paraId="5BFA8510" w14:textId="28FD9723" w:rsidR="00C329AC" w:rsidRPr="00C329AC" w:rsidRDefault="00C329AC" w:rsidP="00C329AC">
      <w:pPr>
        <w:pStyle w:val="NoSpacing"/>
        <w:numPr>
          <w:ilvl w:val="0"/>
          <w:numId w:val="31"/>
        </w:numPr>
      </w:pPr>
      <w:r w:rsidRPr="00C329AC">
        <w:t xml:space="preserve">2022 Q3 stands out with high mean and </w:t>
      </w:r>
      <w:r w:rsidRPr="00C329AC">
        <w:t>widespread</w:t>
      </w:r>
      <w:r w:rsidRPr="00C329AC">
        <w:t xml:space="preserve"> (outliers up to ~0.37).</w:t>
      </w:r>
      <w:r>
        <w:t xml:space="preserve"> </w:t>
      </w:r>
      <w:r w:rsidRPr="00C329AC">
        <w:t>Subsequent years show tighter control in language and sentiment.</w:t>
      </w:r>
    </w:p>
    <w:p w14:paraId="34CFA2A3" w14:textId="77777777" w:rsidR="00C329AC" w:rsidRPr="00C329AC" w:rsidRDefault="00C329AC" w:rsidP="00C329AC">
      <w:pPr>
        <w:pStyle w:val="NoSpacing"/>
        <w:numPr>
          <w:ilvl w:val="0"/>
          <w:numId w:val="29"/>
        </w:numPr>
      </w:pPr>
      <w:r w:rsidRPr="00C329AC">
        <w:t>2024 and 2025 means converge near 0.12–0.14, hinting at a standardized tone.</w:t>
      </w:r>
    </w:p>
    <w:p w14:paraId="6EDA0386" w14:textId="3A7A6A6F" w:rsidR="00C329AC" w:rsidRPr="00C329AC" w:rsidRDefault="00C329AC" w:rsidP="00C329AC">
      <w:pPr>
        <w:pStyle w:val="NoSpacing"/>
        <w:numPr>
          <w:ilvl w:val="0"/>
          <w:numId w:val="32"/>
        </w:numPr>
        <w:rPr>
          <w:b/>
          <w:bCs/>
        </w:rPr>
      </w:pPr>
      <w:r w:rsidRPr="00C329AC">
        <w:rPr>
          <w:b/>
          <w:bCs/>
        </w:rPr>
        <w:t>Q4</w:t>
      </w:r>
      <w:r w:rsidRPr="00C329AC">
        <w:rPr>
          <w:b/>
          <w:bCs/>
        </w:rPr>
        <w:t xml:space="preserve"> (Fourth Quarter)</w:t>
      </w:r>
    </w:p>
    <w:p w14:paraId="32067237" w14:textId="42A48591" w:rsidR="00C329AC" w:rsidRPr="00C329AC" w:rsidRDefault="00C329AC" w:rsidP="00C329AC">
      <w:pPr>
        <w:pStyle w:val="NoSpacing"/>
        <w:numPr>
          <w:ilvl w:val="0"/>
          <w:numId w:val="33"/>
        </w:numPr>
      </w:pPr>
      <w:r w:rsidRPr="00C329AC">
        <w:t>2024–2025</w:t>
      </w:r>
      <w:r>
        <w:t xml:space="preserve"> </w:t>
      </w:r>
      <w:r w:rsidRPr="00C329AC">
        <w:t>A converging trend is clear, most sentiment scores cluster tightly with minimal outliers.</w:t>
      </w:r>
      <w:r>
        <w:t xml:space="preserve"> </w:t>
      </w:r>
      <w:r w:rsidRPr="00C329AC">
        <w:t>This suggests increasing homogeneity or a toned-down communication strategy from management over time.</w:t>
      </w:r>
    </w:p>
    <w:p w14:paraId="2C6DB787" w14:textId="77777777" w:rsidR="00C329AC" w:rsidRPr="00C329AC" w:rsidRDefault="00C329AC" w:rsidP="00C329AC">
      <w:pPr>
        <w:pStyle w:val="NoSpacing"/>
        <w:rPr>
          <w:b/>
          <w:bCs/>
        </w:rPr>
      </w:pPr>
      <w:r w:rsidRPr="00C329AC">
        <w:rPr>
          <w:b/>
          <w:bCs/>
        </w:rPr>
        <w:t>Interpretations:</w:t>
      </w:r>
    </w:p>
    <w:p w14:paraId="0826809A" w14:textId="77777777" w:rsidR="00C329AC" w:rsidRPr="00C329AC" w:rsidRDefault="00C329AC" w:rsidP="00C329AC">
      <w:pPr>
        <w:pStyle w:val="NoSpacing"/>
      </w:pPr>
      <w:r w:rsidRPr="00C329AC">
        <w:t>2022–2023: More expressive and varied sentiment – possibly due to market volatility, COVID-era uncertainties, or leadership adjustments.</w:t>
      </w:r>
    </w:p>
    <w:p w14:paraId="48203D28" w14:textId="77777777" w:rsidR="00C329AC" w:rsidRPr="00C329AC" w:rsidRDefault="00C329AC" w:rsidP="00C329AC">
      <w:pPr>
        <w:pStyle w:val="NoSpacing"/>
      </w:pPr>
      <w:r w:rsidRPr="00C329AC">
        <w:t>2024–2025: Reduced spread and tighter means – suggesting either:</w:t>
      </w:r>
    </w:p>
    <w:p w14:paraId="2DCCB1A7" w14:textId="07F445F0" w:rsidR="00C329AC" w:rsidRPr="00C329AC" w:rsidRDefault="00C329AC" w:rsidP="00C329AC">
      <w:pPr>
        <w:pStyle w:val="NoSpacing"/>
      </w:pPr>
      <w:r w:rsidRPr="00C329AC">
        <w:t>Controlled and consistent communication (possibly PR/media-trained execs)</w:t>
      </w:r>
      <w:r>
        <w:t xml:space="preserve"> or</w:t>
      </w:r>
      <w:r w:rsidRPr="00C329AC">
        <w:t xml:space="preserve"> decreasing informational tone in transcripts (less forward-looking optimism/pessimism).</w:t>
      </w:r>
    </w:p>
    <w:p w14:paraId="6AE61F51" w14:textId="69B51210" w:rsidR="00C329AC" w:rsidRDefault="00A2371A" w:rsidP="00C329AC">
      <w:pPr>
        <w:pStyle w:val="NoSpacing"/>
      </w:pPr>
      <w:r>
        <w:rPr>
          <w:noProof/>
        </w:rPr>
        <w:lastRenderedPageBreak/>
        <w:drawing>
          <wp:inline distT="0" distB="0" distL="0" distR="0" wp14:anchorId="27CFFEA3" wp14:editId="2CCEEAC9">
            <wp:extent cx="5731510" cy="2419350"/>
            <wp:effectExtent l="0" t="0" r="2540" b="0"/>
            <wp:docPr id="2024297912" name="Picture 4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97912" name="Picture 4" descr="A graph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4396" w14:textId="77777777" w:rsidR="00A2371A" w:rsidRDefault="00A2371A" w:rsidP="00C329AC">
      <w:pPr>
        <w:pStyle w:val="NoSpacing"/>
      </w:pPr>
    </w:p>
    <w:p w14:paraId="5A994369" w14:textId="13749B7A" w:rsidR="00A2371A" w:rsidRDefault="00A2371A" w:rsidP="00A2371A">
      <w:pPr>
        <w:pStyle w:val="NoSpacing"/>
        <w:numPr>
          <w:ilvl w:val="0"/>
          <w:numId w:val="21"/>
        </w:numPr>
        <w:ind w:left="426" w:hanging="426"/>
        <w:rPr>
          <w:b/>
          <w:bCs/>
        </w:rPr>
      </w:pPr>
      <w:r w:rsidRPr="00982562">
        <w:rPr>
          <w:b/>
          <w:bCs/>
        </w:rPr>
        <w:t>N-gram Analysis:</w:t>
      </w:r>
    </w:p>
    <w:p w14:paraId="0D578950" w14:textId="1FCDB542" w:rsidR="00A2371A" w:rsidRPr="00666B87" w:rsidRDefault="00A2371A" w:rsidP="00666B87">
      <w:pPr>
        <w:pStyle w:val="NoSpacing"/>
        <w:numPr>
          <w:ilvl w:val="0"/>
          <w:numId w:val="51"/>
        </w:numPr>
        <w:rPr>
          <w:b/>
          <w:bCs/>
        </w:rPr>
      </w:pPr>
      <w:r w:rsidRPr="00666B87">
        <w:rPr>
          <w:b/>
          <w:bCs/>
        </w:rPr>
        <w:t>Most Frequent:</w:t>
      </w:r>
    </w:p>
    <w:p w14:paraId="723B6C06" w14:textId="77777777" w:rsidR="00A2371A" w:rsidRPr="00A2371A" w:rsidRDefault="00A2371A" w:rsidP="00A2371A">
      <w:pPr>
        <w:pStyle w:val="NoSpacing"/>
        <w:numPr>
          <w:ilvl w:val="0"/>
          <w:numId w:val="33"/>
        </w:numPr>
      </w:pPr>
      <w:r w:rsidRPr="00A2371A">
        <w:t>"</w:t>
      </w:r>
      <w:proofErr w:type="gramStart"/>
      <w:r w:rsidRPr="00A2371A">
        <w:t>year</w:t>
      </w:r>
      <w:proofErr w:type="gramEnd"/>
      <w:r w:rsidRPr="00A2371A">
        <w:t xml:space="preserve"> </w:t>
      </w:r>
      <w:proofErr w:type="spellStart"/>
      <w:r w:rsidRPr="00A2371A">
        <w:t>year</w:t>
      </w:r>
      <w:proofErr w:type="spellEnd"/>
      <w:r w:rsidRPr="00A2371A">
        <w:t xml:space="preserve">" appears most often — this is likely a text processing artifact (repetition or </w:t>
      </w:r>
      <w:proofErr w:type="spellStart"/>
      <w:r w:rsidRPr="00A2371A">
        <w:t>misparsed</w:t>
      </w:r>
      <w:proofErr w:type="spellEnd"/>
      <w:r w:rsidRPr="00A2371A">
        <w:t xml:space="preserve"> phrase), not meaningful.</w:t>
      </w:r>
    </w:p>
    <w:p w14:paraId="6CAC0838" w14:textId="77777777" w:rsidR="00A2371A" w:rsidRPr="00A2371A" w:rsidRDefault="00A2371A" w:rsidP="00A2371A">
      <w:pPr>
        <w:pStyle w:val="NoSpacing"/>
        <w:numPr>
          <w:ilvl w:val="0"/>
          <w:numId w:val="33"/>
        </w:numPr>
      </w:pPr>
      <w:r w:rsidRPr="00A2371A">
        <w:t>"</w:t>
      </w:r>
      <w:proofErr w:type="gramStart"/>
      <w:r w:rsidRPr="00A2371A">
        <w:t>net</w:t>
      </w:r>
      <w:proofErr w:type="gramEnd"/>
      <w:r w:rsidRPr="00A2371A">
        <w:t xml:space="preserve"> revenues", "revenues billion", "</w:t>
      </w:r>
      <w:proofErr w:type="spellStart"/>
      <w:proofErr w:type="gramStart"/>
      <w:r w:rsidRPr="00A2371A">
        <w:t>goldman</w:t>
      </w:r>
      <w:proofErr w:type="spellEnd"/>
      <w:r w:rsidRPr="00A2371A">
        <w:t xml:space="preserve"> </w:t>
      </w:r>
      <w:proofErr w:type="spellStart"/>
      <w:r w:rsidRPr="00A2371A">
        <w:t>sachs</w:t>
      </w:r>
      <w:proofErr w:type="spellEnd"/>
      <w:proofErr w:type="gramEnd"/>
      <w:r w:rsidRPr="00A2371A">
        <w:t>" are highly frequent — indicating strong emphasis on financial performance and branding.</w:t>
      </w:r>
    </w:p>
    <w:p w14:paraId="1EC44C8C" w14:textId="77777777" w:rsidR="00A2371A" w:rsidRPr="00666B87" w:rsidRDefault="00A2371A" w:rsidP="00666B87">
      <w:pPr>
        <w:pStyle w:val="NoSpacing"/>
        <w:numPr>
          <w:ilvl w:val="0"/>
          <w:numId w:val="52"/>
        </w:numPr>
        <w:rPr>
          <w:b/>
          <w:bCs/>
        </w:rPr>
      </w:pPr>
      <w:r w:rsidRPr="00666B87">
        <w:rPr>
          <w:b/>
          <w:bCs/>
        </w:rPr>
        <w:t>Financial Focus:</w:t>
      </w:r>
    </w:p>
    <w:p w14:paraId="42EEE2AB" w14:textId="6553565D" w:rsidR="00A2371A" w:rsidRPr="00A2371A" w:rsidRDefault="00A2371A" w:rsidP="00A2371A">
      <w:pPr>
        <w:pStyle w:val="NoSpacing"/>
        <w:numPr>
          <w:ilvl w:val="0"/>
          <w:numId w:val="38"/>
        </w:numPr>
      </w:pPr>
      <w:r w:rsidRPr="00A2371A">
        <w:t>"</w:t>
      </w:r>
      <w:proofErr w:type="gramStart"/>
      <w:r w:rsidRPr="00A2371A">
        <w:t>net</w:t>
      </w:r>
      <w:proofErr w:type="gramEnd"/>
      <w:r w:rsidRPr="00A2371A">
        <w:t xml:space="preserve"> revenues", "revenues billion", "management fees", "billion quarter", "global banking markets"</w:t>
      </w:r>
      <w:r>
        <w:t xml:space="preserve">. </w:t>
      </w:r>
      <w:r w:rsidRPr="00A2371A">
        <w:t>These suggest the core discussion revolves around profitability, revenue streams, and business divisions.</w:t>
      </w:r>
    </w:p>
    <w:p w14:paraId="617A8460" w14:textId="77777777" w:rsidR="00A2371A" w:rsidRPr="00A2371A" w:rsidRDefault="00A2371A" w:rsidP="00666B87">
      <w:pPr>
        <w:pStyle w:val="NoSpacing"/>
        <w:numPr>
          <w:ilvl w:val="0"/>
          <w:numId w:val="53"/>
        </w:numPr>
        <w:rPr>
          <w:b/>
          <w:bCs/>
        </w:rPr>
      </w:pPr>
      <w:r w:rsidRPr="00A2371A">
        <w:rPr>
          <w:b/>
          <w:bCs/>
        </w:rPr>
        <w:t>Time References:</w:t>
      </w:r>
    </w:p>
    <w:p w14:paraId="4EEB253B" w14:textId="43B53A09" w:rsidR="00A2371A" w:rsidRPr="00A2371A" w:rsidRDefault="00A2371A" w:rsidP="00A2371A">
      <w:pPr>
        <w:pStyle w:val="NoSpacing"/>
        <w:numPr>
          <w:ilvl w:val="0"/>
          <w:numId w:val="38"/>
        </w:numPr>
      </w:pPr>
      <w:r w:rsidRPr="00A2371A">
        <w:t>"</w:t>
      </w:r>
      <w:proofErr w:type="gramStart"/>
      <w:r w:rsidRPr="00A2371A">
        <w:t>first</w:t>
      </w:r>
      <w:proofErr w:type="gramEnd"/>
      <w:r w:rsidRPr="00A2371A">
        <w:t xml:space="preserve"> quarter", "second quarter", "fourth quarter", "billion year", "year </w:t>
      </w:r>
      <w:proofErr w:type="spellStart"/>
      <w:r w:rsidRPr="00A2371A">
        <w:t>date</w:t>
      </w:r>
      <w:proofErr w:type="gramStart"/>
      <w:r w:rsidRPr="00A2371A">
        <w:t>"</w:t>
      </w:r>
      <w:r>
        <w:t>.</w:t>
      </w:r>
      <w:r w:rsidRPr="00A2371A">
        <w:t>Temporal</w:t>
      </w:r>
      <w:proofErr w:type="spellEnd"/>
      <w:proofErr w:type="gramEnd"/>
      <w:r w:rsidRPr="00A2371A">
        <w:t xml:space="preserve"> references signal breakdowns of performance by period — standard for earnings calls.</w:t>
      </w:r>
      <w:r>
        <w:t xml:space="preserve"> </w:t>
      </w:r>
      <w:r w:rsidRPr="00A2371A">
        <w:t>These can be mapped to quarterly performance and sentiment changes (link with earlier sentiment plots).</w:t>
      </w:r>
    </w:p>
    <w:p w14:paraId="2E0017C9" w14:textId="77777777" w:rsidR="00A2371A" w:rsidRPr="00A2371A" w:rsidRDefault="00A2371A" w:rsidP="00666B87">
      <w:pPr>
        <w:pStyle w:val="NoSpacing"/>
        <w:numPr>
          <w:ilvl w:val="0"/>
          <w:numId w:val="54"/>
        </w:numPr>
      </w:pPr>
      <w:r w:rsidRPr="00A2371A">
        <w:t>Divisional Focus:</w:t>
      </w:r>
    </w:p>
    <w:p w14:paraId="10EABA95" w14:textId="02F29CDB" w:rsidR="00A2371A" w:rsidRPr="00A2371A" w:rsidRDefault="00A2371A" w:rsidP="00A2371A">
      <w:pPr>
        <w:pStyle w:val="NoSpacing"/>
        <w:numPr>
          <w:ilvl w:val="0"/>
          <w:numId w:val="38"/>
        </w:numPr>
      </w:pPr>
      <w:r w:rsidRPr="00A2371A">
        <w:t>"</w:t>
      </w:r>
      <w:proofErr w:type="gramStart"/>
      <w:r w:rsidRPr="00A2371A">
        <w:t>wealth</w:t>
      </w:r>
      <w:proofErr w:type="gramEnd"/>
      <w:r w:rsidRPr="00A2371A">
        <w:t xml:space="preserve"> management", "asset wealth", "global banking", "banking markets"</w:t>
      </w:r>
      <w:r>
        <w:t xml:space="preserve">. </w:t>
      </w:r>
      <w:r w:rsidRPr="00A2371A">
        <w:t>Indicates frequent mentions of key business lines.</w:t>
      </w:r>
      <w:r>
        <w:t xml:space="preserve"> </w:t>
      </w:r>
      <w:r w:rsidRPr="00A2371A">
        <w:t>Suggests strategic areas that the management emphasizes regularly.</w:t>
      </w:r>
    </w:p>
    <w:p w14:paraId="27A75CA1" w14:textId="23B5DBFE" w:rsidR="00A2371A" w:rsidRDefault="00A2371A" w:rsidP="00A2371A">
      <w:pPr>
        <w:pStyle w:val="NoSpacing"/>
      </w:pPr>
      <w:r>
        <w:rPr>
          <w:noProof/>
        </w:rPr>
        <w:drawing>
          <wp:inline distT="0" distB="0" distL="0" distR="0" wp14:anchorId="7AD7E989" wp14:editId="740652C9">
            <wp:extent cx="5731510" cy="2827655"/>
            <wp:effectExtent l="0" t="0" r="2540" b="0"/>
            <wp:docPr id="1740716061" name="Picture 5" descr="A graph of a number of blue and black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16061" name="Picture 5" descr="A graph of a number of blue and black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AEE8" w14:textId="2AE41500" w:rsidR="00A2371A" w:rsidRDefault="00A2371A" w:rsidP="00A2371A">
      <w:pPr>
        <w:pStyle w:val="NoSpacing"/>
        <w:numPr>
          <w:ilvl w:val="0"/>
          <w:numId w:val="21"/>
        </w:numPr>
        <w:ind w:left="426" w:hanging="426"/>
        <w:rPr>
          <w:b/>
          <w:bCs/>
        </w:rPr>
      </w:pPr>
      <w:r w:rsidRPr="00520E8A">
        <w:rPr>
          <w:b/>
          <w:bCs/>
        </w:rPr>
        <w:lastRenderedPageBreak/>
        <w:t>Sentiment and Stock Change Correlation:</w:t>
      </w:r>
    </w:p>
    <w:p w14:paraId="3C12B72A" w14:textId="77777777" w:rsidR="00A2371A" w:rsidRPr="00A2371A" w:rsidRDefault="00A2371A" w:rsidP="00A2371A">
      <w:pPr>
        <w:pStyle w:val="NoSpacing"/>
      </w:pPr>
      <w:r w:rsidRPr="00A2371A">
        <w:t>Plot shows the average sentiment polarity from Goldman Sachs quarterly transcripts, filtered for financial keywords.</w:t>
      </w:r>
    </w:p>
    <w:p w14:paraId="6D3C6D4E" w14:textId="77777777" w:rsidR="00A2371A" w:rsidRPr="00A2371A" w:rsidRDefault="00A2371A" w:rsidP="00A2371A">
      <w:pPr>
        <w:pStyle w:val="NoSpacing"/>
        <w:rPr>
          <w:b/>
          <w:bCs/>
        </w:rPr>
      </w:pPr>
      <w:r w:rsidRPr="00A2371A">
        <w:rPr>
          <w:b/>
          <w:bCs/>
        </w:rPr>
        <w:t>Key Observations:</w:t>
      </w:r>
    </w:p>
    <w:p w14:paraId="1404C832" w14:textId="5076FAB8" w:rsidR="00B505B0" w:rsidRPr="00B505B0" w:rsidRDefault="00A2371A" w:rsidP="00B505B0">
      <w:pPr>
        <w:pStyle w:val="NoSpacing"/>
        <w:numPr>
          <w:ilvl w:val="0"/>
          <w:numId w:val="45"/>
        </w:numPr>
        <w:rPr>
          <w:b/>
          <w:bCs/>
        </w:rPr>
      </w:pPr>
      <w:r w:rsidRPr="00B505B0">
        <w:rPr>
          <w:b/>
          <w:bCs/>
        </w:rPr>
        <w:t>2022 Q4</w:t>
      </w:r>
      <w:r w:rsidR="00B505B0" w:rsidRPr="00B505B0">
        <w:rPr>
          <w:b/>
          <w:bCs/>
        </w:rPr>
        <w:t>:</w:t>
      </w:r>
    </w:p>
    <w:p w14:paraId="423A3B74" w14:textId="7E797184" w:rsidR="00A2371A" w:rsidRPr="00A2371A" w:rsidRDefault="00A2371A" w:rsidP="00B505B0">
      <w:pPr>
        <w:pStyle w:val="NoSpacing"/>
        <w:numPr>
          <w:ilvl w:val="0"/>
          <w:numId w:val="32"/>
        </w:numPr>
      </w:pPr>
      <w:r w:rsidRPr="00A2371A">
        <w:t>High Sentiment &amp; Strong Stock Surge Sentiment peaks (~0.122) and stock jumps ~19%.</w:t>
      </w:r>
    </w:p>
    <w:p w14:paraId="4F079D31" w14:textId="77777777" w:rsidR="00A2371A" w:rsidRPr="00A2371A" w:rsidRDefault="00A2371A" w:rsidP="00B505B0">
      <w:pPr>
        <w:pStyle w:val="NoSpacing"/>
        <w:numPr>
          <w:ilvl w:val="0"/>
          <w:numId w:val="32"/>
        </w:numPr>
      </w:pPr>
      <w:r w:rsidRPr="00A2371A">
        <w:t>Interpretation: Market may have positively reacted to optimistic tone or strong guidance.</w:t>
      </w:r>
    </w:p>
    <w:p w14:paraId="1C645754" w14:textId="7F7D5070" w:rsidR="00B505B0" w:rsidRPr="00B505B0" w:rsidRDefault="00A2371A" w:rsidP="00B505B0">
      <w:pPr>
        <w:pStyle w:val="NoSpacing"/>
        <w:numPr>
          <w:ilvl w:val="0"/>
          <w:numId w:val="45"/>
        </w:numPr>
        <w:rPr>
          <w:b/>
          <w:bCs/>
        </w:rPr>
      </w:pPr>
      <w:r w:rsidRPr="00B505B0">
        <w:rPr>
          <w:b/>
          <w:bCs/>
        </w:rPr>
        <w:t>2023 Q4</w:t>
      </w:r>
      <w:r w:rsidR="00B505B0" w:rsidRPr="00B505B0">
        <w:rPr>
          <w:b/>
          <w:bCs/>
        </w:rPr>
        <w:t>:</w:t>
      </w:r>
    </w:p>
    <w:p w14:paraId="41BDFF11" w14:textId="63153B9C" w:rsidR="00A2371A" w:rsidRPr="00A2371A" w:rsidRDefault="00A2371A" w:rsidP="00B505B0">
      <w:pPr>
        <w:pStyle w:val="NoSpacing"/>
        <w:numPr>
          <w:ilvl w:val="0"/>
          <w:numId w:val="47"/>
        </w:numPr>
      </w:pPr>
      <w:r w:rsidRPr="00A2371A">
        <w:t>Highest Sentiment But… Highest sentiment observed (0.138), but stock only modestly up (10%).</w:t>
      </w:r>
      <w:r w:rsidR="00B505B0">
        <w:t xml:space="preserve"> </w:t>
      </w:r>
      <w:r w:rsidRPr="00A2371A">
        <w:t>Suggests other market forces may have tempered price reaction despite positive sentiment.</w:t>
      </w:r>
    </w:p>
    <w:p w14:paraId="054D3E62" w14:textId="77777777" w:rsidR="00B505B0" w:rsidRPr="00B505B0" w:rsidRDefault="00A2371A" w:rsidP="00B505B0">
      <w:pPr>
        <w:pStyle w:val="NoSpacing"/>
        <w:numPr>
          <w:ilvl w:val="0"/>
          <w:numId w:val="45"/>
        </w:numPr>
        <w:rPr>
          <w:b/>
          <w:bCs/>
        </w:rPr>
      </w:pPr>
      <w:r w:rsidRPr="00B505B0">
        <w:rPr>
          <w:b/>
          <w:bCs/>
        </w:rPr>
        <w:t>2024 Q4</w:t>
      </w:r>
      <w:r w:rsidR="00B505B0" w:rsidRPr="00B505B0">
        <w:rPr>
          <w:b/>
          <w:bCs/>
        </w:rPr>
        <w:t>:</w:t>
      </w:r>
    </w:p>
    <w:p w14:paraId="74F599B3" w14:textId="77777777" w:rsidR="00B505B0" w:rsidRDefault="00A2371A" w:rsidP="00A2371A">
      <w:pPr>
        <w:pStyle w:val="NoSpacing"/>
        <w:numPr>
          <w:ilvl w:val="0"/>
          <w:numId w:val="46"/>
        </w:numPr>
      </w:pPr>
      <w:r w:rsidRPr="00A2371A">
        <w:t>Another Strong Signal Sentiment remains high (~0.135), and stock follows with a ~16% gain.</w:t>
      </w:r>
    </w:p>
    <w:p w14:paraId="5CA9F697" w14:textId="4FB885E6" w:rsidR="00A2371A" w:rsidRPr="00A2371A" w:rsidRDefault="00A2371A" w:rsidP="00A2371A">
      <w:pPr>
        <w:pStyle w:val="NoSpacing"/>
        <w:numPr>
          <w:ilvl w:val="0"/>
          <w:numId w:val="46"/>
        </w:numPr>
      </w:pPr>
      <w:r w:rsidRPr="00A2371A">
        <w:t>Good alignment: possibly a strong earnings release or guidance.</w:t>
      </w:r>
    </w:p>
    <w:p w14:paraId="338915B8" w14:textId="77777777" w:rsidR="00B505B0" w:rsidRPr="00B505B0" w:rsidRDefault="00A2371A" w:rsidP="00B505B0">
      <w:pPr>
        <w:pStyle w:val="NoSpacing"/>
        <w:numPr>
          <w:ilvl w:val="0"/>
          <w:numId w:val="48"/>
        </w:numPr>
        <w:rPr>
          <w:b/>
          <w:bCs/>
        </w:rPr>
      </w:pPr>
      <w:r w:rsidRPr="00B505B0">
        <w:rPr>
          <w:b/>
          <w:bCs/>
        </w:rPr>
        <w:t>2025 Q1</w:t>
      </w:r>
      <w:r w:rsidR="00B505B0" w:rsidRPr="00B505B0">
        <w:rPr>
          <w:b/>
          <w:bCs/>
        </w:rPr>
        <w:t>:</w:t>
      </w:r>
    </w:p>
    <w:p w14:paraId="7F65E67A" w14:textId="39C0C66D" w:rsidR="00A2371A" w:rsidRPr="00A2371A" w:rsidRDefault="00A2371A" w:rsidP="00666B87">
      <w:pPr>
        <w:pStyle w:val="NoSpacing"/>
        <w:numPr>
          <w:ilvl w:val="0"/>
          <w:numId w:val="49"/>
        </w:numPr>
      </w:pPr>
      <w:r w:rsidRPr="00A2371A">
        <w:t>Sentiment Still High, But Stock Drops Sentiment still elevated (~0.13), but stock declines ~5%.</w:t>
      </w:r>
    </w:p>
    <w:p w14:paraId="0347DE8B" w14:textId="77777777" w:rsidR="00A2371A" w:rsidRPr="00A2371A" w:rsidRDefault="00A2371A" w:rsidP="00666B87">
      <w:pPr>
        <w:pStyle w:val="NoSpacing"/>
        <w:numPr>
          <w:ilvl w:val="0"/>
          <w:numId w:val="50"/>
        </w:numPr>
      </w:pPr>
      <w:r w:rsidRPr="00A2371A">
        <w:t>Possibility: market was pricing in future uncertainty, or fundamentals didn't match the tone.</w:t>
      </w:r>
    </w:p>
    <w:p w14:paraId="773136A9" w14:textId="06106EB6" w:rsidR="00A2371A" w:rsidRPr="00A2371A" w:rsidRDefault="00A2371A" w:rsidP="00666B87">
      <w:pPr>
        <w:pStyle w:val="NoSpacing"/>
        <w:numPr>
          <w:ilvl w:val="0"/>
          <w:numId w:val="48"/>
        </w:numPr>
      </w:pPr>
      <w:r w:rsidRPr="00A2371A">
        <w:t>Periods of Divergence</w:t>
      </w:r>
    </w:p>
    <w:p w14:paraId="360AEC21" w14:textId="77777777" w:rsidR="00A2371A" w:rsidRPr="00A2371A" w:rsidRDefault="00A2371A" w:rsidP="00666B87">
      <w:pPr>
        <w:pStyle w:val="NoSpacing"/>
        <w:numPr>
          <w:ilvl w:val="0"/>
          <w:numId w:val="50"/>
        </w:numPr>
      </w:pPr>
      <w:r w:rsidRPr="00A2371A">
        <w:t>2023 Q1: Sentiment ~0.115, stock down ~5%.</w:t>
      </w:r>
    </w:p>
    <w:p w14:paraId="28525927" w14:textId="655D8C9C" w:rsidR="00A2371A" w:rsidRPr="00A2371A" w:rsidRDefault="00A2371A" w:rsidP="00A2371A">
      <w:pPr>
        <w:pStyle w:val="NoSpacing"/>
        <w:numPr>
          <w:ilvl w:val="0"/>
          <w:numId w:val="50"/>
        </w:numPr>
      </w:pPr>
      <w:r w:rsidRPr="00A2371A">
        <w:t>2024 Q1: Sentiment 0.112, stock flat (+0.5%).</w:t>
      </w:r>
      <w:r w:rsidR="00666B87">
        <w:t xml:space="preserve"> </w:t>
      </w:r>
      <w:r w:rsidRPr="00A2371A">
        <w:t xml:space="preserve">These breaks may indicate market </w:t>
      </w:r>
      <w:r w:rsidR="00666B87" w:rsidRPr="00A2371A">
        <w:t>scepticism</w:t>
      </w:r>
      <w:r w:rsidRPr="00A2371A">
        <w:t xml:space="preserve"> or lag between sentiment and market reaction.</w:t>
      </w:r>
    </w:p>
    <w:p w14:paraId="7A33031C" w14:textId="77777777" w:rsidR="00A2371A" w:rsidRPr="00666B87" w:rsidRDefault="00A2371A" w:rsidP="00A2371A">
      <w:pPr>
        <w:pStyle w:val="NoSpacing"/>
        <w:rPr>
          <w:b/>
          <w:bCs/>
        </w:rPr>
      </w:pPr>
      <w:r w:rsidRPr="00666B87">
        <w:rPr>
          <w:b/>
          <w:bCs/>
        </w:rPr>
        <w:t>General Trend:</w:t>
      </w:r>
    </w:p>
    <w:p w14:paraId="120B3020" w14:textId="77777777" w:rsidR="00A2371A" w:rsidRPr="00A2371A" w:rsidRDefault="00A2371A" w:rsidP="00A2371A">
      <w:pPr>
        <w:pStyle w:val="NoSpacing"/>
      </w:pPr>
      <w:r w:rsidRPr="00A2371A">
        <w:t>Positive correlation exists between sentiment and stock price change but not consistently.</w:t>
      </w:r>
    </w:p>
    <w:p w14:paraId="52420547" w14:textId="77777777" w:rsidR="00A2371A" w:rsidRPr="00A2371A" w:rsidRDefault="00A2371A" w:rsidP="00A2371A">
      <w:pPr>
        <w:pStyle w:val="NoSpacing"/>
      </w:pPr>
      <w:r w:rsidRPr="00A2371A">
        <w:t>Suggests sentiment is a partial indicator – effective but not sole predictor of price movement.</w:t>
      </w:r>
    </w:p>
    <w:p w14:paraId="38A20E7E" w14:textId="77777777" w:rsidR="00A2371A" w:rsidRDefault="00A2371A" w:rsidP="00A2371A">
      <w:pPr>
        <w:pStyle w:val="NoSpacing"/>
      </w:pPr>
    </w:p>
    <w:p w14:paraId="27D874CC" w14:textId="77777777" w:rsidR="00666B87" w:rsidRPr="00A2371A" w:rsidRDefault="00666B87" w:rsidP="00A2371A">
      <w:pPr>
        <w:pStyle w:val="NoSpacing"/>
      </w:pPr>
    </w:p>
    <w:p w14:paraId="4DB2714E" w14:textId="527F169F" w:rsidR="00A2371A" w:rsidRDefault="00666B87" w:rsidP="00A2371A">
      <w:pPr>
        <w:pStyle w:val="NoSpacing"/>
      </w:pPr>
      <w:r>
        <w:rPr>
          <w:noProof/>
        </w:rPr>
        <w:drawing>
          <wp:inline distT="0" distB="0" distL="0" distR="0" wp14:anchorId="67AFF9D2" wp14:editId="58404436">
            <wp:extent cx="5731510" cy="2419350"/>
            <wp:effectExtent l="0" t="0" r="2540" b="0"/>
            <wp:docPr id="1778358034" name="Picture 6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8034" name="Picture 6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57C6" w14:textId="77777777" w:rsidR="00A2371A" w:rsidRPr="00A2371A" w:rsidRDefault="00A2371A" w:rsidP="00A2371A">
      <w:pPr>
        <w:pStyle w:val="NoSpacing"/>
        <w:rPr>
          <w:sz w:val="18"/>
          <w:szCs w:val="18"/>
        </w:rPr>
      </w:pPr>
      <w:r w:rsidRPr="00A2371A">
        <w:rPr>
          <w:sz w:val="18"/>
          <w:szCs w:val="18"/>
        </w:rPr>
        <w:t>Scale: Ranges from 0 to ~0.14 (higher values mean more positive sentiment).</w:t>
      </w:r>
    </w:p>
    <w:p w14:paraId="2401384C" w14:textId="77777777" w:rsidR="00A2371A" w:rsidRPr="00A2371A" w:rsidRDefault="00A2371A" w:rsidP="00A2371A">
      <w:pPr>
        <w:pStyle w:val="NoSpacing"/>
        <w:rPr>
          <w:sz w:val="18"/>
          <w:szCs w:val="18"/>
        </w:rPr>
      </w:pPr>
      <w:r w:rsidRPr="00A2371A">
        <w:rPr>
          <w:sz w:val="18"/>
          <w:szCs w:val="18"/>
        </w:rPr>
        <w:t>Line Plot (Right Y-Axis): Stock Price Change (%) Represents quarter-over-quarter percentage change in Goldman Sachs (GS) stock price.</w:t>
      </w:r>
    </w:p>
    <w:p w14:paraId="5DD98EB4" w14:textId="77777777" w:rsidR="00A2371A" w:rsidRPr="00A2371A" w:rsidRDefault="00A2371A" w:rsidP="00A2371A">
      <w:pPr>
        <w:pStyle w:val="NoSpacing"/>
        <w:rPr>
          <w:sz w:val="18"/>
          <w:szCs w:val="18"/>
        </w:rPr>
      </w:pPr>
      <w:r w:rsidRPr="00A2371A">
        <w:rPr>
          <w:sz w:val="18"/>
          <w:szCs w:val="18"/>
        </w:rPr>
        <w:t>Scale: From ~–10% to 20% change.</w:t>
      </w:r>
    </w:p>
    <w:p w14:paraId="228922FC" w14:textId="77777777" w:rsidR="00A2371A" w:rsidRPr="00A2371A" w:rsidRDefault="00A2371A" w:rsidP="00A2371A">
      <w:pPr>
        <w:pStyle w:val="NoSpacing"/>
      </w:pPr>
    </w:p>
    <w:sectPr w:rsidR="00A2371A" w:rsidRPr="00A2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32A"/>
    <w:multiLevelType w:val="hybridMultilevel"/>
    <w:tmpl w:val="21423796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F00"/>
    <w:multiLevelType w:val="multilevel"/>
    <w:tmpl w:val="D8E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32DB4"/>
    <w:multiLevelType w:val="multilevel"/>
    <w:tmpl w:val="2FD0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C3E49"/>
    <w:multiLevelType w:val="hybridMultilevel"/>
    <w:tmpl w:val="4C64F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4EC4"/>
    <w:multiLevelType w:val="hybridMultilevel"/>
    <w:tmpl w:val="C0C28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72FF7"/>
    <w:multiLevelType w:val="hybridMultilevel"/>
    <w:tmpl w:val="9F7C08E0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22498"/>
    <w:multiLevelType w:val="hybridMultilevel"/>
    <w:tmpl w:val="949CA5EC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D7B4E"/>
    <w:multiLevelType w:val="hybridMultilevel"/>
    <w:tmpl w:val="5A143656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6940"/>
    <w:multiLevelType w:val="hybridMultilevel"/>
    <w:tmpl w:val="EB829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C4AD8"/>
    <w:multiLevelType w:val="multilevel"/>
    <w:tmpl w:val="202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404B5"/>
    <w:multiLevelType w:val="multilevel"/>
    <w:tmpl w:val="1B6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85DEB"/>
    <w:multiLevelType w:val="multilevel"/>
    <w:tmpl w:val="BA3C4302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17976"/>
    <w:multiLevelType w:val="hybridMultilevel"/>
    <w:tmpl w:val="594E8E2A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E1E0B"/>
    <w:multiLevelType w:val="multilevel"/>
    <w:tmpl w:val="81F0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02B7A"/>
    <w:multiLevelType w:val="multilevel"/>
    <w:tmpl w:val="D602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00F19"/>
    <w:multiLevelType w:val="hybridMultilevel"/>
    <w:tmpl w:val="EF5A178E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A6084"/>
    <w:multiLevelType w:val="hybridMultilevel"/>
    <w:tmpl w:val="F4027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D03CA"/>
    <w:multiLevelType w:val="hybridMultilevel"/>
    <w:tmpl w:val="97F29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6230E"/>
    <w:multiLevelType w:val="hybridMultilevel"/>
    <w:tmpl w:val="19D8F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14506"/>
    <w:multiLevelType w:val="hybridMultilevel"/>
    <w:tmpl w:val="9B0CCB42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E4AFC"/>
    <w:multiLevelType w:val="multilevel"/>
    <w:tmpl w:val="E8D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05722"/>
    <w:multiLevelType w:val="multilevel"/>
    <w:tmpl w:val="E54C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11744"/>
    <w:multiLevelType w:val="hybridMultilevel"/>
    <w:tmpl w:val="7CD4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37534"/>
    <w:multiLevelType w:val="hybridMultilevel"/>
    <w:tmpl w:val="C3680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B1FB7"/>
    <w:multiLevelType w:val="hybridMultilevel"/>
    <w:tmpl w:val="E0302774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C3DA9"/>
    <w:multiLevelType w:val="hybridMultilevel"/>
    <w:tmpl w:val="FA8C9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6317A"/>
    <w:multiLevelType w:val="multilevel"/>
    <w:tmpl w:val="AFC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7B55AE"/>
    <w:multiLevelType w:val="hybridMultilevel"/>
    <w:tmpl w:val="D2188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12746"/>
    <w:multiLevelType w:val="multilevel"/>
    <w:tmpl w:val="E916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778EC"/>
    <w:multiLevelType w:val="hybridMultilevel"/>
    <w:tmpl w:val="87A67010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B74D5"/>
    <w:multiLevelType w:val="multilevel"/>
    <w:tmpl w:val="DC1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E31D7"/>
    <w:multiLevelType w:val="hybridMultilevel"/>
    <w:tmpl w:val="A64C645E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5CEF"/>
    <w:multiLevelType w:val="multilevel"/>
    <w:tmpl w:val="211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4455A9"/>
    <w:multiLevelType w:val="hybridMultilevel"/>
    <w:tmpl w:val="11F08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84051"/>
    <w:multiLevelType w:val="multilevel"/>
    <w:tmpl w:val="1E2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B20434"/>
    <w:multiLevelType w:val="hybridMultilevel"/>
    <w:tmpl w:val="27DC7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9279E"/>
    <w:multiLevelType w:val="hybridMultilevel"/>
    <w:tmpl w:val="8FFE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B3F3F"/>
    <w:multiLevelType w:val="hybridMultilevel"/>
    <w:tmpl w:val="8D0466E8"/>
    <w:lvl w:ilvl="0" w:tplc="B424783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83548"/>
    <w:multiLevelType w:val="hybridMultilevel"/>
    <w:tmpl w:val="06BCB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151A63"/>
    <w:multiLevelType w:val="hybridMultilevel"/>
    <w:tmpl w:val="43EAB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A67BA4"/>
    <w:multiLevelType w:val="hybridMultilevel"/>
    <w:tmpl w:val="6F58D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31C3A"/>
    <w:multiLevelType w:val="multilevel"/>
    <w:tmpl w:val="252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5E6B03"/>
    <w:multiLevelType w:val="hybridMultilevel"/>
    <w:tmpl w:val="6A3AC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6C009A"/>
    <w:multiLevelType w:val="multilevel"/>
    <w:tmpl w:val="A7A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A60CE"/>
    <w:multiLevelType w:val="hybridMultilevel"/>
    <w:tmpl w:val="7D908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E16FF5"/>
    <w:multiLevelType w:val="multilevel"/>
    <w:tmpl w:val="9D0411DA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6F3FDC"/>
    <w:multiLevelType w:val="hybridMultilevel"/>
    <w:tmpl w:val="2BCA3696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BA4455"/>
    <w:multiLevelType w:val="hybridMultilevel"/>
    <w:tmpl w:val="9A287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C2F75"/>
    <w:multiLevelType w:val="hybridMultilevel"/>
    <w:tmpl w:val="462A2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4109A8"/>
    <w:multiLevelType w:val="hybridMultilevel"/>
    <w:tmpl w:val="1FCC2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A87CDC"/>
    <w:multiLevelType w:val="hybridMultilevel"/>
    <w:tmpl w:val="BDC6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CB4080"/>
    <w:multiLevelType w:val="multilevel"/>
    <w:tmpl w:val="517ED6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666051"/>
    <w:multiLevelType w:val="multilevel"/>
    <w:tmpl w:val="B608F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B764FE"/>
    <w:multiLevelType w:val="hybridMultilevel"/>
    <w:tmpl w:val="AB6257D4"/>
    <w:lvl w:ilvl="0" w:tplc="2E32BA6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069499">
    <w:abstractNumId w:val="2"/>
  </w:num>
  <w:num w:numId="2" w16cid:durableId="998926374">
    <w:abstractNumId w:val="25"/>
  </w:num>
  <w:num w:numId="3" w16cid:durableId="846555574">
    <w:abstractNumId w:val="23"/>
  </w:num>
  <w:num w:numId="4" w16cid:durableId="448739260">
    <w:abstractNumId w:val="49"/>
  </w:num>
  <w:num w:numId="5" w16cid:durableId="1000430294">
    <w:abstractNumId w:val="50"/>
  </w:num>
  <w:num w:numId="6" w16cid:durableId="1851336105">
    <w:abstractNumId w:val="38"/>
  </w:num>
  <w:num w:numId="7" w16cid:durableId="1395159481">
    <w:abstractNumId w:val="6"/>
  </w:num>
  <w:num w:numId="8" w16cid:durableId="914970820">
    <w:abstractNumId w:val="8"/>
  </w:num>
  <w:num w:numId="9" w16cid:durableId="1665625257">
    <w:abstractNumId w:val="37"/>
  </w:num>
  <w:num w:numId="10" w16cid:durableId="754522595">
    <w:abstractNumId w:val="53"/>
  </w:num>
  <w:num w:numId="11" w16cid:durableId="302273312">
    <w:abstractNumId w:val="16"/>
  </w:num>
  <w:num w:numId="12" w16cid:durableId="1059090124">
    <w:abstractNumId w:val="27"/>
  </w:num>
  <w:num w:numId="13" w16cid:durableId="2098674999">
    <w:abstractNumId w:val="12"/>
  </w:num>
  <w:num w:numId="14" w16cid:durableId="1251046344">
    <w:abstractNumId w:val="48"/>
  </w:num>
  <w:num w:numId="15" w16cid:durableId="946809432">
    <w:abstractNumId w:val="7"/>
  </w:num>
  <w:num w:numId="16" w16cid:durableId="1244028494">
    <w:abstractNumId w:val="3"/>
  </w:num>
  <w:num w:numId="17" w16cid:durableId="825169826">
    <w:abstractNumId w:val="19"/>
  </w:num>
  <w:num w:numId="18" w16cid:durableId="1765765754">
    <w:abstractNumId w:val="35"/>
  </w:num>
  <w:num w:numId="19" w16cid:durableId="937636241">
    <w:abstractNumId w:val="29"/>
  </w:num>
  <w:num w:numId="20" w16cid:durableId="1880584982">
    <w:abstractNumId w:val="39"/>
  </w:num>
  <w:num w:numId="21" w16cid:durableId="414132731">
    <w:abstractNumId w:val="42"/>
  </w:num>
  <w:num w:numId="22" w16cid:durableId="558126041">
    <w:abstractNumId w:val="13"/>
  </w:num>
  <w:num w:numId="23" w16cid:durableId="478768048">
    <w:abstractNumId w:val="52"/>
  </w:num>
  <w:num w:numId="24" w16cid:durableId="1024477433">
    <w:abstractNumId w:val="51"/>
  </w:num>
  <w:num w:numId="25" w16cid:durableId="2120024461">
    <w:abstractNumId w:val="17"/>
  </w:num>
  <w:num w:numId="26" w16cid:durableId="1275090347">
    <w:abstractNumId w:val="45"/>
  </w:num>
  <w:num w:numId="27" w16cid:durableId="437528037">
    <w:abstractNumId w:val="40"/>
  </w:num>
  <w:num w:numId="28" w16cid:durableId="1192768083">
    <w:abstractNumId w:val="11"/>
  </w:num>
  <w:num w:numId="29" w16cid:durableId="536504629">
    <w:abstractNumId w:val="14"/>
  </w:num>
  <w:num w:numId="30" w16cid:durableId="845246484">
    <w:abstractNumId w:val="34"/>
  </w:num>
  <w:num w:numId="31" w16cid:durableId="1286810399">
    <w:abstractNumId w:val="10"/>
  </w:num>
  <w:num w:numId="32" w16cid:durableId="518665532">
    <w:abstractNumId w:val="47"/>
  </w:num>
  <w:num w:numId="33" w16cid:durableId="1090084240">
    <w:abstractNumId w:val="22"/>
  </w:num>
  <w:num w:numId="34" w16cid:durableId="239219953">
    <w:abstractNumId w:val="41"/>
  </w:num>
  <w:num w:numId="35" w16cid:durableId="541207363">
    <w:abstractNumId w:val="28"/>
  </w:num>
  <w:num w:numId="36" w16cid:durableId="1678967221">
    <w:abstractNumId w:val="32"/>
  </w:num>
  <w:num w:numId="37" w16cid:durableId="367528444">
    <w:abstractNumId w:val="21"/>
  </w:num>
  <w:num w:numId="38" w16cid:durableId="673149022">
    <w:abstractNumId w:val="4"/>
  </w:num>
  <w:num w:numId="39" w16cid:durableId="86121046">
    <w:abstractNumId w:val="20"/>
  </w:num>
  <w:num w:numId="40" w16cid:durableId="205875947">
    <w:abstractNumId w:val="30"/>
  </w:num>
  <w:num w:numId="41" w16cid:durableId="1310943656">
    <w:abstractNumId w:val="1"/>
  </w:num>
  <w:num w:numId="42" w16cid:durableId="1431003545">
    <w:abstractNumId w:val="9"/>
  </w:num>
  <w:num w:numId="43" w16cid:durableId="1676687265">
    <w:abstractNumId w:val="43"/>
  </w:num>
  <w:num w:numId="44" w16cid:durableId="1249657625">
    <w:abstractNumId w:val="26"/>
  </w:num>
  <w:num w:numId="45" w16cid:durableId="1205875152">
    <w:abstractNumId w:val="31"/>
  </w:num>
  <w:num w:numId="46" w16cid:durableId="18511206">
    <w:abstractNumId w:val="33"/>
  </w:num>
  <w:num w:numId="47" w16cid:durableId="1997760897">
    <w:abstractNumId w:val="44"/>
  </w:num>
  <w:num w:numId="48" w16cid:durableId="961031037">
    <w:abstractNumId w:val="5"/>
  </w:num>
  <w:num w:numId="49" w16cid:durableId="282885064">
    <w:abstractNumId w:val="18"/>
  </w:num>
  <w:num w:numId="50" w16cid:durableId="584072442">
    <w:abstractNumId w:val="36"/>
  </w:num>
  <w:num w:numId="51" w16cid:durableId="1818300733">
    <w:abstractNumId w:val="15"/>
  </w:num>
  <w:num w:numId="52" w16cid:durableId="1683704802">
    <w:abstractNumId w:val="24"/>
  </w:num>
  <w:num w:numId="53" w16cid:durableId="573702964">
    <w:abstractNumId w:val="46"/>
  </w:num>
  <w:num w:numId="54" w16cid:durableId="154313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D"/>
    <w:rsid w:val="00234942"/>
    <w:rsid w:val="00396751"/>
    <w:rsid w:val="003B7160"/>
    <w:rsid w:val="00520E8A"/>
    <w:rsid w:val="0063695A"/>
    <w:rsid w:val="00666B87"/>
    <w:rsid w:val="008A6AE5"/>
    <w:rsid w:val="00982562"/>
    <w:rsid w:val="00994346"/>
    <w:rsid w:val="00A2371A"/>
    <w:rsid w:val="00AA04CC"/>
    <w:rsid w:val="00B505B0"/>
    <w:rsid w:val="00C329AC"/>
    <w:rsid w:val="00D50351"/>
    <w:rsid w:val="00E34912"/>
    <w:rsid w:val="00E524FC"/>
    <w:rsid w:val="00F3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F45B"/>
  <w15:chartTrackingRefBased/>
  <w15:docId w15:val="{60681BEA-66F0-4AA1-A762-6BE5152C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25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Wojtkowiak</dc:creator>
  <cp:keywords/>
  <dc:description/>
  <cp:lastModifiedBy>Maciej Wojtkowiak</cp:lastModifiedBy>
  <cp:revision>2</cp:revision>
  <dcterms:created xsi:type="dcterms:W3CDTF">2025-06-12T15:24:00Z</dcterms:created>
  <dcterms:modified xsi:type="dcterms:W3CDTF">2025-06-12T18:00:00Z</dcterms:modified>
</cp:coreProperties>
</file>