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91B263" w14:textId="77777777" w:rsidR="0094432B" w:rsidRPr="0094432B" w:rsidRDefault="0094432B" w:rsidP="00AA32FA">
      <w:pPr>
        <w:pStyle w:val="Heading1"/>
        <w:rPr>
          <w:lang w:val="en-US"/>
        </w:rPr>
      </w:pPr>
      <w:r w:rsidRPr="0094432B">
        <w:rPr>
          <w:lang w:val="en-US"/>
        </w:rPr>
        <w:t>Q&amp;A Transcript Analysis – Goldman Sachs &amp; JP Morgan (2022–2025)</w:t>
      </w:r>
    </w:p>
    <w:p w14:paraId="15AFABC6" w14:textId="77777777" w:rsidR="00396751" w:rsidRDefault="00396751"/>
    <w:p w14:paraId="2C6992C3" w14:textId="263B8D56" w:rsidR="0094432B" w:rsidRPr="00D74448" w:rsidRDefault="0094432B" w:rsidP="00D74448">
      <w:pPr>
        <w:pStyle w:val="Heading1"/>
        <w:rPr>
          <w:lang w:val="en-US"/>
        </w:rPr>
      </w:pPr>
      <w:r w:rsidRPr="0094432B">
        <w:rPr>
          <w:lang w:val="en-US"/>
        </w:rPr>
        <w:t>Introduction</w:t>
      </w:r>
    </w:p>
    <w:p w14:paraId="56EA5E1C" w14:textId="099B4F3D" w:rsidR="0094432B" w:rsidRPr="0094432B" w:rsidRDefault="0094432B" w:rsidP="0094432B">
      <w:pPr>
        <w:pStyle w:val="NoSpacing"/>
      </w:pPr>
      <w:r w:rsidRPr="0094432B">
        <w:t>This document analyses Q&amp;A transcripts from Goldman Sachs and JP Morgan (2022-2025). We examined charts, speaker roles, and keyword trends to identify thematic evolution, strategic emphasis, and potential risk signals in investor communications.</w:t>
      </w:r>
    </w:p>
    <w:p w14:paraId="6231F644" w14:textId="55A9DC3B" w:rsidR="008B753D" w:rsidRPr="00D74448" w:rsidRDefault="0094432B" w:rsidP="00D74448">
      <w:pPr>
        <w:pStyle w:val="Heading1"/>
      </w:pPr>
      <w:r w:rsidRPr="0094432B">
        <w:t xml:space="preserve">Goldman Sachs </w:t>
      </w:r>
    </w:p>
    <w:p w14:paraId="673A0215" w14:textId="28D3BB97" w:rsidR="008B753D" w:rsidRDefault="008B753D" w:rsidP="00CB04C3">
      <w:pPr>
        <w:pStyle w:val="Heading2"/>
      </w:pPr>
      <w:r w:rsidRPr="008B753D">
        <w:t>Key Findings</w:t>
      </w:r>
    </w:p>
    <w:p w14:paraId="325B680D" w14:textId="5DF7A9C4" w:rsidR="008B753D" w:rsidRPr="008B753D" w:rsidRDefault="008B753D" w:rsidP="008B753D">
      <w:pPr>
        <w:pStyle w:val="NoSpacing"/>
        <w:rPr>
          <w:b/>
          <w:bCs/>
        </w:rPr>
      </w:pPr>
      <w:r w:rsidRPr="008B753D">
        <w:rPr>
          <w:b/>
          <w:bCs/>
        </w:rPr>
        <w:t>Role-wise Engagement</w:t>
      </w:r>
    </w:p>
    <w:p w14:paraId="77B38473" w14:textId="77777777" w:rsidR="008B753D" w:rsidRDefault="008B753D" w:rsidP="008B753D">
      <w:pPr>
        <w:pStyle w:val="NoSpacing"/>
      </w:pPr>
      <w:r>
        <w:t>• CEO and CFO were the dominant speakers, particularly until Q2 2024.</w:t>
      </w:r>
      <w:r>
        <w:br/>
        <w:t>• Chairman and IR (Investor Relations) had limited participation overall but spiked in Q1 2023 and Q1 2025, suggesting strategic or board-level emphasis during these periods.</w:t>
      </w:r>
      <w:r>
        <w:br/>
        <w:t>• The ‘Unknown’ category remains significant, likely due to either untagged transcript segments or unidentified speakers.</w:t>
      </w:r>
    </w:p>
    <w:p w14:paraId="2973E0D4" w14:textId="77777777" w:rsidR="009305D7" w:rsidRDefault="009305D7" w:rsidP="008B753D">
      <w:pPr>
        <w:pStyle w:val="NoSpacing"/>
      </w:pPr>
    </w:p>
    <w:p w14:paraId="5CFFA299" w14:textId="629C7955" w:rsidR="008B753D" w:rsidRDefault="008E0C54" w:rsidP="008B753D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2BC818B4" wp14:editId="72CB40CB">
            <wp:extent cx="5731510" cy="2851785"/>
            <wp:effectExtent l="0" t="0" r="2540" b="5715"/>
            <wp:docPr id="205882540" name="Picture 1" descr="A close-up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2540" name="Picture 1" descr="A close-up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0C12F" w14:textId="44EC9356" w:rsidR="008E0C54" w:rsidRDefault="008E0C54" w:rsidP="008B753D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6368018" wp14:editId="56F44238">
            <wp:extent cx="5731510" cy="2843530"/>
            <wp:effectExtent l="0" t="0" r="2540" b="0"/>
            <wp:docPr id="251063449" name="Picture 2" descr="A graph with blu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63449" name="Picture 2" descr="A graph with blue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4D80C" w14:textId="040325B5" w:rsidR="009305D7" w:rsidRDefault="009305D7" w:rsidP="008B753D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07347FF9" wp14:editId="500CE1EE">
            <wp:extent cx="5731510" cy="3780155"/>
            <wp:effectExtent l="0" t="0" r="2540" b="0"/>
            <wp:docPr id="248645128" name="Picture 4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45128" name="Picture 4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4ABF3" w14:textId="28372F21" w:rsidR="008E0C54" w:rsidRDefault="008E0C54" w:rsidP="008B753D">
      <w:pPr>
        <w:pStyle w:val="NoSpacing"/>
        <w:rPr>
          <w:b/>
          <w:bCs/>
        </w:rPr>
      </w:pPr>
    </w:p>
    <w:p w14:paraId="5A5B2A49" w14:textId="77777777" w:rsidR="008E0C54" w:rsidRDefault="008E0C54" w:rsidP="008B753D">
      <w:pPr>
        <w:pStyle w:val="NoSpacing"/>
        <w:rPr>
          <w:b/>
          <w:bCs/>
        </w:rPr>
      </w:pPr>
    </w:p>
    <w:p w14:paraId="0A8384BE" w14:textId="69A5CD9C" w:rsidR="00D74448" w:rsidRPr="008B753D" w:rsidRDefault="008B753D" w:rsidP="008B753D">
      <w:pPr>
        <w:pStyle w:val="NoSpacing"/>
        <w:rPr>
          <w:b/>
          <w:bCs/>
        </w:rPr>
      </w:pPr>
      <w:r w:rsidRPr="008B753D">
        <w:rPr>
          <w:b/>
          <w:bCs/>
        </w:rPr>
        <w:t>Keyword Trends</w:t>
      </w:r>
    </w:p>
    <w:p w14:paraId="7FC5E2E8" w14:textId="1111B03B" w:rsidR="008B753D" w:rsidRDefault="008B753D" w:rsidP="008B753D">
      <w:pPr>
        <w:pStyle w:val="NoSpacing"/>
      </w:pPr>
      <w:r>
        <w:t>• Capital</w:t>
      </w:r>
      <w:r w:rsidR="00F21C72">
        <w:t xml:space="preserve"> - </w:t>
      </w:r>
      <w:r>
        <w:t>emerged as the most persistent theme across all quarters, reflecting a consistent strategic focus.</w:t>
      </w:r>
      <w:r>
        <w:br/>
        <w:t>• Growth and Asset</w:t>
      </w:r>
      <w:r w:rsidR="00F21C72">
        <w:t xml:space="preserve"> - </w:t>
      </w:r>
      <w:r>
        <w:t>frequently co-occur with Capital, indicating expansion and asset mix considerations.</w:t>
      </w:r>
      <w:r>
        <w:br/>
        <w:t>• Unique, context-driven keywords surfaced periodically:</w:t>
      </w:r>
      <w:r>
        <w:br/>
        <w:t xml:space="preserve">  - Q1 2023: “Credit” and “Deposit” — likely tied to banking sector stress.</w:t>
      </w:r>
      <w:r>
        <w:br/>
        <w:t xml:space="preserve">  - Q2 &amp; Q4 2023: “Investment” and “Asset” — </w:t>
      </w:r>
      <w:r w:rsidR="00D74448" w:rsidRPr="00D74448">
        <w:t>possibly reflecting shifts in macro allocation or portfolio strategy.</w:t>
      </w:r>
    </w:p>
    <w:p w14:paraId="04483C98" w14:textId="77777777" w:rsidR="00F21C72" w:rsidRDefault="00F21C72" w:rsidP="008B753D">
      <w:pPr>
        <w:pStyle w:val="NoSpacing"/>
      </w:pPr>
    </w:p>
    <w:p w14:paraId="665B26B0" w14:textId="40D32882" w:rsidR="008B753D" w:rsidRPr="008B753D" w:rsidRDefault="008B753D" w:rsidP="008B753D">
      <w:pPr>
        <w:pStyle w:val="NoSpacing"/>
        <w:rPr>
          <w:b/>
          <w:bCs/>
        </w:rPr>
      </w:pPr>
      <w:r w:rsidRPr="008B753D">
        <w:rPr>
          <w:b/>
          <w:bCs/>
        </w:rPr>
        <w:t>Quarter-Specific Highlights</w:t>
      </w:r>
    </w:p>
    <w:p w14:paraId="51E811F7" w14:textId="77777777" w:rsidR="008B753D" w:rsidRDefault="008B753D" w:rsidP="008B753D">
      <w:pPr>
        <w:pStyle w:val="NoSpacing"/>
      </w:pPr>
      <w:r>
        <w:lastRenderedPageBreak/>
        <w:t>• Q1 2023: High Chairman involvement and unique keyword set — likely a response to a macro event.</w:t>
      </w:r>
      <w:r>
        <w:br/>
        <w:t>• Q2–Q4 2024: Reduced CEO/CFO input, increased ‘Other’ and ‘Unknown’ presence.</w:t>
      </w:r>
      <w:r>
        <w:br/>
        <w:t>• Q1 2025: Chairman’s active role resurfaces — suggesting board-level focus.</w:t>
      </w:r>
    </w:p>
    <w:p w14:paraId="656F0CF6" w14:textId="77777777" w:rsidR="008B753D" w:rsidRDefault="008B753D" w:rsidP="008B753D">
      <w:pPr>
        <w:pStyle w:val="NoSpacing"/>
        <w:rPr>
          <w:b/>
          <w:bCs/>
        </w:rPr>
      </w:pPr>
    </w:p>
    <w:p w14:paraId="4F061D60" w14:textId="560DAB3C" w:rsidR="008B753D" w:rsidRPr="008B753D" w:rsidRDefault="008B753D" w:rsidP="008B753D">
      <w:pPr>
        <w:pStyle w:val="NoSpacing"/>
        <w:rPr>
          <w:b/>
          <w:bCs/>
        </w:rPr>
      </w:pPr>
      <w:r w:rsidRPr="008B753D">
        <w:rPr>
          <w:b/>
          <w:bCs/>
        </w:rPr>
        <w:t>Strategic Interpretation</w:t>
      </w:r>
    </w:p>
    <w:p w14:paraId="38A1D440" w14:textId="77777777" w:rsidR="008B753D" w:rsidRDefault="008B753D" w:rsidP="008B753D">
      <w:pPr>
        <w:pStyle w:val="NoSpacing"/>
      </w:pPr>
      <w:r>
        <w:t>• Capital is a dominant theme, with evolving discourse from CEO/CFO to broader roles.</w:t>
      </w:r>
      <w:r>
        <w:br/>
        <w:t>• Role shifts post-2024 may indicate decentralization or increased analyst/IR engagement.</w:t>
      </w:r>
      <w:r>
        <w:br/>
        <w:t>• Peaks in IR/Chairman activity align with critical periods.</w:t>
      </w:r>
    </w:p>
    <w:p w14:paraId="304C258E" w14:textId="77777777" w:rsidR="008B753D" w:rsidRDefault="008B753D" w:rsidP="008B753D">
      <w:pPr>
        <w:pStyle w:val="NoSpacing"/>
      </w:pPr>
    </w:p>
    <w:p w14:paraId="370420BD" w14:textId="77777777" w:rsidR="00AA32FA" w:rsidRDefault="00AA32FA" w:rsidP="008B753D">
      <w:pPr>
        <w:pStyle w:val="NoSpacing"/>
      </w:pPr>
    </w:p>
    <w:p w14:paraId="3115D7B8" w14:textId="77777777" w:rsidR="00AA32FA" w:rsidRDefault="00AA32FA" w:rsidP="008B753D">
      <w:pPr>
        <w:pStyle w:val="NoSpacing"/>
      </w:pPr>
    </w:p>
    <w:p w14:paraId="4EA101AF" w14:textId="5AF0A65D" w:rsidR="008B753D" w:rsidRDefault="008B753D" w:rsidP="00F21C72">
      <w:pPr>
        <w:pStyle w:val="Heading2"/>
      </w:pPr>
      <w:r w:rsidRPr="00D74448">
        <w:t>Keyword Insights</w:t>
      </w:r>
    </w:p>
    <w:p w14:paraId="5C8004E4" w14:textId="72EE1DAF" w:rsidR="00F21C72" w:rsidRPr="00F21C72" w:rsidRDefault="00F21C72" w:rsidP="00F21C72">
      <w:pPr>
        <w:pStyle w:val="NoSpacing"/>
        <w:rPr>
          <w:b/>
          <w:bCs/>
        </w:rPr>
      </w:pPr>
      <w:r w:rsidRPr="00F21C72">
        <w:rPr>
          <w:b/>
          <w:bCs/>
        </w:rPr>
        <w:t>Trend &amp; Interpretation</w:t>
      </w:r>
    </w:p>
    <w:p w14:paraId="4298EDDA" w14:textId="13464C09" w:rsidR="00AF5308" w:rsidRPr="00D74448" w:rsidRDefault="00D74448" w:rsidP="00F21C72">
      <w:pPr>
        <w:pStyle w:val="NoSpacing"/>
        <w:numPr>
          <w:ilvl w:val="0"/>
          <w:numId w:val="12"/>
        </w:numPr>
        <w:ind w:left="142" w:hanging="142"/>
      </w:pPr>
      <w:r w:rsidRPr="00D74448">
        <w:t>Capital - Most frequent; strong upward trend, peaking in Q1 2025 (~47 mentions). Indicates increasing regulatory or strategic importance.</w:t>
      </w:r>
    </w:p>
    <w:p w14:paraId="2BBA26B9" w14:textId="35F08C4B" w:rsidR="00D74448" w:rsidRDefault="00D74448" w:rsidP="00F21C72">
      <w:pPr>
        <w:pStyle w:val="NoSpacing"/>
        <w:numPr>
          <w:ilvl w:val="0"/>
          <w:numId w:val="12"/>
        </w:numPr>
        <w:ind w:left="142" w:hanging="142"/>
      </w:pPr>
      <w:r w:rsidRPr="00D74448">
        <w:t>Growth - Stable presence with peaks in Q1/Q3 2022 and Q4 2024. Reflects cyclical focus.</w:t>
      </w:r>
    </w:p>
    <w:p w14:paraId="3834453F" w14:textId="343E4D31" w:rsidR="00D74448" w:rsidRDefault="00D74448" w:rsidP="00F21C72">
      <w:pPr>
        <w:pStyle w:val="NoSpacing"/>
        <w:numPr>
          <w:ilvl w:val="0"/>
          <w:numId w:val="12"/>
        </w:numPr>
        <w:ind w:left="142" w:hanging="142"/>
      </w:pPr>
      <w:r w:rsidRPr="00D74448">
        <w:t>Asset - Peaked in Q4 2022, then declined. Tied to asset management or balance sheet priorities.</w:t>
      </w:r>
    </w:p>
    <w:p w14:paraId="5106BEFA" w14:textId="2609C16B" w:rsidR="00D74448" w:rsidRDefault="00D74448" w:rsidP="00F21C72">
      <w:pPr>
        <w:pStyle w:val="NoSpacing"/>
        <w:numPr>
          <w:ilvl w:val="0"/>
          <w:numId w:val="12"/>
        </w:numPr>
        <w:ind w:left="142" w:hanging="142"/>
      </w:pPr>
      <w:r w:rsidRPr="00D74448">
        <w:t>Investment - Sharp increase in Q2 2023, then tapered off. Possibly linked to new capital deployment strategies</w:t>
      </w:r>
    </w:p>
    <w:p w14:paraId="1D1F8C9C" w14:textId="77777777" w:rsidR="00F21C72" w:rsidRDefault="00D74448" w:rsidP="00F21C72">
      <w:pPr>
        <w:pStyle w:val="NoSpacing"/>
        <w:numPr>
          <w:ilvl w:val="0"/>
          <w:numId w:val="12"/>
        </w:numPr>
        <w:ind w:left="142" w:hanging="142"/>
      </w:pPr>
      <w:r w:rsidRPr="00D74448">
        <w:t>Other Keywords (e.g., Equity, Credit, Return, Revenue, Risk):</w:t>
      </w:r>
    </w:p>
    <w:p w14:paraId="5D478E02" w14:textId="6F240984" w:rsidR="00D74448" w:rsidRPr="00D74448" w:rsidRDefault="00D74448" w:rsidP="00F21C72">
      <w:pPr>
        <w:pStyle w:val="NoSpacing"/>
        <w:ind w:left="142"/>
      </w:pPr>
      <w:r w:rsidRPr="00D74448">
        <w:t>Show lower frequency and high volatility.</w:t>
      </w:r>
      <w:r w:rsidR="00F21C72">
        <w:t xml:space="preserve"> </w:t>
      </w:r>
      <w:r w:rsidRPr="00D74448">
        <w:t>Risk and return are context-driven rather than core discussion themes.</w:t>
      </w:r>
    </w:p>
    <w:p w14:paraId="3D38F692" w14:textId="77777777" w:rsidR="00D74448" w:rsidRDefault="00D74448" w:rsidP="00D74448">
      <w:pPr>
        <w:pStyle w:val="NoSpacing"/>
      </w:pPr>
    </w:p>
    <w:p w14:paraId="6448781E" w14:textId="77777777" w:rsidR="00D74448" w:rsidRPr="00D74448" w:rsidRDefault="00D74448" w:rsidP="00D74448">
      <w:pPr>
        <w:pStyle w:val="NoSpacing"/>
        <w:rPr>
          <w:b/>
          <w:bCs/>
        </w:rPr>
      </w:pPr>
      <w:r w:rsidRPr="00D74448">
        <w:rPr>
          <w:b/>
          <w:bCs/>
        </w:rPr>
        <w:t>Strategic Implication</w:t>
      </w:r>
    </w:p>
    <w:p w14:paraId="4B350AD0" w14:textId="77777777" w:rsidR="00D74448" w:rsidRPr="00D74448" w:rsidRDefault="00D74448" w:rsidP="00D74448">
      <w:pPr>
        <w:pStyle w:val="NoSpacing"/>
      </w:pPr>
      <w:r w:rsidRPr="00D74448">
        <w:t>Goldman Sachs’ discourse is becoming increasingly capital-focused, potentially due to:</w:t>
      </w:r>
    </w:p>
    <w:p w14:paraId="4CECA753" w14:textId="77777777" w:rsidR="00D74448" w:rsidRPr="00D74448" w:rsidRDefault="00D74448" w:rsidP="00F21C72">
      <w:pPr>
        <w:pStyle w:val="NoSpacing"/>
        <w:numPr>
          <w:ilvl w:val="0"/>
          <w:numId w:val="10"/>
        </w:numPr>
        <w:ind w:left="142" w:hanging="142"/>
      </w:pPr>
      <w:r w:rsidRPr="00D74448">
        <w:t>Rising capital requirements and regulatory pressure.</w:t>
      </w:r>
    </w:p>
    <w:p w14:paraId="2DDC0C38" w14:textId="77777777" w:rsidR="00D74448" w:rsidRPr="00D74448" w:rsidRDefault="00D74448" w:rsidP="00F21C72">
      <w:pPr>
        <w:pStyle w:val="NoSpacing"/>
        <w:numPr>
          <w:ilvl w:val="0"/>
          <w:numId w:val="10"/>
        </w:numPr>
        <w:ind w:left="142" w:hanging="142"/>
      </w:pPr>
      <w:r w:rsidRPr="00D74448">
        <w:t>Internal restructuring or balance sheet strategy shifts.</w:t>
      </w:r>
    </w:p>
    <w:p w14:paraId="6DCD9DDA" w14:textId="77777777" w:rsidR="00D74448" w:rsidRPr="00D74448" w:rsidRDefault="00D74448" w:rsidP="00F21C72">
      <w:pPr>
        <w:pStyle w:val="NoSpacing"/>
        <w:numPr>
          <w:ilvl w:val="0"/>
          <w:numId w:val="10"/>
        </w:numPr>
        <w:ind w:left="142" w:hanging="142"/>
      </w:pPr>
      <w:r w:rsidRPr="00D74448">
        <w:t>Responses to interest rate environments and macroeconomic change.</w:t>
      </w:r>
    </w:p>
    <w:p w14:paraId="08E46ECC" w14:textId="294B6874" w:rsidR="00CB04C3" w:rsidRDefault="009305D7" w:rsidP="00AF5308">
      <w:pPr>
        <w:pStyle w:val="NoSpacing"/>
      </w:pPr>
      <w:r>
        <w:rPr>
          <w:noProof/>
        </w:rPr>
        <w:drawing>
          <wp:inline distT="0" distB="0" distL="0" distR="0" wp14:anchorId="342F0DD7" wp14:editId="5EE7F50F">
            <wp:extent cx="5731510" cy="2912110"/>
            <wp:effectExtent l="0" t="0" r="2540" b="2540"/>
            <wp:docPr id="1271741164" name="Picture 5" descr="A graph of financial growt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41164" name="Picture 5" descr="A graph of financial growt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59392" w14:textId="3315A10A" w:rsidR="009305D7" w:rsidRDefault="009305D7" w:rsidP="00AF5308">
      <w:pPr>
        <w:pStyle w:val="NoSpacing"/>
      </w:pPr>
      <w:r>
        <w:rPr>
          <w:noProof/>
        </w:rPr>
        <w:lastRenderedPageBreak/>
        <w:drawing>
          <wp:inline distT="0" distB="0" distL="0" distR="0" wp14:anchorId="063F3C7C" wp14:editId="5D84F08B">
            <wp:extent cx="5731510" cy="2783205"/>
            <wp:effectExtent l="0" t="0" r="2540" b="0"/>
            <wp:docPr id="122494351" name="Picture 6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4351" name="Picture 6" descr="A graph of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8DECA" w14:textId="40ABFF48" w:rsidR="009305D7" w:rsidRDefault="009305D7" w:rsidP="00AF5308">
      <w:pPr>
        <w:pStyle w:val="NoSpacing"/>
      </w:pPr>
      <w:r w:rsidRPr="009305D7">
        <w:drawing>
          <wp:inline distT="0" distB="0" distL="0" distR="0" wp14:anchorId="216D33D1" wp14:editId="2C7BB9B4">
            <wp:extent cx="5731510" cy="2850515"/>
            <wp:effectExtent l="0" t="0" r="2540" b="6985"/>
            <wp:docPr id="357341658" name="Picture 1" descr="A graph of a graph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41658" name="Picture 1" descr="A graph of a graph of a company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1031" w14:textId="77777777" w:rsidR="00E71BB0" w:rsidRDefault="00E71BB0" w:rsidP="00AF5308">
      <w:pPr>
        <w:pStyle w:val="NoSpacing"/>
      </w:pPr>
    </w:p>
    <w:p w14:paraId="1A000CEA" w14:textId="77777777" w:rsidR="00E71BB0" w:rsidRDefault="00E71BB0" w:rsidP="00AF5308">
      <w:pPr>
        <w:pStyle w:val="NoSpacing"/>
      </w:pPr>
    </w:p>
    <w:p w14:paraId="7AFB1542" w14:textId="77777777" w:rsidR="00E71BB0" w:rsidRDefault="00E71BB0" w:rsidP="00AF5308">
      <w:pPr>
        <w:pStyle w:val="NoSpacing"/>
      </w:pPr>
    </w:p>
    <w:p w14:paraId="6DED0965" w14:textId="77777777" w:rsidR="00E71BB0" w:rsidRDefault="00E71BB0" w:rsidP="00AF5308">
      <w:pPr>
        <w:pStyle w:val="NoSpacing"/>
      </w:pPr>
    </w:p>
    <w:p w14:paraId="22D66053" w14:textId="77777777" w:rsidR="00E71BB0" w:rsidRDefault="00E71BB0" w:rsidP="00AF5308">
      <w:pPr>
        <w:pStyle w:val="NoSpacing"/>
      </w:pPr>
    </w:p>
    <w:p w14:paraId="6E761FFA" w14:textId="77777777" w:rsidR="00E71BB0" w:rsidRDefault="00E71BB0" w:rsidP="00AF5308">
      <w:pPr>
        <w:pStyle w:val="NoSpacing"/>
      </w:pPr>
    </w:p>
    <w:p w14:paraId="07025425" w14:textId="77777777" w:rsidR="00E71BB0" w:rsidRDefault="00E71BB0" w:rsidP="00AF5308">
      <w:pPr>
        <w:pStyle w:val="NoSpacing"/>
      </w:pPr>
    </w:p>
    <w:p w14:paraId="0B861B6B" w14:textId="77777777" w:rsidR="00E71BB0" w:rsidRDefault="00E71BB0" w:rsidP="00AF5308">
      <w:pPr>
        <w:pStyle w:val="NoSpacing"/>
      </w:pPr>
    </w:p>
    <w:p w14:paraId="69ACFE06" w14:textId="77777777" w:rsidR="00E71BB0" w:rsidRDefault="00E71BB0" w:rsidP="00AF5308">
      <w:pPr>
        <w:pStyle w:val="NoSpacing"/>
      </w:pPr>
    </w:p>
    <w:p w14:paraId="2C86B83F" w14:textId="77777777" w:rsidR="00E71BB0" w:rsidRDefault="00E71BB0" w:rsidP="00AF5308">
      <w:pPr>
        <w:pStyle w:val="NoSpacing"/>
      </w:pPr>
    </w:p>
    <w:p w14:paraId="74B3CD0D" w14:textId="77777777" w:rsidR="00E71BB0" w:rsidRDefault="00E71BB0" w:rsidP="00AF5308">
      <w:pPr>
        <w:pStyle w:val="NoSpacing"/>
      </w:pPr>
    </w:p>
    <w:p w14:paraId="7723D677" w14:textId="77777777" w:rsidR="00E71BB0" w:rsidRDefault="00E71BB0" w:rsidP="00AF5308">
      <w:pPr>
        <w:pStyle w:val="NoSpacing"/>
      </w:pPr>
    </w:p>
    <w:p w14:paraId="461AD99A" w14:textId="77777777" w:rsidR="00E71BB0" w:rsidRDefault="00E71BB0" w:rsidP="00AF5308">
      <w:pPr>
        <w:pStyle w:val="NoSpacing"/>
      </w:pPr>
    </w:p>
    <w:p w14:paraId="1383CA1B" w14:textId="77777777" w:rsidR="00E71BB0" w:rsidRDefault="00E71BB0" w:rsidP="00AF5308">
      <w:pPr>
        <w:pStyle w:val="NoSpacing"/>
      </w:pPr>
    </w:p>
    <w:p w14:paraId="3CF2311A" w14:textId="32529115" w:rsidR="00E71BB0" w:rsidRPr="00E71BB0" w:rsidRDefault="00AF5308" w:rsidP="00E71BB0">
      <w:pPr>
        <w:pStyle w:val="Heading2"/>
      </w:pPr>
      <w:r w:rsidRPr="00AF5308">
        <w:lastRenderedPageBreak/>
        <w:t>JP Morgan</w:t>
      </w:r>
    </w:p>
    <w:p w14:paraId="1949C284" w14:textId="2454454C" w:rsidR="00AF5308" w:rsidRDefault="00AF5308" w:rsidP="00F21C72">
      <w:pPr>
        <w:pStyle w:val="Heading2"/>
      </w:pPr>
      <w:r w:rsidRPr="00AF5308">
        <w:t>Key Findings</w:t>
      </w:r>
    </w:p>
    <w:p w14:paraId="1FE91C8F" w14:textId="77777777" w:rsidR="00AF5308" w:rsidRPr="00AF5308" w:rsidRDefault="00AF5308" w:rsidP="00AF5308">
      <w:pPr>
        <w:pStyle w:val="NoSpacing"/>
        <w:rPr>
          <w:b/>
          <w:bCs/>
        </w:rPr>
      </w:pPr>
    </w:p>
    <w:p w14:paraId="17BEDB10" w14:textId="0D98764C" w:rsidR="00AF5308" w:rsidRPr="00AF5308" w:rsidRDefault="00AF5308" w:rsidP="00AF5308">
      <w:pPr>
        <w:pStyle w:val="NoSpacing"/>
        <w:rPr>
          <w:b/>
          <w:bCs/>
        </w:rPr>
      </w:pPr>
      <w:r w:rsidRPr="00AF5308">
        <w:rPr>
          <w:b/>
          <w:bCs/>
        </w:rPr>
        <w:t>Role-wise Engagement</w:t>
      </w:r>
    </w:p>
    <w:p w14:paraId="57ED1080" w14:textId="77777777" w:rsidR="00AF5308" w:rsidRDefault="00AF5308" w:rsidP="00AF5308">
      <w:pPr>
        <w:pStyle w:val="NoSpacing"/>
      </w:pPr>
      <w:r>
        <w:t>• Analysts dominate dialogue, especially Q2 2023 and Q1 2025.</w:t>
      </w:r>
      <w:r>
        <w:br/>
        <w:t>• CFOs maintain consistent detail-heavy participation.</w:t>
      </w:r>
      <w:r>
        <w:br/>
        <w:t>• CEOs contribute intermittently with high-level insight.</w:t>
      </w:r>
    </w:p>
    <w:p w14:paraId="0C7A000A" w14:textId="77777777" w:rsidR="00E71BB0" w:rsidRDefault="00E71BB0" w:rsidP="00AF5308">
      <w:pPr>
        <w:pStyle w:val="NoSpacing"/>
      </w:pPr>
    </w:p>
    <w:p w14:paraId="6BBA66A1" w14:textId="77777777" w:rsidR="00E71BB0" w:rsidRDefault="00E71BB0" w:rsidP="00AF5308">
      <w:pPr>
        <w:pStyle w:val="NoSpacing"/>
      </w:pPr>
    </w:p>
    <w:p w14:paraId="201AA1D0" w14:textId="4B7955AE" w:rsidR="00AF5308" w:rsidRDefault="00E71BB0" w:rsidP="00AF5308">
      <w:pPr>
        <w:pStyle w:val="NoSpacing"/>
      </w:pPr>
      <w:r>
        <w:rPr>
          <w:noProof/>
        </w:rPr>
        <w:drawing>
          <wp:inline distT="0" distB="0" distL="0" distR="0" wp14:anchorId="7497109F" wp14:editId="05CA913E">
            <wp:extent cx="5731510" cy="2849880"/>
            <wp:effectExtent l="0" t="0" r="2540" b="7620"/>
            <wp:docPr id="905543027" name="Picture 7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43027" name="Picture 7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C992A" w14:textId="4FF16EE4" w:rsidR="00E71BB0" w:rsidRDefault="00E71BB0" w:rsidP="00AF5308">
      <w:pPr>
        <w:pStyle w:val="NoSpacing"/>
      </w:pPr>
      <w:r>
        <w:rPr>
          <w:noProof/>
        </w:rPr>
        <w:drawing>
          <wp:inline distT="0" distB="0" distL="0" distR="0" wp14:anchorId="0406739D" wp14:editId="33192F2F">
            <wp:extent cx="5731510" cy="2841625"/>
            <wp:effectExtent l="0" t="0" r="2540" b="0"/>
            <wp:docPr id="622193640" name="Picture 8" descr="A graph of blu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93640" name="Picture 8" descr="A graph of blue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30761" w14:textId="57E261C5" w:rsidR="00E71BB0" w:rsidRDefault="00E71BB0" w:rsidP="00AF5308">
      <w:pPr>
        <w:pStyle w:val="NoSpacing"/>
      </w:pPr>
      <w:r>
        <w:rPr>
          <w:noProof/>
        </w:rPr>
        <w:lastRenderedPageBreak/>
        <w:drawing>
          <wp:inline distT="0" distB="0" distL="0" distR="0" wp14:anchorId="19DA6A48" wp14:editId="1FA4D6F9">
            <wp:extent cx="5731510" cy="3780155"/>
            <wp:effectExtent l="0" t="0" r="2540" b="0"/>
            <wp:docPr id="820323877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23877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2EC88" w14:textId="77777777" w:rsidR="00E71BB0" w:rsidRDefault="00E71BB0" w:rsidP="00AF5308">
      <w:pPr>
        <w:pStyle w:val="NoSpacing"/>
      </w:pPr>
    </w:p>
    <w:p w14:paraId="1D63BD47" w14:textId="2CFF0486" w:rsidR="00AF5308" w:rsidRPr="00AF5308" w:rsidRDefault="00AF5308" w:rsidP="00AF5308">
      <w:pPr>
        <w:pStyle w:val="NoSpacing"/>
        <w:rPr>
          <w:b/>
          <w:bCs/>
        </w:rPr>
      </w:pPr>
      <w:r w:rsidRPr="00AF5308">
        <w:rPr>
          <w:b/>
          <w:bCs/>
        </w:rPr>
        <w:t>Keyword Patterns</w:t>
      </w:r>
    </w:p>
    <w:p w14:paraId="34A1F5FF" w14:textId="77777777" w:rsidR="00AF5308" w:rsidRDefault="00AF5308" w:rsidP="00AF5308">
      <w:pPr>
        <w:pStyle w:val="NoSpacing"/>
      </w:pPr>
      <w:r>
        <w:t>• Capital appears in 10 of 13 quarters – a strategic constant.</w:t>
      </w:r>
      <w:r>
        <w:br/>
        <w:t>• Growth peaks in 2022 and Q4 2024.</w:t>
      </w:r>
      <w:r>
        <w:br/>
        <w:t>• 2023–2024: Emphasis on Deposit, NII, Credit – rate/liquidity concerns.</w:t>
      </w:r>
      <w:r>
        <w:br/>
        <w:t>• Q1 2025: Focus shifts to Investment, Cost, Credit.</w:t>
      </w:r>
    </w:p>
    <w:p w14:paraId="55D2996D" w14:textId="77777777" w:rsidR="00F21C72" w:rsidRDefault="00F21C72" w:rsidP="00F21C72">
      <w:pPr>
        <w:pStyle w:val="NoSpacing"/>
      </w:pPr>
    </w:p>
    <w:p w14:paraId="3D1D5332" w14:textId="1C03B8BB" w:rsidR="00F21C72" w:rsidRPr="00F21C72" w:rsidRDefault="00F21C72" w:rsidP="00F21C72">
      <w:pPr>
        <w:pStyle w:val="NoSpacing"/>
        <w:rPr>
          <w:b/>
          <w:bCs/>
        </w:rPr>
      </w:pPr>
      <w:r w:rsidRPr="00F21C72">
        <w:rPr>
          <w:b/>
          <w:bCs/>
        </w:rPr>
        <w:t>Interpretation</w:t>
      </w:r>
    </w:p>
    <w:p w14:paraId="290D7304" w14:textId="77777777" w:rsidR="00F21C72" w:rsidRPr="00F21C72" w:rsidRDefault="00F21C72" w:rsidP="00F21C72">
      <w:pPr>
        <w:pStyle w:val="NoSpacing"/>
        <w:numPr>
          <w:ilvl w:val="0"/>
          <w:numId w:val="14"/>
        </w:numPr>
        <w:ind w:left="142" w:hanging="142"/>
      </w:pPr>
      <w:r w:rsidRPr="00F21C72">
        <w:t>The emphasis on Capital suggests it's a structural concern, consistently addressed across roles.</w:t>
      </w:r>
    </w:p>
    <w:p w14:paraId="04022FBB" w14:textId="77777777" w:rsidR="00F21C72" w:rsidRPr="00F21C72" w:rsidRDefault="00F21C72" w:rsidP="00F21C72">
      <w:pPr>
        <w:pStyle w:val="NoSpacing"/>
        <w:numPr>
          <w:ilvl w:val="0"/>
          <w:numId w:val="14"/>
        </w:numPr>
        <w:ind w:left="142" w:hanging="142"/>
      </w:pPr>
      <w:r w:rsidRPr="00F21C72">
        <w:t>CFOs are the main responders, reflecting the operational and financial depth of the sessions.</w:t>
      </w:r>
    </w:p>
    <w:p w14:paraId="62EDD327" w14:textId="77777777" w:rsidR="00F21C72" w:rsidRPr="00F21C72" w:rsidRDefault="00F21C72" w:rsidP="00F21C72">
      <w:pPr>
        <w:pStyle w:val="NoSpacing"/>
        <w:numPr>
          <w:ilvl w:val="0"/>
          <w:numId w:val="14"/>
        </w:numPr>
        <w:ind w:left="142" w:hanging="142"/>
      </w:pPr>
      <w:r w:rsidRPr="00F21C72">
        <w:t>CEOs add intermittent high-level insights, while Analysts drive the questioning.</w:t>
      </w:r>
    </w:p>
    <w:p w14:paraId="67603314" w14:textId="77777777" w:rsidR="00F21C72" w:rsidRDefault="00F21C72" w:rsidP="00AF5308">
      <w:pPr>
        <w:pStyle w:val="NoSpacing"/>
      </w:pPr>
    </w:p>
    <w:p w14:paraId="7E2CA8CC" w14:textId="4E5D4406" w:rsidR="00AF5308" w:rsidRPr="00AF5308" w:rsidRDefault="00AF5308" w:rsidP="00AF5308">
      <w:pPr>
        <w:pStyle w:val="NoSpacing"/>
        <w:rPr>
          <w:b/>
          <w:bCs/>
        </w:rPr>
      </w:pPr>
      <w:r w:rsidRPr="00AF5308">
        <w:rPr>
          <w:b/>
          <w:bCs/>
        </w:rPr>
        <w:t>Keyword Trends</w:t>
      </w:r>
    </w:p>
    <w:p w14:paraId="689FCAC4" w14:textId="15CD0D4A" w:rsidR="00AF5308" w:rsidRDefault="00AF5308" w:rsidP="00AF5308">
      <w:pPr>
        <w:pStyle w:val="NoSpacing"/>
        <w:numPr>
          <w:ilvl w:val="0"/>
          <w:numId w:val="7"/>
        </w:numPr>
        <w:ind w:left="142" w:hanging="142"/>
      </w:pPr>
      <w:r>
        <w:t>Capital</w:t>
      </w:r>
      <w:r w:rsidR="00F21C72">
        <w:t xml:space="preserve"> - </w:t>
      </w:r>
      <w:r w:rsidR="00CB04C3" w:rsidRPr="00CB04C3">
        <w:t>Most consistent term. Spikes in Q2 2024 (32 mentions), tied to capital management or regulation.</w:t>
      </w:r>
    </w:p>
    <w:p w14:paraId="4211EEF4" w14:textId="557232C7" w:rsidR="00AF5308" w:rsidRDefault="00AF5308" w:rsidP="00AF5308">
      <w:pPr>
        <w:pStyle w:val="NoSpacing"/>
        <w:numPr>
          <w:ilvl w:val="0"/>
          <w:numId w:val="7"/>
        </w:numPr>
        <w:ind w:left="142" w:hanging="142"/>
      </w:pPr>
      <w:r>
        <w:t>NII</w:t>
      </w:r>
      <w:r w:rsidR="00F21C72">
        <w:t xml:space="preserve"> - </w:t>
      </w:r>
      <w:r w:rsidR="00CB04C3" w:rsidRPr="00CB04C3">
        <w:t>Peaks in Q3 2024, likely reflecting rate-sensitive earnings discussions.</w:t>
      </w:r>
    </w:p>
    <w:p w14:paraId="526364F0" w14:textId="0063DFA0" w:rsidR="00AF5308" w:rsidRDefault="00AF5308" w:rsidP="00AF5308">
      <w:pPr>
        <w:pStyle w:val="NoSpacing"/>
        <w:numPr>
          <w:ilvl w:val="0"/>
          <w:numId w:val="7"/>
        </w:numPr>
        <w:ind w:left="142" w:hanging="142"/>
      </w:pPr>
      <w:r>
        <w:t>Growth, Credit, Deposit</w:t>
      </w:r>
      <w:r w:rsidR="00CB04C3">
        <w:t xml:space="preserve"> -</w:t>
      </w:r>
      <w:r>
        <w:t xml:space="preserve"> </w:t>
      </w:r>
      <w:r w:rsidR="00CB04C3" w:rsidRPr="00CB04C3">
        <w:t>Moderate but steady; underscore recurring themes in business expansion and liquidity management.</w:t>
      </w:r>
    </w:p>
    <w:p w14:paraId="54713F5C" w14:textId="4D9152C4" w:rsidR="008B753D" w:rsidRDefault="00AF5308" w:rsidP="008B753D">
      <w:pPr>
        <w:pStyle w:val="NoSpacing"/>
        <w:numPr>
          <w:ilvl w:val="0"/>
          <w:numId w:val="7"/>
        </w:numPr>
        <w:ind w:left="142" w:hanging="142"/>
      </w:pPr>
      <w:r>
        <w:t>Investment and Loan</w:t>
      </w:r>
      <w:r w:rsidR="00CB04C3">
        <w:t xml:space="preserve"> -</w:t>
      </w:r>
      <w:r>
        <w:t xml:space="preserve"> </w:t>
      </w:r>
      <w:r w:rsidR="00CB04C3">
        <w:t>N</w:t>
      </w:r>
      <w:r w:rsidR="00CB04C3" w:rsidRPr="00CB04C3">
        <w:t>ot dominant themes, but still relevant during certain quarters.</w:t>
      </w:r>
      <w:r w:rsidR="00CB04C3">
        <w:t xml:space="preserve"> Might be used tactically.</w:t>
      </w:r>
    </w:p>
    <w:p w14:paraId="1C00145C" w14:textId="77777777" w:rsidR="00CB04C3" w:rsidRDefault="00CB04C3" w:rsidP="00CB04C3">
      <w:pPr>
        <w:pStyle w:val="NoSpacing"/>
      </w:pPr>
    </w:p>
    <w:p w14:paraId="1B059767" w14:textId="77777777" w:rsidR="00CB04C3" w:rsidRPr="00CB04C3" w:rsidRDefault="00CB04C3" w:rsidP="00CB04C3">
      <w:pPr>
        <w:pStyle w:val="NoSpacing"/>
        <w:rPr>
          <w:b/>
          <w:bCs/>
        </w:rPr>
      </w:pPr>
      <w:r w:rsidRPr="00CB04C3">
        <w:rPr>
          <w:b/>
          <w:bCs/>
        </w:rPr>
        <w:t>Notable Shifts</w:t>
      </w:r>
    </w:p>
    <w:p w14:paraId="408E096F" w14:textId="77777777" w:rsidR="00CB04C3" w:rsidRPr="00CB04C3" w:rsidRDefault="00CB04C3" w:rsidP="00CB04C3">
      <w:pPr>
        <w:pStyle w:val="NoSpacing"/>
        <w:numPr>
          <w:ilvl w:val="0"/>
          <w:numId w:val="16"/>
        </w:numPr>
        <w:ind w:left="142" w:hanging="142"/>
      </w:pPr>
      <w:r w:rsidRPr="00CB04C3">
        <w:t>Early 2022: Heavy focus on Deposits.</w:t>
      </w:r>
    </w:p>
    <w:p w14:paraId="240CB7F3" w14:textId="77777777" w:rsidR="00CB04C3" w:rsidRPr="00CB04C3" w:rsidRDefault="00CB04C3" w:rsidP="00CB04C3">
      <w:pPr>
        <w:pStyle w:val="NoSpacing"/>
        <w:numPr>
          <w:ilvl w:val="0"/>
          <w:numId w:val="16"/>
        </w:numPr>
        <w:ind w:left="142" w:hanging="142"/>
      </w:pPr>
      <w:r w:rsidRPr="00CB04C3">
        <w:t>2023–2024: Joint spikes in Capital, NII, and Credit — may reflect macroeconomic stress or strategic repositioning.</w:t>
      </w:r>
    </w:p>
    <w:p w14:paraId="18BAFA64" w14:textId="52550DEA" w:rsidR="00CB04C3" w:rsidRDefault="00CB04C3" w:rsidP="00CB04C3">
      <w:pPr>
        <w:pStyle w:val="NoSpacing"/>
        <w:numPr>
          <w:ilvl w:val="0"/>
          <w:numId w:val="16"/>
        </w:numPr>
        <w:ind w:left="142" w:hanging="142"/>
      </w:pPr>
      <w:r w:rsidRPr="00CB04C3">
        <w:t>2025: Transition to themes around Investment and Cost — suggesting operational optimization.</w:t>
      </w:r>
    </w:p>
    <w:p w14:paraId="4687D3FF" w14:textId="77777777" w:rsidR="00E71BB0" w:rsidRDefault="00E71BB0" w:rsidP="00E71BB0">
      <w:pPr>
        <w:pStyle w:val="NoSpacing"/>
      </w:pPr>
    </w:p>
    <w:p w14:paraId="261B6D9F" w14:textId="66A0DB54" w:rsidR="00E71BB0" w:rsidRDefault="00E71BB0" w:rsidP="00E71BB0">
      <w:pPr>
        <w:pStyle w:val="NoSpacing"/>
      </w:pPr>
      <w:r>
        <w:rPr>
          <w:noProof/>
        </w:rPr>
        <w:lastRenderedPageBreak/>
        <w:drawing>
          <wp:inline distT="0" distB="0" distL="0" distR="0" wp14:anchorId="2182E259" wp14:editId="54BEAA59">
            <wp:extent cx="5731510" cy="2912110"/>
            <wp:effectExtent l="0" t="0" r="2540" b="2540"/>
            <wp:docPr id="1627672688" name="Picture 10" descr="A graph of a graph of a number of financia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72688" name="Picture 10" descr="A graph of a graph of a number of financial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58AD16" wp14:editId="02BCCA2D">
            <wp:extent cx="5731510" cy="2783205"/>
            <wp:effectExtent l="0" t="0" r="2540" b="0"/>
            <wp:docPr id="2084053854" name="Picture 11" descr="A graph of different colored colum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53854" name="Picture 11" descr="A graph of different colored column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FCB54" w14:textId="1BF7C4AF" w:rsidR="00E71BB0" w:rsidRDefault="00E71BB0" w:rsidP="00E71BB0">
      <w:pPr>
        <w:pStyle w:val="NoSpacing"/>
      </w:pPr>
      <w:r w:rsidRPr="00E71BB0">
        <w:drawing>
          <wp:inline distT="0" distB="0" distL="0" distR="0" wp14:anchorId="0B4136C8" wp14:editId="254C7F4F">
            <wp:extent cx="5731510" cy="2861945"/>
            <wp:effectExtent l="0" t="0" r="2540" b="0"/>
            <wp:docPr id="508340559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40559" name="Picture 1" descr="A graph of different colored line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76C0" w14:textId="3AD68651" w:rsidR="00CB04C3" w:rsidRDefault="00CB04C3" w:rsidP="00CB04C3">
      <w:pPr>
        <w:pStyle w:val="Heading1"/>
      </w:pPr>
      <w:r>
        <w:lastRenderedPageBreak/>
        <w:t>Summary</w:t>
      </w:r>
    </w:p>
    <w:p w14:paraId="1C3C1864" w14:textId="77777777" w:rsidR="00CB04C3" w:rsidRDefault="00CB04C3" w:rsidP="00CB04C3">
      <w:pPr>
        <w:pStyle w:val="NoSpacing"/>
      </w:pPr>
    </w:p>
    <w:p w14:paraId="607735CD" w14:textId="5E59CD01" w:rsidR="00CB04C3" w:rsidRPr="00CB04C3" w:rsidRDefault="00CB04C3" w:rsidP="00CB04C3">
      <w:pPr>
        <w:pStyle w:val="NoSpacing"/>
        <w:rPr>
          <w:b/>
          <w:bCs/>
        </w:rPr>
      </w:pPr>
      <w:r w:rsidRPr="00CB04C3">
        <w:rPr>
          <w:b/>
          <w:bCs/>
        </w:rPr>
        <w:t xml:space="preserve">Keyword </w:t>
      </w:r>
    </w:p>
    <w:p w14:paraId="3F9F8FB6" w14:textId="77777777" w:rsidR="00CB04C3" w:rsidRPr="00AA32FA" w:rsidRDefault="00CB04C3" w:rsidP="00CB04C3">
      <w:pPr>
        <w:pStyle w:val="NoSpacing"/>
        <w:rPr>
          <w:b/>
          <w:bCs/>
        </w:rPr>
      </w:pPr>
      <w:r w:rsidRPr="00AA32FA">
        <w:rPr>
          <w:b/>
          <w:bCs/>
        </w:rPr>
        <w:t>Goldman Sachs:</w:t>
      </w:r>
    </w:p>
    <w:p w14:paraId="6759228A" w14:textId="77777777" w:rsidR="00CB04C3" w:rsidRPr="00CB04C3" w:rsidRDefault="00CB04C3" w:rsidP="00AA32FA">
      <w:pPr>
        <w:pStyle w:val="NoSpacing"/>
        <w:numPr>
          <w:ilvl w:val="0"/>
          <w:numId w:val="20"/>
        </w:numPr>
      </w:pPr>
      <w:r w:rsidRPr="00CB04C3">
        <w:t>“Capital” shows a strong rise into 2024–2025, likely due to regulatory pressure or balance sheet focus.</w:t>
      </w:r>
    </w:p>
    <w:p w14:paraId="618EF7C6" w14:textId="77777777" w:rsidR="00CB04C3" w:rsidRPr="00CB04C3" w:rsidRDefault="00CB04C3" w:rsidP="00AA32FA">
      <w:pPr>
        <w:pStyle w:val="NoSpacing"/>
        <w:numPr>
          <w:ilvl w:val="0"/>
          <w:numId w:val="20"/>
        </w:numPr>
      </w:pPr>
      <w:r w:rsidRPr="00CB04C3">
        <w:t>“Investment” spikes in Q2 2023 — could reflect strategic deployment during post-crisis stabilization.</w:t>
      </w:r>
    </w:p>
    <w:p w14:paraId="44C4597F" w14:textId="77777777" w:rsidR="00CB04C3" w:rsidRPr="00CB04C3" w:rsidRDefault="00CB04C3" w:rsidP="00AA32FA">
      <w:pPr>
        <w:pStyle w:val="NoSpacing"/>
        <w:numPr>
          <w:ilvl w:val="0"/>
          <w:numId w:val="20"/>
        </w:numPr>
      </w:pPr>
      <w:r w:rsidRPr="00CB04C3">
        <w:t>“Credit” and “Deposit” in Q1 2023 align with financial system stress (e.g., SVB/Signature Bank events).</w:t>
      </w:r>
    </w:p>
    <w:p w14:paraId="3BAA2C90" w14:textId="77777777" w:rsidR="00CB04C3" w:rsidRPr="00AA32FA" w:rsidRDefault="00CB04C3" w:rsidP="00CB04C3">
      <w:pPr>
        <w:pStyle w:val="NoSpacing"/>
        <w:rPr>
          <w:b/>
          <w:bCs/>
        </w:rPr>
      </w:pPr>
      <w:r w:rsidRPr="00AA32FA">
        <w:rPr>
          <w:b/>
          <w:bCs/>
        </w:rPr>
        <w:t>JP Morgan:</w:t>
      </w:r>
    </w:p>
    <w:p w14:paraId="0A7C5879" w14:textId="77777777" w:rsidR="00CB04C3" w:rsidRPr="00CB04C3" w:rsidRDefault="00CB04C3" w:rsidP="00AA32FA">
      <w:pPr>
        <w:pStyle w:val="NoSpacing"/>
        <w:numPr>
          <w:ilvl w:val="0"/>
          <w:numId w:val="21"/>
        </w:numPr>
      </w:pPr>
      <w:r w:rsidRPr="00CB04C3">
        <w:t>“Capital” and “NII” surge from 2023–2024, matching rate hike cycles and liquidity management priorities.</w:t>
      </w:r>
    </w:p>
    <w:p w14:paraId="5F5ACA5C" w14:textId="77777777" w:rsidR="00CB04C3" w:rsidRPr="00CB04C3" w:rsidRDefault="00CB04C3" w:rsidP="00AA32FA">
      <w:pPr>
        <w:pStyle w:val="NoSpacing"/>
        <w:numPr>
          <w:ilvl w:val="0"/>
          <w:numId w:val="21"/>
        </w:numPr>
      </w:pPr>
      <w:r w:rsidRPr="00CB04C3">
        <w:t>“Cost” and “Investment” rise in Q1 2025, suggesting a shift toward post-tightening restructuring.</w:t>
      </w:r>
    </w:p>
    <w:p w14:paraId="14CCDD83" w14:textId="77777777" w:rsidR="00AA32FA" w:rsidRPr="00AA32FA" w:rsidRDefault="00CB04C3" w:rsidP="00CB04C3">
      <w:pPr>
        <w:pStyle w:val="NoSpacing"/>
        <w:rPr>
          <w:b/>
          <w:bCs/>
        </w:rPr>
      </w:pPr>
      <w:r w:rsidRPr="00AA32FA">
        <w:rPr>
          <w:b/>
          <w:bCs/>
        </w:rPr>
        <w:t xml:space="preserve">Conclusion: </w:t>
      </w:r>
    </w:p>
    <w:p w14:paraId="3912124D" w14:textId="02ABD311" w:rsidR="00CB04C3" w:rsidRPr="00CB04C3" w:rsidRDefault="00CB04C3" w:rsidP="00CB04C3">
      <w:pPr>
        <w:pStyle w:val="NoSpacing"/>
      </w:pPr>
      <w:r w:rsidRPr="00CB04C3">
        <w:t>Both banks show keyword trends that clearly react to macroeconomic and regulatory environments.</w:t>
      </w:r>
    </w:p>
    <w:p w14:paraId="3D099156" w14:textId="38BA6D46" w:rsidR="00AA32FA" w:rsidRDefault="00AA32FA" w:rsidP="00CB04C3">
      <w:pPr>
        <w:pStyle w:val="NoSpacing"/>
      </w:pPr>
    </w:p>
    <w:p w14:paraId="22B61E75" w14:textId="53BB92B1" w:rsidR="00CB04C3" w:rsidRPr="00AA32FA" w:rsidRDefault="00CB04C3" w:rsidP="00CB04C3">
      <w:pPr>
        <w:pStyle w:val="NoSpacing"/>
        <w:rPr>
          <w:b/>
          <w:bCs/>
        </w:rPr>
      </w:pPr>
      <w:r w:rsidRPr="00AA32FA">
        <w:rPr>
          <w:b/>
          <w:bCs/>
        </w:rPr>
        <w:t>Speaker patterns</w:t>
      </w:r>
    </w:p>
    <w:p w14:paraId="0B5AF19B" w14:textId="77777777" w:rsidR="00CB04C3" w:rsidRPr="00AA32FA" w:rsidRDefault="00CB04C3" w:rsidP="00CB04C3">
      <w:pPr>
        <w:pStyle w:val="NoSpacing"/>
        <w:rPr>
          <w:b/>
          <w:bCs/>
        </w:rPr>
      </w:pPr>
      <w:r w:rsidRPr="00AA32FA">
        <w:rPr>
          <w:b/>
          <w:bCs/>
        </w:rPr>
        <w:t>Goldman Sachs:</w:t>
      </w:r>
    </w:p>
    <w:p w14:paraId="2AC596AA" w14:textId="5DF76438" w:rsidR="00CB04C3" w:rsidRPr="00CB04C3" w:rsidRDefault="00CB04C3" w:rsidP="00CB04C3">
      <w:pPr>
        <w:pStyle w:val="NoSpacing"/>
      </w:pPr>
      <w:r w:rsidRPr="00CB04C3">
        <w:t>Dominated by CEO and CFO until mid-2024.Later transitions to more Chairman and IR involvement, and an increase in "Unknown" and "Other" roles.</w:t>
      </w:r>
    </w:p>
    <w:p w14:paraId="7931D185" w14:textId="77777777" w:rsidR="00CB04C3" w:rsidRPr="00AA32FA" w:rsidRDefault="00CB04C3" w:rsidP="00CB04C3">
      <w:pPr>
        <w:pStyle w:val="NoSpacing"/>
        <w:rPr>
          <w:b/>
          <w:bCs/>
        </w:rPr>
      </w:pPr>
      <w:r w:rsidRPr="00AA32FA">
        <w:rPr>
          <w:b/>
          <w:bCs/>
        </w:rPr>
        <w:t>JP Morgan:</w:t>
      </w:r>
    </w:p>
    <w:p w14:paraId="09B76B43" w14:textId="0DE9BBAF" w:rsidR="00CB04C3" w:rsidRPr="00CB04C3" w:rsidRDefault="00CB04C3" w:rsidP="00CB04C3">
      <w:pPr>
        <w:pStyle w:val="NoSpacing"/>
      </w:pPr>
      <w:r w:rsidRPr="00CB04C3">
        <w:t>Analysts consistently lead the discussion.</w:t>
      </w:r>
      <w:r w:rsidR="00AA32FA">
        <w:t xml:space="preserve"> </w:t>
      </w:r>
      <w:r w:rsidRPr="00CB04C3">
        <w:t>CFOs respond most often — providing detailed answers.</w:t>
      </w:r>
      <w:r w:rsidR="00AA32FA">
        <w:t xml:space="preserve"> </w:t>
      </w:r>
      <w:r w:rsidRPr="00CB04C3">
        <w:t>CEOs have a lighter, strategic presence.</w:t>
      </w:r>
    </w:p>
    <w:p w14:paraId="2268502D" w14:textId="77777777" w:rsidR="00AA32FA" w:rsidRPr="00AA32FA" w:rsidRDefault="00CB04C3" w:rsidP="00CB04C3">
      <w:pPr>
        <w:pStyle w:val="NoSpacing"/>
        <w:rPr>
          <w:b/>
          <w:bCs/>
        </w:rPr>
      </w:pPr>
      <w:r w:rsidRPr="00AA32FA">
        <w:rPr>
          <w:b/>
          <w:bCs/>
        </w:rPr>
        <w:t>Conclusion:</w:t>
      </w:r>
    </w:p>
    <w:p w14:paraId="5C9A8E21" w14:textId="3F1EF9F7" w:rsidR="00CB04C3" w:rsidRDefault="00CB04C3" w:rsidP="00CB04C3">
      <w:pPr>
        <w:pStyle w:val="NoSpacing"/>
      </w:pPr>
      <w:r w:rsidRPr="00CB04C3">
        <w:t>This difference reflects each bank’s internal communication structure and Q&amp;A engagement strategy.</w:t>
      </w:r>
    </w:p>
    <w:p w14:paraId="0AD3EF02" w14:textId="77777777" w:rsidR="00AA32FA" w:rsidRPr="00CB04C3" w:rsidRDefault="00AA32FA" w:rsidP="00CB04C3">
      <w:pPr>
        <w:pStyle w:val="NoSpacing"/>
      </w:pPr>
    </w:p>
    <w:p w14:paraId="5805E766" w14:textId="71C938A8" w:rsidR="00CB04C3" w:rsidRPr="00AA32FA" w:rsidRDefault="00CB04C3" w:rsidP="00CB04C3">
      <w:pPr>
        <w:pStyle w:val="NoSpacing"/>
        <w:rPr>
          <w:b/>
          <w:bCs/>
        </w:rPr>
      </w:pPr>
      <w:r w:rsidRPr="00AA32FA">
        <w:rPr>
          <w:b/>
          <w:bCs/>
        </w:rPr>
        <w:t xml:space="preserve">Strategic tone </w:t>
      </w:r>
      <w:r w:rsidR="00AA32FA" w:rsidRPr="00AA32FA">
        <w:rPr>
          <w:b/>
          <w:bCs/>
        </w:rPr>
        <w:t>shifts</w:t>
      </w:r>
      <w:r w:rsidRPr="00AA32FA">
        <w:rPr>
          <w:b/>
          <w:bCs/>
        </w:rPr>
        <w:t xml:space="preserve"> from growth → capital → investment/cost</w:t>
      </w:r>
    </w:p>
    <w:p w14:paraId="758B2BF0" w14:textId="4D1181E9" w:rsidR="00CB04C3" w:rsidRPr="00CB04C3" w:rsidRDefault="00CB04C3" w:rsidP="00CB04C3">
      <w:pPr>
        <w:pStyle w:val="NoSpacing"/>
      </w:pPr>
      <w:r w:rsidRPr="00CB04C3">
        <w:t>Clearly reflected in both cases</w:t>
      </w:r>
      <w:r w:rsidR="00AA32FA">
        <w:t>.</w:t>
      </w:r>
    </w:p>
    <w:p w14:paraId="77218800" w14:textId="77777777" w:rsidR="00CB04C3" w:rsidRPr="00AA32FA" w:rsidRDefault="00CB04C3" w:rsidP="00CB04C3">
      <w:pPr>
        <w:pStyle w:val="NoSpacing"/>
        <w:rPr>
          <w:b/>
          <w:bCs/>
        </w:rPr>
      </w:pPr>
      <w:r w:rsidRPr="00AA32FA">
        <w:rPr>
          <w:b/>
          <w:bCs/>
        </w:rPr>
        <w:t>Goldman Sachs:</w:t>
      </w:r>
    </w:p>
    <w:p w14:paraId="00CC6E63" w14:textId="456BC70F" w:rsidR="00CB04C3" w:rsidRPr="00CB04C3" w:rsidRDefault="00CB04C3" w:rsidP="00CB04C3">
      <w:pPr>
        <w:pStyle w:val="NoSpacing"/>
      </w:pPr>
      <w:r w:rsidRPr="00CB04C3">
        <w:t>Emphasis on “Growth” in early 2022.</w:t>
      </w:r>
      <w:r w:rsidR="00AA32FA">
        <w:t xml:space="preserve"> </w:t>
      </w:r>
      <w:r w:rsidRPr="00CB04C3">
        <w:t>Strong and rising “Capital” narrative from 2023–2025.</w:t>
      </w:r>
      <w:r w:rsidR="00AA32FA">
        <w:t xml:space="preserve"> </w:t>
      </w:r>
      <w:r w:rsidRPr="00CB04C3">
        <w:t>“Investment” shows up prominently in mid-2023 but fades — indicating one-off emphasis.</w:t>
      </w:r>
    </w:p>
    <w:p w14:paraId="3DB38596" w14:textId="77777777" w:rsidR="00CB04C3" w:rsidRPr="00AA32FA" w:rsidRDefault="00CB04C3" w:rsidP="00CB04C3">
      <w:pPr>
        <w:pStyle w:val="NoSpacing"/>
        <w:rPr>
          <w:b/>
          <w:bCs/>
        </w:rPr>
      </w:pPr>
      <w:r w:rsidRPr="00AA32FA">
        <w:rPr>
          <w:b/>
          <w:bCs/>
        </w:rPr>
        <w:t>JP Morgan:</w:t>
      </w:r>
    </w:p>
    <w:p w14:paraId="2C8B7DA6" w14:textId="35BAD61E" w:rsidR="00CB04C3" w:rsidRPr="00CB04C3" w:rsidRDefault="00CB04C3" w:rsidP="00CB04C3">
      <w:pPr>
        <w:pStyle w:val="NoSpacing"/>
      </w:pPr>
      <w:r w:rsidRPr="00CB04C3">
        <w:t>“Growth” fades after 2022.</w:t>
      </w:r>
      <w:r w:rsidR="00AA32FA">
        <w:t xml:space="preserve"> </w:t>
      </w:r>
      <w:r w:rsidRPr="00CB04C3">
        <w:t>“Capital” and “NII” dominate in 2023–2024.</w:t>
      </w:r>
      <w:r w:rsidR="00AA32FA">
        <w:t xml:space="preserve"> </w:t>
      </w:r>
      <w:r w:rsidRPr="00CB04C3">
        <w:t>“Investment” and “Cost” peak in Q1 2025 — a possible pivot to future-oriented strategy and operational efficiency.</w:t>
      </w:r>
    </w:p>
    <w:p w14:paraId="26745B03" w14:textId="77777777" w:rsidR="00CB04C3" w:rsidRPr="00CB04C3" w:rsidRDefault="00CB04C3" w:rsidP="00CB04C3">
      <w:pPr>
        <w:pStyle w:val="NoSpacing"/>
      </w:pPr>
    </w:p>
    <w:sectPr w:rsidR="00CB04C3" w:rsidRPr="00CB04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FB48C6"/>
    <w:multiLevelType w:val="multilevel"/>
    <w:tmpl w:val="2D9E7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19397C"/>
    <w:multiLevelType w:val="hybridMultilevel"/>
    <w:tmpl w:val="20D03B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EC656E"/>
    <w:multiLevelType w:val="hybridMultilevel"/>
    <w:tmpl w:val="DD4654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0E073C"/>
    <w:multiLevelType w:val="hybridMultilevel"/>
    <w:tmpl w:val="FCAABB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A2190C"/>
    <w:multiLevelType w:val="hybridMultilevel"/>
    <w:tmpl w:val="7BBC48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276C8"/>
    <w:multiLevelType w:val="multilevel"/>
    <w:tmpl w:val="713A5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674D09"/>
    <w:multiLevelType w:val="hybridMultilevel"/>
    <w:tmpl w:val="E30E4B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85358D"/>
    <w:multiLevelType w:val="hybridMultilevel"/>
    <w:tmpl w:val="56660E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914C00"/>
    <w:multiLevelType w:val="hybridMultilevel"/>
    <w:tmpl w:val="7CE839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8D0795"/>
    <w:multiLevelType w:val="hybridMultilevel"/>
    <w:tmpl w:val="57E2E7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1D7DF0"/>
    <w:multiLevelType w:val="multilevel"/>
    <w:tmpl w:val="7A185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8C7BF9"/>
    <w:multiLevelType w:val="hybridMultilevel"/>
    <w:tmpl w:val="BD24AA46"/>
    <w:lvl w:ilvl="0" w:tplc="283E3528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753F1E"/>
    <w:multiLevelType w:val="multilevel"/>
    <w:tmpl w:val="22C8D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291498"/>
    <w:multiLevelType w:val="hybridMultilevel"/>
    <w:tmpl w:val="A0B4C3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1A6141"/>
    <w:multiLevelType w:val="multilevel"/>
    <w:tmpl w:val="77D0D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5D27250"/>
    <w:multiLevelType w:val="multilevel"/>
    <w:tmpl w:val="67D25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9D6D7C"/>
    <w:multiLevelType w:val="hybridMultilevel"/>
    <w:tmpl w:val="F6DAC8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98257E"/>
    <w:multiLevelType w:val="hybridMultilevel"/>
    <w:tmpl w:val="68DE6E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D82A02"/>
    <w:multiLevelType w:val="hybridMultilevel"/>
    <w:tmpl w:val="F9FCD2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4D6BFB"/>
    <w:multiLevelType w:val="multilevel"/>
    <w:tmpl w:val="769E1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EB3AE1"/>
    <w:multiLevelType w:val="hybridMultilevel"/>
    <w:tmpl w:val="9286CA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7867660">
    <w:abstractNumId w:val="17"/>
  </w:num>
  <w:num w:numId="2" w16cid:durableId="1102141847">
    <w:abstractNumId w:val="4"/>
  </w:num>
  <w:num w:numId="3" w16cid:durableId="461728365">
    <w:abstractNumId w:val="11"/>
  </w:num>
  <w:num w:numId="4" w16cid:durableId="1511987741">
    <w:abstractNumId w:val="2"/>
  </w:num>
  <w:num w:numId="5" w16cid:durableId="1166476326">
    <w:abstractNumId w:val="13"/>
  </w:num>
  <w:num w:numId="6" w16cid:durableId="1484851313">
    <w:abstractNumId w:val="1"/>
  </w:num>
  <w:num w:numId="7" w16cid:durableId="654188406">
    <w:abstractNumId w:val="7"/>
  </w:num>
  <w:num w:numId="8" w16cid:durableId="150875946">
    <w:abstractNumId w:val="0"/>
  </w:num>
  <w:num w:numId="9" w16cid:durableId="1572890002">
    <w:abstractNumId w:val="15"/>
  </w:num>
  <w:num w:numId="10" w16cid:durableId="1649744671">
    <w:abstractNumId w:val="8"/>
  </w:num>
  <w:num w:numId="11" w16cid:durableId="707683377">
    <w:abstractNumId w:val="16"/>
  </w:num>
  <w:num w:numId="12" w16cid:durableId="729574257">
    <w:abstractNumId w:val="3"/>
  </w:num>
  <w:num w:numId="13" w16cid:durableId="1873423200">
    <w:abstractNumId w:val="12"/>
  </w:num>
  <w:num w:numId="14" w16cid:durableId="153380577">
    <w:abstractNumId w:val="6"/>
  </w:num>
  <w:num w:numId="15" w16cid:durableId="871377302">
    <w:abstractNumId w:val="10"/>
  </w:num>
  <w:num w:numId="16" w16cid:durableId="1393231604">
    <w:abstractNumId w:val="20"/>
  </w:num>
  <w:num w:numId="17" w16cid:durableId="2041471294">
    <w:abstractNumId w:val="5"/>
  </w:num>
  <w:num w:numId="18" w16cid:durableId="1927958422">
    <w:abstractNumId w:val="14"/>
  </w:num>
  <w:num w:numId="19" w16cid:durableId="373970899">
    <w:abstractNumId w:val="19"/>
  </w:num>
  <w:num w:numId="20" w16cid:durableId="1395935866">
    <w:abstractNumId w:val="18"/>
  </w:num>
  <w:num w:numId="21" w16cid:durableId="191296123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32B"/>
    <w:rsid w:val="00234942"/>
    <w:rsid w:val="00396751"/>
    <w:rsid w:val="003B7160"/>
    <w:rsid w:val="006D32EB"/>
    <w:rsid w:val="007D4F10"/>
    <w:rsid w:val="008A6AE5"/>
    <w:rsid w:val="008B753D"/>
    <w:rsid w:val="008E0C54"/>
    <w:rsid w:val="009001E5"/>
    <w:rsid w:val="009305D7"/>
    <w:rsid w:val="0094432B"/>
    <w:rsid w:val="00AA04CC"/>
    <w:rsid w:val="00AA32FA"/>
    <w:rsid w:val="00AF5308"/>
    <w:rsid w:val="00CB04C3"/>
    <w:rsid w:val="00D74448"/>
    <w:rsid w:val="00E524FC"/>
    <w:rsid w:val="00E71BB0"/>
    <w:rsid w:val="00F21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C0171"/>
  <w15:chartTrackingRefBased/>
  <w15:docId w15:val="{B9E10E4B-EDE4-4908-ACE4-2F1C40EAD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43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43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43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43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43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43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43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43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43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43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443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43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43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43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43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43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43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43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43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43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43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43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43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43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43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43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43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43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432B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94432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4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4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5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6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70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2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8F232B-3081-457E-B5C4-6B74761B65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8</Pages>
  <Words>863</Words>
  <Characters>4920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Wojtkowiak</dc:creator>
  <cp:keywords/>
  <dc:description/>
  <cp:lastModifiedBy>Maciej Wojtkowiak</cp:lastModifiedBy>
  <cp:revision>2</cp:revision>
  <dcterms:created xsi:type="dcterms:W3CDTF">2025-06-12T11:54:00Z</dcterms:created>
  <dcterms:modified xsi:type="dcterms:W3CDTF">2025-06-12T14:48:00Z</dcterms:modified>
</cp:coreProperties>
</file>