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Placebo Keywords for the SoH Attention Index</w:t>
      </w:r>
    </w:p>
    <w:p>
      <w:r>
        <w:t>Manuscript FINANA-D-26-02747, Section 4.3.4 and Response to Comment 1.13. Prepared 13 October 2026.</w:t>
      </w:r>
    </w:p>
    <w:p>
      <w:pPr>
        <w:pStyle w:val="Heading2"/>
      </w:pPr>
      <w:r>
        <w:t>Purpose</w:t>
      </w:r>
    </w:p>
    <w:p>
      <w:r>
        <w:t>The placebo index tests whether the herding results are specific to Strait of Hormuz attention or would appear with any Google Trends index built with the same pipeline. A placebo test is informative only when the placebo should show no effect (Eggers et al., 2024). Two groups are used. Group A contains everyday terms with no link to shipping, oil or the Gulf, so it should show no association with herding. Group B contains other maritime chokepoints. Group B is a same-domain comparison rather than a pure placebo, because news about the Red Sea or Suez can move together with Hormuz news; an association in Group B would therefore point to general chokepoint attention, not to a failure of the test.</w:t>
      </w:r>
    </w:p>
    <w:p>
      <w:pPr>
        <w:pStyle w:val="Heading2"/>
      </w:pPr>
      <w:r>
        <w:t>Keywords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Group</w:t>
            </w:r>
          </w:p>
        </w:tc>
        <w:tc>
          <w:tcPr>
            <w:tcW w:type="dxa" w:w="2880"/>
          </w:tcPr>
          <w:p>
            <w:r>
              <w:rPr>
                <w:b/>
              </w:rPr>
              <w:t>Keyword</w:t>
            </w:r>
          </w:p>
        </w:tc>
        <w:tc>
          <w:tcPr>
            <w:tcW w:type="dxa" w:w="2880"/>
          </w:tcPr>
          <w:p>
            <w:r>
              <w:rPr>
                <w:b/>
              </w:rPr>
              <w:t>Reason for inclusion</w:t>
            </w:r>
          </w:p>
        </w:tc>
      </w:tr>
      <w:tr>
        <w:tc>
          <w:tcPr>
            <w:tcW w:type="dxa" w:w="2880"/>
          </w:tcPr>
          <w:p>
            <w:r>
              <w:t>A</w:t>
            </w:r>
          </w:p>
        </w:tc>
        <w:tc>
          <w:tcPr>
            <w:tcW w:type="dxa" w:w="2880"/>
          </w:tcPr>
          <w:p>
            <w:r>
              <w:t>weather forecast</w:t>
            </w:r>
          </w:p>
        </w:tc>
        <w:tc>
          <w:tcPr>
            <w:tcW w:type="dxa" w:w="2880"/>
          </w:tcPr>
          <w:p>
            <w:r>
              <w:t>Everyday search with stable global volume; no shipping or energy content</w:t>
            </w:r>
          </w:p>
        </w:tc>
      </w:tr>
      <w:tr>
        <w:tc>
          <w:tcPr>
            <w:tcW w:type="dxa" w:w="2880"/>
          </w:tcPr>
          <w:p>
            <w:r>
              <w:t>A</w:t>
            </w:r>
          </w:p>
        </w:tc>
        <w:tc>
          <w:tcPr>
            <w:tcW w:type="dxa" w:w="2880"/>
          </w:tcPr>
          <w:p>
            <w:r>
              <w:t>football scores</w:t>
            </w:r>
          </w:p>
        </w:tc>
        <w:tc>
          <w:tcPr>
            <w:tcW w:type="dxa" w:w="2880"/>
          </w:tcPr>
          <w:p>
            <w:r>
              <w:t>Recurring leisure search; follows the sports calendar, not geopolitics</w:t>
            </w:r>
          </w:p>
        </w:tc>
      </w:tr>
      <w:tr>
        <w:tc>
          <w:tcPr>
            <w:tcW w:type="dxa" w:w="2880"/>
          </w:tcPr>
          <w:p>
            <w:r>
              <w:t>A</w:t>
            </w:r>
          </w:p>
        </w:tc>
        <w:tc>
          <w:tcPr>
            <w:tcW w:type="dxa" w:w="2880"/>
          </w:tcPr>
          <w:p>
            <w:r>
              <w:t>pizza delivery</w:t>
            </w:r>
          </w:p>
        </w:tc>
        <w:tc>
          <w:tcPr>
            <w:tcW w:type="dxa" w:w="2880"/>
          </w:tcPr>
          <w:p>
            <w:r>
              <w:t>Consumer search with daily and weekly seasonality only</w:t>
            </w:r>
          </w:p>
        </w:tc>
      </w:tr>
      <w:tr>
        <w:tc>
          <w:tcPr>
            <w:tcW w:type="dxa" w:w="2880"/>
          </w:tcPr>
          <w:p>
            <w:r>
              <w:t>A</w:t>
            </w:r>
          </w:p>
        </w:tc>
        <w:tc>
          <w:tcPr>
            <w:tcW w:type="dxa" w:w="2880"/>
          </w:tcPr>
          <w:p>
            <w:r>
              <w:t>recipe</w:t>
            </w:r>
          </w:p>
        </w:tc>
        <w:tc>
          <w:tcPr>
            <w:tcW w:type="dxa" w:w="2880"/>
          </w:tcPr>
          <w:p>
            <w:r>
              <w:t>High-volume, stable search term</w:t>
            </w:r>
          </w:p>
        </w:tc>
      </w:tr>
      <w:tr>
        <w:tc>
          <w:tcPr>
            <w:tcW w:type="dxa" w:w="2880"/>
          </w:tcPr>
          <w:p>
            <w:r>
              <w:t>A</w:t>
            </w:r>
          </w:p>
        </w:tc>
        <w:tc>
          <w:tcPr>
            <w:tcW w:type="dxa" w:w="2880"/>
          </w:tcPr>
          <w:p>
            <w:r>
              <w:t>tax return</w:t>
            </w:r>
          </w:p>
        </w:tc>
        <w:tc>
          <w:tcPr>
            <w:tcW w:type="dxa" w:w="2880"/>
          </w:tcPr>
          <w:p>
            <w:r>
              <w:t>Seasonal administrative search; unrelated to the conflict</w:t>
            </w:r>
          </w:p>
        </w:tc>
      </w:tr>
      <w:tr>
        <w:tc>
          <w:tcPr>
            <w:tcW w:type="dxa" w:w="2880"/>
          </w:tcPr>
          <w:p>
            <w:r>
              <w:t>A</w:t>
            </w:r>
          </w:p>
        </w:tc>
        <w:tc>
          <w:tcPr>
            <w:tcW w:type="dxa" w:w="2880"/>
          </w:tcPr>
          <w:p>
            <w:r>
              <w:t>public holidays</w:t>
            </w:r>
          </w:p>
        </w:tc>
        <w:tc>
          <w:tcPr>
            <w:tcW w:type="dxa" w:w="2880"/>
          </w:tcPr>
          <w:p>
            <w:r>
              <w:t>Calendar-driven search; unrelated to the conflict</w:t>
            </w:r>
          </w:p>
        </w:tc>
      </w:tr>
      <w:tr>
        <w:tc>
          <w:tcPr>
            <w:tcW w:type="dxa" w:w="2880"/>
          </w:tcPr>
          <w:p>
            <w:r>
              <w:t>A</w:t>
            </w:r>
          </w:p>
        </w:tc>
        <w:tc>
          <w:tcPr>
            <w:tcW w:type="dxa" w:w="2880"/>
          </w:tcPr>
          <w:p>
            <w:r>
              <w:t>train timetable</w:t>
            </w:r>
          </w:p>
        </w:tc>
        <w:tc>
          <w:tcPr>
            <w:tcW w:type="dxa" w:w="2880"/>
          </w:tcPr>
          <w:p>
            <w:r>
              <w:t>Routine travel search; no maritime or energy content</w:t>
            </w:r>
          </w:p>
        </w:tc>
      </w:tr>
      <w:tr>
        <w:tc>
          <w:tcPr>
            <w:tcW w:type="dxa" w:w="2880"/>
          </w:tcPr>
          <w:p>
            <w:r>
              <w:t>A</w:t>
            </w:r>
          </w:p>
        </w:tc>
        <w:tc>
          <w:tcPr>
            <w:tcW w:type="dxa" w:w="2880"/>
          </w:tcPr>
          <w:p>
            <w:r>
              <w:t>hotel booking</w:t>
            </w:r>
          </w:p>
        </w:tc>
        <w:tc>
          <w:tcPr>
            <w:tcW w:type="dxa" w:w="2880"/>
          </w:tcPr>
          <w:p>
            <w:r>
              <w:t>Travel search; checks for general online activity patterns</w:t>
            </w:r>
          </w:p>
        </w:tc>
      </w:tr>
      <w:tr>
        <w:tc>
          <w:tcPr>
            <w:tcW w:type="dxa" w:w="2880"/>
          </w:tcPr>
          <w:p>
            <w:r>
              <w:t>B</w:t>
            </w:r>
          </w:p>
        </w:tc>
        <w:tc>
          <w:tcPr>
            <w:tcW w:type="dxa" w:w="2880"/>
          </w:tcPr>
          <w:p>
            <w:r>
              <w:t>Panama Canal</w:t>
            </w:r>
          </w:p>
        </w:tc>
        <w:tc>
          <w:tcPr>
            <w:tcW w:type="dxa" w:w="2880"/>
          </w:tcPr>
          <w:p>
            <w:r>
              <w:t>Major chokepoint outside the Gulf; drought-related disruptions are unrelated to Hormuz</w:t>
            </w:r>
          </w:p>
        </w:tc>
      </w:tr>
      <w:tr>
        <w:tc>
          <w:tcPr>
            <w:tcW w:type="dxa" w:w="2880"/>
          </w:tcPr>
          <w:p>
            <w:r>
              <w:t>B</w:t>
            </w:r>
          </w:p>
        </w:tc>
        <w:tc>
          <w:tcPr>
            <w:tcW w:type="dxa" w:w="2880"/>
          </w:tcPr>
          <w:p>
            <w:r>
              <w:t>Suez Canal</w:t>
            </w:r>
          </w:p>
        </w:tc>
        <w:tc>
          <w:tcPr>
            <w:tcW w:type="dxa" w:w="2880"/>
          </w:tcPr>
          <w:p>
            <w:r>
              <w:t>Major chokepoint; may co-move with Red Sea news</w:t>
            </w:r>
          </w:p>
        </w:tc>
      </w:tr>
      <w:tr>
        <w:tc>
          <w:tcPr>
            <w:tcW w:type="dxa" w:w="2880"/>
          </w:tcPr>
          <w:p>
            <w:r>
              <w:t>B</w:t>
            </w:r>
          </w:p>
        </w:tc>
        <w:tc>
          <w:tcPr>
            <w:tcW w:type="dxa" w:w="2880"/>
          </w:tcPr>
          <w:p>
            <w:r>
              <w:t>Bab el-Mandeb</w:t>
            </w:r>
          </w:p>
        </w:tc>
        <w:tc>
          <w:tcPr>
            <w:tcW w:type="dxa" w:w="2880"/>
          </w:tcPr>
          <w:p>
            <w:r>
              <w:t>Red Sea chokepoint; closest geographic and news overlap with Hormuz</w:t>
            </w:r>
          </w:p>
        </w:tc>
      </w:tr>
      <w:tr>
        <w:tc>
          <w:tcPr>
            <w:tcW w:type="dxa" w:w="2880"/>
          </w:tcPr>
          <w:p>
            <w:r>
              <w:t>B</w:t>
            </w:r>
          </w:p>
        </w:tc>
        <w:tc>
          <w:tcPr>
            <w:tcW w:type="dxa" w:w="2880"/>
          </w:tcPr>
          <w:p>
            <w:r>
              <w:t>Strait of Malacca</w:t>
            </w:r>
          </w:p>
        </w:tc>
        <w:tc>
          <w:tcPr>
            <w:tcW w:type="dxa" w:w="2880"/>
          </w:tcPr>
          <w:p>
            <w:r>
              <w:t>Asian chokepoint with heavy tanker traffic; little conflict news in the sample</w:t>
            </w:r>
          </w:p>
        </w:tc>
      </w:tr>
      <w:tr>
        <w:tc>
          <w:tcPr>
            <w:tcW w:type="dxa" w:w="2880"/>
          </w:tcPr>
          <w:p>
            <w:r>
              <w:t>B</w:t>
            </w:r>
          </w:p>
        </w:tc>
        <w:tc>
          <w:tcPr>
            <w:tcW w:type="dxa" w:w="2880"/>
          </w:tcPr>
          <w:p>
            <w:r>
              <w:t>Bosphorus</w:t>
            </w:r>
          </w:p>
        </w:tc>
        <w:tc>
          <w:tcPr>
            <w:tcW w:type="dxa" w:w="2880"/>
          </w:tcPr>
          <w:p>
            <w:r>
              <w:t>Black Sea chokepoint; exposure linked to the Russia-Ukraine war rather than to Iran</w:t>
            </w:r>
          </w:p>
        </w:tc>
      </w:tr>
    </w:tbl>
    <w:p>
      <w:pPr>
        <w:pStyle w:val="Heading2"/>
      </w:pPr>
      <w:r>
        <w:t>Exclusion rules</w:t>
      </w:r>
    </w:p>
    <w:p>
      <w:pPr>
        <w:pStyle w:val="ListBullet"/>
      </w:pPr>
      <w:r>
        <w:t>No keyword that mentions Hormuz, Iran, the Gulf, oil, tankers, shipping or freight.</w:t>
      </w:r>
    </w:p>
    <w:p>
      <w:pPr>
        <w:pStyle w:val="ListBullet"/>
      </w:pPr>
      <w:r>
        <w:t>No keyword whose search volume is likely to be zero in many hourly windows, because the rescaling divides by overlap values.</w:t>
      </w:r>
    </w:p>
    <w:p>
      <w:pPr>
        <w:pStyle w:val="ListBullet"/>
      </w:pPr>
      <w:r>
        <w:t>The same eleven-keyword structure is not required: the PC1 index is built from the keywords within each group.</w:t>
      </w:r>
    </w:p>
    <w:p>
      <w:pPr>
        <w:pStyle w:val="Heading2"/>
      </w:pPr>
      <w:r>
        <w:t>Download settings (same as the SoH index)</w:t>
      </w:r>
    </w:p>
    <w:p>
      <w:pPr>
        <w:pStyle w:val="ListBullet"/>
      </w:pPr>
      <w:r>
        <w:t>Source: Google Trends via gtrendsR, worldwide, web search.</w:t>
      </w:r>
    </w:p>
    <w:p>
      <w:pPr>
        <w:pStyle w:val="ListBullet"/>
      </w:pPr>
      <w:r>
        <w:t>Sample: 29 December 2025 to 26 March 2026 (UTC), hourly data in 7-day windows with a 4-hour overlap.</w:t>
      </w:r>
    </w:p>
    <w:p>
      <w:pPr>
        <w:pStyle w:val="ListBullet"/>
      </w:pPr>
      <w:r>
        <w:t>Rescaling: multiplicative rescaling on the overlap, then first principal component across the keywords in each group, scaled 0 to 100.</w:t>
      </w:r>
    </w:p>
    <w:p>
      <w:pPr>
        <w:pStyle w:val="ListBullet"/>
      </w:pPr>
      <w:r>
        <w:t>Analyses: Granger tests (lags 1 to 10), WQR and QQR, as for the SoH index; report the placebo F-statistics next to the SoH F-statistics.</w:t>
      </w:r>
    </w:p>
    <w:p>
      <w:pPr>
        <w:pStyle w:val="Heading2"/>
      </w:pPr>
      <w:r>
        <w:t>R code for the download</w:t>
      </w:r>
    </w:p>
    <w:p>
      <w:r>
        <w:rPr>
          <w:rFonts w:ascii="Consolas" w:hAnsi="Consolas"/>
          <w:sz w:val="18"/>
        </w:rPr>
        <w:t>library(gtrendsR)</w:t>
        <w:br/>
        <w:t>kw_A &lt;- c("weather forecast","football scores","pizza delivery","recipe","tax return")</w:t>
        <w:br/>
        <w:t>kw_A2 &lt;- c("public holidays","train timetable","hotel booking")</w:t>
        <w:br/>
        <w:t>kw_B &lt;- c("Panama Canal","Suez Canal","Bab el-Mandeb","Strait of Malacca","Bosphorus")</w:t>
        <w:br/>
        <w:t># gtrends accepts at most 5 keywords per call; values are relative within a call,</w:t>
        <w:br/>
        <w:t># so download each keyword separately per window and rescale as for the SoH index.</w:t>
        <w:br/>
        <w:t>get_window &lt;- function(kw, from, to) gtrends(kw, time = paste(from, to), geo = "", onlyInterest = TRUE)$interest_over_time</w:t>
        <w:br/>
      </w:r>
    </w:p>
    <w:p>
      <w:pPr>
        <w:pStyle w:val="Heading2"/>
      </w:pPr>
      <w:r>
        <w:t>Status</w:t>
      </w:r>
    </w:p>
    <w:p>
      <w:r>
        <w:t>The keyword list is final for the download. The Google Trends download has not yet been run, so no placebo results are reported. The Scite literature search tool was not available in this session; the selection follows the placebo design principle in Eggers et al. (2024), which is already cited in the manuscript.</w:t>
      </w:r>
    </w:p>
    <w:p>
      <w:pPr>
        <w:pStyle w:val="Heading2"/>
      </w:pPr>
      <w:r>
        <w:t>Reference</w:t>
      </w:r>
    </w:p>
    <w:p>
      <w:r>
        <w:t>Eggers, A. C., Tuñón, G., &amp; Dafoe, A. (2024). Placebo tests for causal inference. American Journal of Political Science, 68(3), 1106–1121. https://doi.org/10.1111/ajps.12818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