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7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44"/>
                <w:szCs w:val="44"/>
              </w:rPr>
              <w:t xml:space="preserve">ClaimAI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CBD5E1"/>
                <w:sz w:val="22"/>
                <w:szCs w:val="22"/>
              </w:rPr>
              <w:t xml:space="preserve">Project summary · Republican Competition of Student Projects and Research, Association of Banks of Kazakhstan</w:t>
            </w:r>
          </w:p>
        </w:tc>
      </w:tr>
    </w:tbl>
    <w:p>
      <w:pPr>
        <w:spacing w:after="4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0F2740"/>
          <w:sz w:val="22"/>
          <w:szCs w:val="22"/>
        </w:rPr>
        <w:t xml:space="preserve">Author: </w:t>
      </w:r>
      <w:r>
        <w:rPr>
          <w:rFonts w:ascii="Calibri" w:cs="Calibri" w:eastAsia="Calibri" w:hAnsi="Calibri"/>
          <w:sz w:val="22"/>
          <w:szCs w:val="22"/>
        </w:rPr>
        <w:t xml:space="preserve">Ali Bidanov, 3rd-year student, International Information Technology University (34/1 Manas St., Almaty), alibig860@gmail.com, +7 777 034 79 76.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0F2740"/>
          <w:sz w:val="22"/>
          <w:szCs w:val="22"/>
        </w:rPr>
        <w:t xml:space="preserve">Goal: </w:t>
      </w:r>
      <w:r>
        <w:rPr>
          <w:rFonts w:ascii="Calibri" w:cs="Calibri" w:eastAsia="Calibri" w:hAnsi="Calibri"/>
          <w:sz w:val="22"/>
          <w:szCs w:val="22"/>
        </w:rPr>
        <w:t xml:space="preserve">to cut the time and improve the consistency of card dispute handling with a large language model while keeping the human operator in control.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F2740"/>
          <w:sz w:val="26"/>
          <w:szCs w:val="26"/>
        </w:rPr>
        <w:t xml:space="preserve">Relevance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According to Mastercard, global chargeback volume is expected to grow from 261 million in 2025 to 324 million in 2028, and dispute value from $33.8 billion to $41.7 billion. Handling one dispute costs an issuing bank roughly $9–10. In Kazakhstan, more than 130,000 fraud cases were recorded from the start of 2025 to March 2026 (National Bank). Manual review does not scale and is hard to audit.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F2740"/>
          <w:sz w:val="26"/>
          <w:szCs w:val="26"/>
        </w:rPr>
        <w:t xml:space="preserve">Description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ClaimAI takes a customer complaint and the case transactions, identifies the dispute type (fraud, ATM cash not dispensed, duplicate charge, transaction series) and produces a decision: verdict, risk and confidence scores from 0 to 100, reasoning, a list of actions and a customer letter. The operator confirms the decision and the system records it in an audit log.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F2740"/>
          <w:sz w:val="26"/>
          <w:szCs w:val="26"/>
        </w:rPr>
        <w:t xml:space="preserve">What is built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sz w:val="22"/>
          <w:szCs w:val="22"/>
        </w:rPr>
        <w:t xml:space="preserve">React web interface and FastAPI backend with a PostgreSQL database.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sz w:val="22"/>
          <w:szCs w:val="22"/>
        </w:rPr>
        <w:t xml:space="preserve">LLM decision engine (OpenAI API) with a strict JSON response format, validation and normalization.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sz w:val="22"/>
          <w:szCs w:val="22"/>
        </w:rPr>
        <w:t xml:space="preserve">Audit log: operator ID, timestamp, decision and reasoning.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sz w:val="22"/>
          <w:szCs w:val="22"/>
        </w:rPr>
        <w:t xml:space="preserve">Four synthetic demo cases; deployment configured for Docker, Vercel and Render.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F2740"/>
          <w:sz w:val="26"/>
          <w:szCs w:val="26"/>
        </w:rPr>
        <w:t xml:space="preserve">Novelty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A combination of an LLM, a structured decision and an operator-confirmed audit trail for Russian-language complaints and tenge-denominated transactions.</w:t>
      </w:r>
    </w:p>
    <w:p>
      <w:pPr>
        <w:pStyle w:val="Heading2"/>
        <w:keepNext/>
        <w:spacing w:after="80" w:before="200"/>
      </w:pPr>
      <w:r>
        <w:rPr>
          <w:rFonts w:ascii="Cambria" w:cs="Cambria" w:eastAsia="Cambria" w:hAnsi="Cambria"/>
          <w:b/>
          <w:bCs/>
          <w:color w:val="0F2740"/>
          <w:sz w:val="26"/>
          <w:szCs w:val="26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sz w:val="22"/>
          <w:szCs w:val="22"/>
        </w:rPr>
        <w:t xml:space="preserve">Knowledge base of Visa and Mastercard rules (RAG) with rule citations.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sz w:val="22"/>
          <w:szCs w:val="22"/>
        </w:rPr>
        <w:t xml:space="preserve">Accuracy evaluation on labelled cases and masking of personal data.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sz w:val="22"/>
          <w:szCs w:val="22"/>
        </w:rPr>
        <w:t xml:space="preserve">Pilot at a bank or processor; option of an on-premise model.</w:t>
      </w:r>
    </w:p>
    <w:p>
      <w:pPr>
        <w:spacing w:after="4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0F2740"/>
          <w:sz w:val="22"/>
          <w:szCs w:val="22"/>
        </w:rPr>
        <w:t xml:space="preserve">Links: </w:t>
      </w:r>
      <w:r>
        <w:rPr>
          <w:rFonts w:ascii="Calibri" w:cs="Calibri" w:eastAsia="Calibri" w:hAnsi="Calibri"/>
          <w:sz w:val="22"/>
          <w:szCs w:val="22"/>
        </w:rPr>
        <w:t xml:space="preserve">repository https://github.com/AliDamn/hack.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mbria" w:cs="Cambria" w:eastAsia="Cambria" w:hAnsi="Cambria"/>
      <w:b/>
      <w:bCs/>
      <w:color w:val="0F274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2026-10-08T12:26:43.441Z</dcterms:created>
  <dcterms:modified xsi:type="dcterms:W3CDTF">2026-10-08T12:26:43.441Z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