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74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4"/>
                <w:szCs w:val="44"/>
              </w:rPr>
              <w:t xml:space="preserve">ClaimAI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BD5E1"/>
                <w:sz w:val="22"/>
                <w:szCs w:val="22"/>
              </w:rPr>
              <w:t xml:space="preserve">Project summary</w:t>
            </w:r>
          </w:p>
        </w:tc>
      </w:tr>
    </w:tbl>
    <w:p>
      <w:pPr>
        <w:spacing w:after="4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Author: </w:t>
      </w:r>
      <w:r>
        <w:rPr>
          <w:rFonts w:ascii="Calibri" w:cs="Calibri" w:eastAsia="Calibri" w:hAnsi="Calibri"/>
          <w:sz w:val="22"/>
          <w:szCs w:val="22"/>
        </w:rPr>
        <w:t xml:space="preserve">Ali Bidanov, 3rd-year student, International Information Technology University (34/1 Manas St., Almaty), alibig860@gmail.com.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Goal: </w:t>
      </w:r>
      <w:r>
        <w:rPr>
          <w:rFonts w:ascii="Calibri" w:cs="Calibri" w:eastAsia="Calibri" w:hAnsi="Calibri"/>
          <w:sz w:val="22"/>
          <w:szCs w:val="22"/>
        </w:rPr>
        <w:t xml:space="preserve">to cut the time and improve the consistency of card dispute handling with a large language model while keeping the human operator in control.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Relevance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According to Mastercard, global chargeback volume is expected to grow from 261 million in 2025 to 324 million in 2028, and dispute value from $33.8 billion to $41.7 billion. Handling one dispute costs an issuing bank roughly $9–10. In Kazakhstan, more than 130,000 fraud cases were recorded from the start of 2025 to March 2026 (National Bank). Manual review does not scale and is hard to audit.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Description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ClaimAI takes a customer complaint and the case transactions, identifies the dispute type (fraud, ATM cash not dispensed, duplicate charge, transaction series) and produces a decision: verdict, risk and confidence scores from 0 to 100, reasoning, a list of actions and a customer letter. The operator confirms the decision and the system records it in an audit log.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What is built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React web interface and FastAPI backend with a PostgreSQL database.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LLM decision engine (OpenAI API) with a strict JSON response format, validation and normalization.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Audit log: operator ID, timestamp, decision and reasoning.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Four synthetic demo cases; deployment via Docker, Vercel and Render.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Novelty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A combination of an LLM, a structured decision and an operator-confirmed audit trail for Russian-language complaints and tenge-denominated transactions.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Next steps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Knowledge base of Visa and Mastercard rules (RAG) with rule citations.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Accuracy evaluation on labelled cases and masking of personal data.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Pilot at a bank or processor; option of an on-premise model.</w:t>
      </w:r>
    </w:p>
    <w:p>
      <w:pPr>
        <w:spacing w:after="4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Links: </w:t>
      </w:r>
      <w:r>
        <w:rPr>
          <w:rFonts w:ascii="Calibri" w:cs="Calibri" w:eastAsia="Calibri" w:hAnsi="Calibri"/>
          <w:sz w:val="22"/>
          <w:szCs w:val="22"/>
        </w:rPr>
        <w:t xml:space="preserve">repository [GitHub link], demo [link to the working prototype].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mbria" w:cs="Cambria" w:eastAsia="Cambria" w:hAnsi="Cambria"/>
      <w:b/>
      <w:bCs/>
      <w:color w:val="0F274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2026-10-08T12:08:22.880Z</dcterms:created>
  <dcterms:modified xsi:type="dcterms:W3CDTF">2026-10-08T12:08:22.880Z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