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7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ClaimAI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BD5E1"/>
                <w:sz w:val="22"/>
                <w:szCs w:val="22"/>
              </w:rPr>
              <w:t xml:space="preserve">Резюме проекта</w:t>
            </w:r>
          </w:p>
        </w:tc>
      </w:tr>
    </w:tbl>
    <w:p>
      <w:pPr>
        <w:spacing w:after="4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2"/>
          <w:szCs w:val="22"/>
        </w:rPr>
        <w:t xml:space="preserve">Автор: </w:t>
      </w:r>
      <w:r>
        <w:rPr>
          <w:rFonts w:ascii="Calibri" w:cs="Calibri" w:eastAsia="Calibri" w:hAnsi="Calibri"/>
          <w:sz w:val="22"/>
          <w:szCs w:val="22"/>
        </w:rPr>
        <w:t xml:space="preserve">Али Толегенович Биданов, студент 3 курса, Международный университет информационных технологий (Алматы, ул. Манаса, 34/1), alibig860@gmail.com.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2"/>
          <w:szCs w:val="22"/>
        </w:rPr>
        <w:t xml:space="preserve">Цель: </w:t>
      </w:r>
      <w:r>
        <w:rPr>
          <w:rFonts w:ascii="Calibri" w:cs="Calibri" w:eastAsia="Calibri" w:hAnsi="Calibri"/>
          <w:sz w:val="22"/>
          <w:szCs w:val="22"/>
        </w:rPr>
        <w:t xml:space="preserve">сократить время и повысить единообразие разбора споров по банковским картам с помощью большой языковой модели при сохранении контроля оператора.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Актуальность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По оценке Mastercard, объём чарджбэков в мире вырастет с 261 млн в 2025 г. до 324 млн в 2028 г., а сумма споров — с $33,8 млрд до $41,7 млрд. Обработка одного спора обходится банку примерно в $9–10. В Казахстане с начала 2025 г. по март 2026 г. зафиксировано более 130 тыс. случаев мошенничества (Нацбанк). Ручной разбор не масштабируется и плохо поддаётся аудиту.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Описание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ClaimAI принимает жалобу клиента и транзакции по кейсу, определяет тип спора (фрод, невыдача наличных, двойное списание, серия операций) и формирует решение: вердикт, риск и уверенность от 0 до 100, обоснование, список действий и письмо клиенту. Оператор подтверждает решение, а система записывает его в журнал аудита.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Что реализовано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Веб-интерфейс на React и API на FastAPI с базой PostgreSQL.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Движок решений на LLM (OpenAI API) со строгим JSON-форматом ответа, проверкой и нормализацией.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Журнал аудита: ID оператора, время, решение, обоснование.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Четыре синтетических демо-кейса и развёртывание через Docker, Vercel и Render.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Новизна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Связка LLM, структурированного решения и журнала аудита с подтверждением оператором для русскоязычных жалоб и операций в тенге.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Дальнейшие шаги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База знаний с правилами Visa и Mastercard (RAG) и ссылки на пункты правил.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Оценка точности на размеченных кейсах, маскирование персональных данных.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Пилот в банке или процессинге, возможность локальной модели.</w:t>
      </w:r>
    </w:p>
    <w:p>
      <w:pPr>
        <w:spacing w:after="4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2"/>
          <w:szCs w:val="22"/>
        </w:rPr>
        <w:t xml:space="preserve">Материалы: </w:t>
      </w:r>
      <w:r>
        <w:rPr>
          <w:rFonts w:ascii="Calibri" w:cs="Calibri" w:eastAsia="Calibri" w:hAnsi="Calibri"/>
          <w:sz w:val="22"/>
          <w:szCs w:val="22"/>
        </w:rPr>
        <w:t xml:space="preserve">репозиторий [ссылка на репозиторий GitHub], демо [ссылка на работающий прототип].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0F274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2026-10-08T12:08:22.872Z</dcterms:created>
  <dcterms:modified xsi:type="dcterms:W3CDTF">2026-10-08T12:08:22.872Z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