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7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44"/>
                <w:szCs w:val="44"/>
              </w:rPr>
              <w:t xml:space="preserve">ClaimAI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CBD5E1"/>
                <w:sz w:val="22"/>
                <w:szCs w:val="22"/>
              </w:rPr>
              <w:t xml:space="preserve">Автоматизация разбора спорных карточных операций на базе LLM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F2740"/>
          <w:sz w:val="26"/>
          <w:szCs w:val="26"/>
        </w:rPr>
        <w:t xml:space="preserve">Проблема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Банки получают всё больше споров по картам. В мире в 2025 г. ожидается около 261 млн чарджбэков, к 2028 г. — 324 млн. Каждый спор оператор разбирает вручную: сверяет жалобу, транзакции и правила платёжной сети. Это медленно, решения различаются у разных операторов, а обоснование трудно проверить при аудите.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F2740"/>
          <w:sz w:val="26"/>
          <w:szCs w:val="26"/>
        </w:rPr>
        <w:t xml:space="preserve">Целевая аудитория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Отделы претензий банков, процессинговые центры и платёжные организации, финтех-компании с карточными продуктами.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F2740"/>
          <w:sz w:val="26"/>
          <w:szCs w:val="26"/>
        </w:rPr>
        <w:t xml:space="preserve">Решение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ClaimAI принимает текст жалобы и список транзакций и за считаные секунды выдаёт решение: тип спора, вердикт, уровень риска, уверенность, обоснование по конкретным операциям, перечень действий и готовое письмо клиенту. Оператор проверяет и подтверждает решение в один клик, каждый запуск записывается в журнал аудита.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F2740"/>
          <w:sz w:val="26"/>
          <w:szCs w:val="26"/>
        </w:rPr>
        <w:t xml:space="preserve">Ценность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sz w:val="22"/>
          <w:szCs w:val="22"/>
        </w:rPr>
        <w:t xml:space="preserve">Скорость: от жалобы до готового решения и письма — минуты вместо ручной подготовки.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sz w:val="22"/>
          <w:szCs w:val="22"/>
        </w:rPr>
        <w:t xml:space="preserve">Единообразие: одинаковые случаи получают одинаковые решения.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sz w:val="22"/>
          <w:szCs w:val="22"/>
        </w:rPr>
        <w:t xml:space="preserve">Прозрачность: обоснование по транзакциям и журнал с ID оператора и временем.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sz w:val="22"/>
          <w:szCs w:val="22"/>
        </w:rPr>
        <w:t xml:space="preserve">Контроль: ИИ рекомендует, решение принимает человек.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F2740"/>
          <w:sz w:val="26"/>
          <w:szCs w:val="26"/>
        </w:rPr>
        <w:t xml:space="preserve">Новизна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Связка LLM, строго структурированного решения и журнала аудита с подтверждением оператором для русскоязычных жалоб и операций в тенге.</w:t>
      </w:r>
    </w:p>
    <w:p>
      <w:pPr>
        <w:spacing w:after="40"/>
      </w:pPr>
    </w:p>
    <w:tbl>
      <w:tblPr>
        <w:tblW w:type="dxa" w:w="9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2426"/>
        <w:gridCol w:w="2426"/>
        <w:gridCol w:w="2426"/>
      </w:tblGrid>
      <w:tr>
        <w:tc>
          <w:tcPr>
            <w:tcW w:type="dxa" w:w="2426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EEF1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b/>
                <w:bCs/>
                <w:color w:val="0F2740"/>
                <w:sz w:val="34"/>
                <w:szCs w:val="34"/>
              </w:rPr>
              <w:t xml:space="preserve">261 млн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3A5573"/>
                <w:sz w:val="18"/>
                <w:szCs w:val="18"/>
              </w:rPr>
              <w:t xml:space="preserve">чарджбэков в мире в 2025 г. (Mastercard)</w:t>
            </w:r>
          </w:p>
        </w:tc>
        <w:tc>
          <w:tcPr>
            <w:tcW w:type="dxa" w:w="2426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EEF1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b/>
                <w:bCs/>
                <w:color w:val="0F2740"/>
                <w:sz w:val="34"/>
                <w:szCs w:val="34"/>
              </w:rPr>
              <w:t xml:space="preserve">$9–10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3A5573"/>
                <w:sz w:val="18"/>
                <w:szCs w:val="18"/>
              </w:rPr>
              <w:t xml:space="preserve">стоимость обработки спора банком</w:t>
            </w:r>
          </w:p>
        </w:tc>
        <w:tc>
          <w:tcPr>
            <w:tcW w:type="dxa" w:w="2426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EEF1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b/>
                <w:bCs/>
                <w:color w:val="0F2740"/>
                <w:sz w:val="34"/>
                <w:szCs w:val="34"/>
              </w:rPr>
              <w:t xml:space="preserve">130 тыс.+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3A5573"/>
                <w:sz w:val="18"/>
                <w:szCs w:val="18"/>
              </w:rPr>
              <w:t xml:space="preserve">случаев мошенничества в РК, 2025 – март 2026 (Нацбанк)</w:t>
            </w:r>
          </w:p>
        </w:tc>
        <w:tc>
          <w:tcPr>
            <w:tcW w:type="dxa" w:w="2426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EEF1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b/>
                <w:bCs/>
                <w:color w:val="0F2740"/>
                <w:sz w:val="34"/>
                <w:szCs w:val="34"/>
              </w:rPr>
              <w:t xml:space="preserve">TRL 4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3A5573"/>
                <w:sz w:val="18"/>
                <w:szCs w:val="18"/>
              </w:rPr>
              <w:t xml:space="preserve">рабочий прототип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0F2740"/>
          <w:sz w:val="20"/>
          <w:szCs w:val="20"/>
        </w:rPr>
        <w:t xml:space="preserve">Автор: </w:t>
      </w:r>
      <w:r>
        <w:rPr>
          <w:rFonts w:ascii="Calibri" w:cs="Calibri" w:eastAsia="Calibri" w:hAnsi="Calibri"/>
          <w:sz w:val="20"/>
          <w:szCs w:val="20"/>
        </w:rPr>
        <w:t xml:space="preserve">Али Толегенович Биданов, студент 3 курса, Международный университет информационных технологий, Алматы, ул. Манаса, 34/1. </w:t>
      </w:r>
      <w:r>
        <w:rPr>
          <w:rFonts w:ascii="Calibri" w:cs="Calibri" w:eastAsia="Calibri" w:hAnsi="Calibri"/>
          <w:sz w:val="20"/>
          <w:szCs w:val="20"/>
        </w:rPr>
        <w:t xml:space="preserve">alibig860@gmail.com, +7 777 034 79 76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0F2740"/>
          <w:sz w:val="20"/>
          <w:szCs w:val="20"/>
        </w:rPr>
        <w:t xml:space="preserve">Репозиторий: </w:t>
      </w:r>
      <w:r>
        <w:rPr>
          <w:rFonts w:ascii="Calibri" w:cs="Calibri" w:eastAsia="Calibri" w:hAnsi="Calibri"/>
          <w:sz w:val="20"/>
          <w:szCs w:val="20"/>
        </w:rPr>
        <w:t xml:space="preserve">https://github.com/AliDamn/hack   </w:t>
      </w:r>
      <w:r>
        <w:rPr>
          <w:rFonts w:ascii="Calibri" w:cs="Calibri" w:eastAsia="Calibri" w:hAnsi="Calibri"/>
          <w:b/>
          <w:bCs/>
          <w:color w:val="0F2740"/>
          <w:sz w:val="20"/>
          <w:szCs w:val="20"/>
        </w:rPr>
        <w:t xml:space="preserve">Демо: </w:t>
      </w:r>
      <w:r>
        <w:rPr>
          <w:rFonts w:ascii="Calibri" w:cs="Calibri" w:eastAsia="Calibri" w:hAnsi="Calibri"/>
          <w:sz w:val="20"/>
          <w:szCs w:val="20"/>
        </w:rPr>
        <w:t xml:space="preserve">[ссылка на работающий прототип]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mbria" w:cs="Cambria" w:eastAsia="Cambria" w:hAnsi="Cambria"/>
      <w:b/>
      <w:bCs/>
      <w:color w:val="0F274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2026-10-08T12:10:28.482Z</dcterms:created>
  <dcterms:modified xsi:type="dcterms:W3CDTF">2026-10-08T12:10:28.483Z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