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7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ClaimAI — техническое приложение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Методика, данные и исходники, метрики и тест-кейсы, план доработки (TRL)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1. Назначение и границы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ClaimAI — прототип системы поддержки решений для операторов споров по банковским картам. Система не принимает решение о выплате самостоятельно: она готовит рекомендацию с обоснованием, а оператор подтверждает её. Прототип работает на синтетических данных.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2. Методика и модель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Модель: </w:t>
      </w:r>
      <w:r>
        <w:rPr>
          <w:rFonts w:ascii="Calibri" w:cs="Calibri" w:eastAsia="Calibri" w:hAnsi="Calibri"/>
          <w:sz w:val="22"/>
          <w:szCs w:val="22"/>
        </w:rPr>
        <w:t xml:space="preserve">большая языковая модель через OpenAI API (по умолчанию gpt-4o-mini, модель и адрес API задаются переменными окружения OPENAI_MODEL и OPENAI_API_URL).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Вход: </w:t>
      </w:r>
      <w:r>
        <w:rPr>
          <w:rFonts w:ascii="Calibri" w:cs="Calibri" w:eastAsia="Calibri" w:hAnsi="Calibri"/>
          <w:sz w:val="22"/>
          <w:szCs w:val="22"/>
        </w:rPr>
        <w:t xml:space="preserve">номер кейса, текст жалобы и транзакции (мерчант, сумма, дата, способ аутентификации, канал).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Промпт: </w:t>
      </w:r>
      <w:r>
        <w:rPr>
          <w:rFonts w:ascii="Calibri" w:cs="Calibri" w:eastAsia="Calibri" w:hAnsi="Calibri"/>
          <w:sz w:val="22"/>
          <w:szCs w:val="22"/>
        </w:rPr>
        <w:t xml:space="preserve">системная инструкция задаёт роль движка, перечень учитываемых факторов (правила платёжных сетей, политика банка, 3-D Secure, канал, время, дубликаты, серии операций) и требует ответ единым JSON-объектом.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Режим генерации: </w:t>
      </w:r>
      <w:r>
        <w:rPr>
          <w:rFonts w:ascii="Calibri" w:cs="Calibri" w:eastAsia="Calibri" w:hAnsi="Calibri"/>
          <w:sz w:val="22"/>
          <w:szCs w:val="22"/>
        </w:rPr>
        <w:t xml:space="preserve">temperature 0,2 для воспроизводимости, JSON-режим (response_format = json_object), ограничение 1200 токенов.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Выход: </w:t>
      </w:r>
      <w:r>
        <w:rPr>
          <w:rFonts w:ascii="Calibri" w:cs="Calibri" w:eastAsia="Calibri" w:hAnsi="Calibri"/>
          <w:sz w:val="22"/>
          <w:szCs w:val="22"/>
        </w:rPr>
        <w:t xml:space="preserve">тип спора, решение, класс решения (green — автоматическое, orange — расследование, red — отказ), риск 0–100, уверенность 0–100, обоснование, список действий, письмо клиенту.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Контроль качества ответа: </w:t>
      </w:r>
      <w:r>
        <w:rPr>
          <w:rFonts w:ascii="Calibri" w:cs="Calibri" w:eastAsia="Calibri" w:hAnsi="Calibri"/>
          <w:sz w:val="22"/>
          <w:szCs w:val="22"/>
        </w:rPr>
        <w:t xml:space="preserve">из текста ответа извлекается JSON, проверяется наличие обязательных полей, числовые значения приводятся к диапазону 0–100, неизвестный класс решения заменяется на orange. При сбое API возвращается ошибка 502, подставных ответов нет.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3. Архитектура и исходники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06"/>
      </w:tblGrid>
      <w:tr>
        <w:trPr>
          <w:cantSplit/>
          <w:tblHeader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React 18 + Vite, страница с выбором кейса и анимацией этапов анализа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API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FastAPI: GET /api/health, GET /api/cases, GET /api/cases/{id}, POST /api/cases/{id}/analyze, GET /api/audit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Движок решений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backend/app/llm.py: формирование запроса, вызов LLM, разбор и нормализация ответа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SQLAlchemy 2.0; PostgreSQL в Docker и на Render, SQLite для локального запуска; таблицы кейсов, транзакций и журнала аудита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74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Docker Compose; интерфейс на Vercel, API и база на Render (render.yaml)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Репозиторий: </w:t>
      </w:r>
      <w:r>
        <w:rPr>
          <w:rFonts w:ascii="Calibri" w:cs="Calibri" w:eastAsia="Calibri" w:hAnsi="Calibri"/>
          <w:sz w:val="22"/>
          <w:szCs w:val="22"/>
        </w:rPr>
        <w:t xml:space="preserve">https://github.com/AliDamn/hack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Секреты: </w:t>
      </w:r>
      <w:r>
        <w:rPr>
          <w:rFonts w:ascii="Calibri" w:cs="Calibri" w:eastAsia="Calibri" w:hAnsi="Calibri"/>
          <w:sz w:val="22"/>
          <w:szCs w:val="22"/>
        </w:rPr>
        <w:t xml:space="preserve">ключ API хранится только в переменных окружения и не попадает в репозиторий.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4. Данные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В прототипе используются четыре синтетических кейса, составленные по типовым сценариям споров. Реальные данные клиентов банков и номера карт не применяются. Для оценки качества необходим размеченный набор кейсов от банка-партнёра.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5. Тест-кейсы и метрики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Эталонные решения ниже зафиксированы разработчиком для демонстрационных кейсов и служат точкой отсчёта при сравнении ответов модели. Результаты прогона модели по эталону будут добавлены после запуска оценки с рабочим ключом API.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900"/>
        <w:gridCol w:w="2200"/>
        <w:gridCol w:w="3356"/>
      </w:tblGrid>
      <w:tr>
        <w:trPr>
          <w:cantSplit/>
          <w:tblHeader/>
        </w:trPr>
        <w:tc>
          <w:tcPr>
            <w:tcW w:type="dxa" w:w="125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Кейс</w:t>
            </w:r>
          </w:p>
        </w:tc>
        <w:tc>
          <w:tcPr>
            <w:tcW w:type="dxa" w:w="29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22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Эталонный класс</w:t>
            </w:r>
          </w:p>
        </w:tc>
        <w:tc>
          <w:tcPr>
            <w:tcW w:type="dxa" w:w="335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Эталонное решение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DSP-0847</w:t>
            </w:r>
          </w:p>
        </w:tc>
        <w:tc>
          <w:tcPr>
            <w:tcW w:type="dxa" w:w="29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Списание 147 500 ₸ в онлайн-магазине без 3-D Secure; клиент не совершал покупку</w:t>
            </w:r>
          </w:p>
        </w:tc>
        <w:tc>
          <w:tcPr>
            <w:tcW w:type="dxa" w:w="22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green</w:t>
            </w:r>
          </w:p>
        </w:tc>
        <w:tc>
          <w:tcPr>
            <w:tcW w:type="dxa" w:w="335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Автоматический возврат, блокировка карты, fraud report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DSP-0846</w:t>
            </w:r>
          </w:p>
        </w:tc>
        <w:tc>
          <w:tcPr>
            <w:tcW w:type="dxa" w:w="29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Банкомат не выдал 200 000 ₸, деньги списаны</w:t>
            </w:r>
          </w:p>
        </w:tc>
        <w:tc>
          <w:tcPr>
            <w:tcW w:type="dxa" w:w="22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orange</w:t>
            </w:r>
          </w:p>
        </w:tc>
        <w:tc>
          <w:tcPr>
            <w:tcW w:type="dxa" w:w="335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Расследование: запрос в банк-владелец банкомата, видеозапись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DSP-0844</w:t>
            </w:r>
          </w:p>
        </w:tc>
        <w:tc>
          <w:tcPr>
            <w:tcW w:type="dxa" w:w="29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Два одинаковых списания по 7 800 ₸ с разницей 3 минуты</w:t>
            </w:r>
          </w:p>
        </w:tc>
        <w:tc>
          <w:tcPr>
            <w:tcW w:type="dxa" w:w="22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green</w:t>
            </w:r>
          </w:p>
        </w:tc>
        <w:tc>
          <w:tcPr>
            <w:tcW w:type="dxa" w:w="335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Автовозврат дубликата</w:t>
            </w:r>
          </w:p>
        </w:tc>
      </w:tr>
      <w:tr>
        <w:trPr>
          <w:cantSplit/>
          <w:tblHeader w:val="off"/>
        </w:trPr>
        <w:tc>
          <w:tcPr>
            <w:tcW w:type="dxa" w:w="125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DSP-0841</w:t>
            </w:r>
          </w:p>
        </w:tc>
        <w:tc>
          <w:tcPr>
            <w:tcW w:type="dxa" w:w="29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Пять ночных операций в Steam на 82 000 ₸ без 3-D Secure</w:t>
            </w:r>
          </w:p>
        </w:tc>
        <w:tc>
          <w:tcPr>
            <w:tcW w:type="dxa" w:w="22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green</w:t>
            </w:r>
          </w:p>
        </w:tc>
        <w:tc>
          <w:tcPr>
            <w:tcW w:type="dxa" w:w="335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Немедленный возврат, блокировка, передача в антифрод</w:t>
            </w:r>
          </w:p>
        </w:tc>
      </w:tr>
    </w:tbl>
    <w:p>
      <w:pPr>
        <w:spacing w:after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06"/>
      </w:tblGrid>
      <w:tr>
        <w:trPr>
          <w:cantSplit/>
          <w:tblHeader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Способ измерения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Целевое значение (гипотеза)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Точность типа спора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Совпадение с разметкой эксперта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не менее 90%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Совпадение решения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Сравнение с решением оператора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не менее 85%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Время на спор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От жалобы до готового решения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минуты вместо часов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Доля автоматических решений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Зелёные решения без правки оператора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определить в пилоте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Ошибочные возвраты</w:t>
            </w:r>
          </w:p>
        </w:tc>
        <w:tc>
          <w:tcPr>
            <w:tcW w:type="dxa" w:w="3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Возврат при отсутствии оснований</w:t>
            </w:r>
          </w:p>
        </w:tc>
        <w:tc>
          <w:tcPr>
            <w:tcW w:type="dxa" w:w="37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минимум, контроль оператором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i/>
          <w:iCs/>
          <w:color w:val="5B6B7F"/>
          <w:sz w:val="20"/>
          <w:szCs w:val="20"/>
        </w:rPr>
        <w:t xml:space="preserve">Целевые значения — рабочие гипотезы, а не измеренные результаты.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6. Ограничения прототипа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Правила платёжных сетей пока передаются модели в виде общей инструкции, а не извлекаются из базы знаний.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Жалоба и транзакции отправляются во внешний API: для продуктивного использования нужны маскирование персональных данных или локальная модель.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Качество не измерено на размеченном наборе, решение требует подтверждения оператором.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7. План доработки и уровень готовности (TRL)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906"/>
      </w:tblGrid>
      <w:tr>
        <w:trPr>
          <w:cantSplit/>
          <w:tblHeader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0F274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TRL 4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Рабочий прототип, 4 демо-кейса, журнал аудита, облачное развёртывание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1–2 мес.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TRL 4–5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База знаний с правилами Visa и Mastercard (RAG), ссылки на пункты правил в обосновании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2–4 мес.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TRL 5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Оценка на размеченном наборе, маскирование персональных данных, тесты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4–8 мес.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TRL 6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Пилот в банке или процессинге, сбор метрик и обратной связи операторов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shd w:fill="EEF1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F2740"/>
                <w:sz w:val="20"/>
                <w:szCs w:val="20"/>
              </w:rPr>
              <w:t xml:space="preserve">8+ мес.</w:t>
            </w:r>
          </w:p>
        </w:tc>
        <w:tc>
          <w:tcPr>
            <w:tcW w:type="dxa" w:w="1300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TRL 7</w:t>
            </w:r>
          </w:p>
        </w:tc>
        <w:tc>
          <w:tcPr>
            <w:tcW w:type="dxa" w:w="6906"/>
            <w:tcBorders>
              <w:top w:val="single" w:color="D3DAE3" w:sz="4"/>
              <w:left w:val="single" w:color="D3DAE3" w:sz="4"/>
              <w:bottom w:val="single" w:color="D3DAE3" w:sz="4"/>
              <w:right w:val="single" w:color="D3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B1B1B"/>
                <w:sz w:val="20"/>
                <w:szCs w:val="20"/>
              </w:rPr>
              <w:t xml:space="preserve">Интеграция с карточным процессингом, локальная модель внутри периметра банка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8. Источники рыночных данных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Mastercard, State of Chargebacks 2025 (цифры по пересказу Chargebacks Gurus): объём и сумма споров, структура споров, стоимость обработки.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Национальный банк Республики Казахстан: данные о мошенничестве за 2025 г. – март 2026 г. (по публикациям СМИ).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Finprom: ущерб от мошенничества в Казахстане за 2022 г. (по публикациям СМИ).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0F274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2026-10-08T12:10:28.489Z</dcterms:created>
  <dcterms:modified xsi:type="dcterms:W3CDTF">2026-10-08T12:10:28.489Z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