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E8BF3" w14:textId="77777777" w:rsidR="00270042" w:rsidRPr="0071010C" w:rsidRDefault="00270042" w:rsidP="00270042">
      <w:pPr>
        <w:pStyle w:val="Ttulo1"/>
        <w:jc w:val="both"/>
        <w:rPr>
          <w:rFonts w:ascii="Arial" w:hAnsi="Arial" w:cs="Arial"/>
          <w:b/>
          <w:bCs/>
          <w:color w:val="000000" w:themeColor="text1"/>
          <w:sz w:val="28"/>
          <w:szCs w:val="28"/>
        </w:rPr>
      </w:pPr>
      <w:bookmarkStart w:id="0" w:name="_Toc225542314"/>
      <w:r w:rsidRPr="0071010C">
        <w:rPr>
          <w:rFonts w:ascii="Arial" w:hAnsi="Arial" w:cs="Arial"/>
          <w:b/>
          <w:bCs/>
          <w:color w:val="000000" w:themeColor="text1"/>
          <w:sz w:val="28"/>
          <w:szCs w:val="28"/>
        </w:rPr>
        <w:t>3 Saída da Ford e Emprego Setorial no Brasil: Estimativa DDD com Efeitos Fixos, Estudo de Evento e Testes de Robustez</w:t>
      </w:r>
      <w:bookmarkEnd w:id="0"/>
    </w:p>
    <w:p w14:paraId="2E9BA898" w14:textId="77777777" w:rsidR="00270042" w:rsidRPr="008177EA" w:rsidRDefault="00270042" w:rsidP="00270042">
      <w:pPr>
        <w:jc w:val="both"/>
        <w:rPr>
          <w:rFonts w:ascii="Arial" w:hAnsi="Arial" w:cs="Arial"/>
          <w:sz w:val="22"/>
          <w:szCs w:val="22"/>
        </w:rPr>
      </w:pPr>
    </w:p>
    <w:p w14:paraId="249F955B" w14:textId="77777777" w:rsidR="00270042" w:rsidRPr="00610CE2" w:rsidRDefault="00270042" w:rsidP="00270042">
      <w:pPr>
        <w:pStyle w:val="EstiloJustificadoDepoisde0pt"/>
        <w:rPr>
          <w:sz w:val="22"/>
          <w:szCs w:val="22"/>
        </w:rPr>
      </w:pPr>
      <w:r w:rsidRPr="00610CE2">
        <w:rPr>
          <w:b/>
          <w:bCs/>
          <w:sz w:val="22"/>
          <w:szCs w:val="22"/>
        </w:rPr>
        <w:t xml:space="preserve">Resumo: </w:t>
      </w:r>
      <w:r w:rsidRPr="00610CE2">
        <w:rPr>
          <w:sz w:val="22"/>
          <w:szCs w:val="22"/>
        </w:rPr>
        <w:t>Este artigo estima o efeito causal do encerramento das operações industriais da Ford no Brasil, anunciado em 2021 concentrado nas plantas de Camaçari (BA), Taubaté (SP) e Horizonte (CE), sobre o emprego formal no complexo automotivo. Utilizam-se microdados administrativos da Relação Anual de Informações Sociais (RAIS) no período entre 2014 e 2023, agregados ao nível município x setor x ano para permitir uma análise micro</w:t>
      </w:r>
      <w:r>
        <w:rPr>
          <w:sz w:val="22"/>
          <w:szCs w:val="22"/>
        </w:rPr>
        <w:t xml:space="preserve"> </w:t>
      </w:r>
      <w:r w:rsidRPr="00610CE2">
        <w:rPr>
          <w:sz w:val="22"/>
          <w:szCs w:val="22"/>
        </w:rPr>
        <w:t>territorial. A estratégia empírica fundamenta-se no método de Diferenças em Diferenças Tripla (DDD), explorando variações simultâneas no tempo (pré/pós-2021), no espaço (municípios tratados versus não tratados) e no setor (complexo automotivo versus demais setores da economia). O modelo incorpora efeitos fixos de alta dimensão (município-ano, setor-ano e município-setor) e erros-padrão agrupados no nível municipal para garantir a robustez da inferência estatística. A estimativa principal é negativa e estatisticamente significativa, implicando uma redução de aproximadamente 75,3% no emprego setorial formal nas localidades diretamente expostas após 2021. O estudo de evento indica a ausência de dinâmicas diferenciais no pré-tratamento e uma contração persistente no período pós-choque. Em conjunto, as evidências apontam que a saída da montadora constituiu um choque econômico local de grande magnitude, com impactos adversos duradouros sobre o mercado de trabalho formal.</w:t>
      </w:r>
    </w:p>
    <w:p w14:paraId="19317823" w14:textId="77777777" w:rsidR="00270042" w:rsidRPr="00610CE2" w:rsidRDefault="00270042" w:rsidP="00270042">
      <w:pPr>
        <w:pStyle w:val="EstiloJustificadoDepoisde0pt"/>
        <w:rPr>
          <w:sz w:val="22"/>
          <w:szCs w:val="22"/>
        </w:rPr>
      </w:pPr>
      <w:r w:rsidRPr="00610CE2">
        <w:rPr>
          <w:rFonts w:eastAsiaTheme="minorEastAsia"/>
          <w:b/>
          <w:bCs/>
          <w:sz w:val="22"/>
          <w:szCs w:val="22"/>
        </w:rPr>
        <w:t>Palavras-chave:</w:t>
      </w:r>
      <w:r w:rsidRPr="00610CE2">
        <w:rPr>
          <w:rFonts w:eastAsiaTheme="minorEastAsia"/>
          <w:sz w:val="22"/>
          <w:szCs w:val="22"/>
        </w:rPr>
        <w:t xml:space="preserve"> Saída da Ford do Brasil; Setor automotivo; Choque econômico local; Mercado de trabalho; Diferenças em Diferenças Tripla.</w:t>
      </w:r>
    </w:p>
    <w:p w14:paraId="19DA9369" w14:textId="77777777" w:rsidR="00270042" w:rsidRPr="00610CE2" w:rsidRDefault="00270042" w:rsidP="00270042">
      <w:pPr>
        <w:pStyle w:val="EstiloJustificado"/>
        <w:rPr>
          <w:sz w:val="22"/>
          <w:szCs w:val="22"/>
        </w:rPr>
      </w:pPr>
      <w:r w:rsidRPr="00610CE2">
        <w:rPr>
          <w:b/>
          <w:bCs/>
          <w:sz w:val="22"/>
          <w:szCs w:val="22"/>
        </w:rPr>
        <w:t>Classificação JEL</w:t>
      </w:r>
      <w:r w:rsidRPr="00610CE2">
        <w:rPr>
          <w:sz w:val="22"/>
          <w:szCs w:val="22"/>
        </w:rPr>
        <w:t>: J23, J65, C23.</w:t>
      </w:r>
    </w:p>
    <w:p w14:paraId="7155DB90" w14:textId="77777777" w:rsidR="00270042" w:rsidRPr="00610CE2" w:rsidRDefault="00270042" w:rsidP="00270042">
      <w:pPr>
        <w:spacing w:after="0"/>
        <w:jc w:val="both"/>
        <w:rPr>
          <w:rFonts w:ascii="Arial" w:hAnsi="Arial" w:cs="Arial"/>
          <w:sz w:val="22"/>
          <w:szCs w:val="22"/>
        </w:rPr>
      </w:pPr>
    </w:p>
    <w:p w14:paraId="05D51AE7" w14:textId="77777777" w:rsidR="00270042" w:rsidRPr="00610CE2" w:rsidRDefault="00270042" w:rsidP="00270042">
      <w:pPr>
        <w:pStyle w:val="EstiloJustificadoDepoisde0pt"/>
        <w:rPr>
          <w:sz w:val="22"/>
          <w:szCs w:val="22"/>
        </w:rPr>
      </w:pPr>
      <w:r w:rsidRPr="00610CE2">
        <w:rPr>
          <w:b/>
          <w:bCs/>
          <w:sz w:val="22"/>
          <w:szCs w:val="22"/>
        </w:rPr>
        <w:t xml:space="preserve">Abstract: </w:t>
      </w:r>
      <w:r w:rsidRPr="00610CE2">
        <w:rPr>
          <w:sz w:val="22"/>
          <w:szCs w:val="22"/>
        </w:rPr>
        <w:t>This paper estimates the causal effect of Ford’s industrial shutdown in Brazil, announced in 2021 concentrated in the manufacturing plants of Camaçari (BA), Taubaté (SP), and Horizonte (CE), on formal employment within the automotive complex. We utilize administrative microdata from the Brazilian Relação Anual de Informações Sociais (RAIS) for the 2014–2023 period, aggregated at the municipality × sector × year level to provide a precise micro-territorial analysis. The identification strategy relies on a triple-differences (DDD) design, exploiting simultaneous variation over time (pre/post-2021), across space (treated versus non-treated municipalities), and across sectors (automotive complex versus other economic sectors). The empirical specification includes high-dimensional fixed effects (municipality-year, sector-year, and municipality-sector) and municipality-clustered standard errors to ensure the robustness of the statistical inference . The main estimate is negative and statistically significant, implying an approximate 75.3% reduction in formal sectoral employment in the directly exposed locations after 2021. An event-study specification shows no differential dynamics prior to the treatment and a persistent contraction following the shock. Overall, the evidence suggests that Ford’s exit represented a major local economic shock with persistent adverse effects on formal employment in the automotive complex in directly exposed areas.</w:t>
      </w:r>
    </w:p>
    <w:p w14:paraId="5B75BF7F" w14:textId="77777777" w:rsidR="00270042" w:rsidRPr="00610CE2" w:rsidRDefault="00270042" w:rsidP="00270042">
      <w:pPr>
        <w:pStyle w:val="EstiloJustificadoDepoisde0pt"/>
        <w:rPr>
          <w:sz w:val="22"/>
          <w:szCs w:val="22"/>
        </w:rPr>
      </w:pPr>
      <w:r w:rsidRPr="00610CE2">
        <w:rPr>
          <w:b/>
          <w:bCs/>
          <w:sz w:val="22"/>
          <w:szCs w:val="22"/>
        </w:rPr>
        <w:lastRenderedPageBreak/>
        <w:t xml:space="preserve">Keywords: </w:t>
      </w:r>
      <w:r w:rsidRPr="00610CE2">
        <w:rPr>
          <w:sz w:val="22"/>
          <w:szCs w:val="22"/>
        </w:rPr>
        <w:t>Ford’s Exit from Brazil; Automotive Sector; Local Economic Shock; Labor Market; Triple Differences in Differences.</w:t>
      </w:r>
    </w:p>
    <w:p w14:paraId="4F405216" w14:textId="77777777" w:rsidR="00270042" w:rsidRPr="00610CE2" w:rsidRDefault="00270042" w:rsidP="00270042">
      <w:pPr>
        <w:pStyle w:val="EstiloJustificado"/>
        <w:rPr>
          <w:sz w:val="22"/>
          <w:szCs w:val="22"/>
        </w:rPr>
      </w:pPr>
      <w:r w:rsidRPr="00610CE2">
        <w:rPr>
          <w:b/>
          <w:bCs/>
          <w:sz w:val="22"/>
          <w:szCs w:val="22"/>
        </w:rPr>
        <w:t>JEL Code:</w:t>
      </w:r>
      <w:r w:rsidRPr="00610CE2">
        <w:rPr>
          <w:sz w:val="22"/>
          <w:szCs w:val="22"/>
        </w:rPr>
        <w:t xml:space="preserve"> J23, J65, C23.</w:t>
      </w:r>
    </w:p>
    <w:p w14:paraId="719A05DC" w14:textId="77777777" w:rsidR="00270042" w:rsidRPr="00562D27" w:rsidRDefault="00270042" w:rsidP="00270042">
      <w:pPr>
        <w:pStyle w:val="Ttulo2"/>
        <w:jc w:val="both"/>
        <w:rPr>
          <w:rFonts w:ascii="Arial" w:hAnsi="Arial" w:cs="Arial"/>
          <w:color w:val="000000" w:themeColor="text1"/>
          <w:sz w:val="24"/>
          <w:szCs w:val="24"/>
        </w:rPr>
      </w:pPr>
      <w:bookmarkStart w:id="1" w:name="_Toc225542315"/>
      <w:r w:rsidRPr="00562D27">
        <w:rPr>
          <w:rFonts w:ascii="Arial" w:hAnsi="Arial" w:cs="Arial"/>
          <w:color w:val="000000" w:themeColor="text1"/>
          <w:sz w:val="24"/>
          <w:szCs w:val="24"/>
        </w:rPr>
        <w:t>3.1 Introdução</w:t>
      </w:r>
      <w:bookmarkEnd w:id="1"/>
    </w:p>
    <w:p w14:paraId="3CDFAA08" w14:textId="77777777" w:rsidR="00270042" w:rsidRPr="00562D27" w:rsidRDefault="00270042" w:rsidP="00270042">
      <w:pPr>
        <w:spacing w:after="0"/>
        <w:jc w:val="both"/>
        <w:rPr>
          <w:rFonts w:ascii="Arial" w:hAnsi="Arial" w:cs="Arial"/>
        </w:rPr>
      </w:pPr>
    </w:p>
    <w:p w14:paraId="6B8AB7F7" w14:textId="77777777" w:rsidR="00270042" w:rsidRPr="00562D27" w:rsidRDefault="00270042" w:rsidP="00270042">
      <w:pPr>
        <w:ind w:firstLine="708"/>
        <w:jc w:val="both"/>
        <w:rPr>
          <w:rFonts w:ascii="Arial" w:hAnsi="Arial" w:cs="Arial"/>
        </w:rPr>
      </w:pPr>
      <w:r w:rsidRPr="00562D27">
        <w:rPr>
          <w:rFonts w:ascii="Arial" w:hAnsi="Arial" w:cs="Arial"/>
        </w:rPr>
        <w:t xml:space="preserve">O encerramento das operações industriais da Ford no Brasil, anunciado em 2021 e envolvendo plantas em Camaçari (BA), Taubaté (SP) e Horizonte (CE), constitui um choque econômico local de grande magnitude, uma vez que altera abruptamente o nível de atividade e o mercado de trabalho de localidades com elevada dependência de uma planta âncora. A literatura sobre o desenvolvimento regional enfatiza que a concentração de atividades industriais em polos específicos tende a intensificar efeitos de polarização e a vulnerabilidade territorial a choques idiossincráticos </w:t>
      </w:r>
      <w:r w:rsidRPr="00562D27">
        <w:rPr>
          <w:rFonts w:ascii="Arial" w:hAnsi="Arial" w:cs="Arial"/>
        </w:rPr>
        <w:fldChar w:fldCharType="begin"/>
      </w:r>
      <w:r w:rsidRPr="00562D27">
        <w:rPr>
          <w:rFonts w:ascii="Arial" w:hAnsi="Arial" w:cs="Arial"/>
        </w:rPr>
        <w:instrText xml:space="preserve"> ADDIN ZOTERO_ITEM CSL_CITATION {"citationID":"qfQXDoXN","properties":{"formattedCitation":"(Yeung, 2017)","plainCitation":"(Yeung, 2017)","noteIndex":0},"citationItems":[{"id":301,"uris":["http://zotero.org/users/12001880/items/XDUP87J7"],"itemData":{"id":301,"type":"article-journal","container-title":"Regional Studies","DOI":"10.1080/00343404.2016.1260251","ISSN":"0034-3404, 1360-0591","issue":"2","journalAbbreviation":"Regional Studies","language":"en","page":"348-349","source":"DOI.org (Crossref)","title":"The strategy of economic development","volume":"51","author":[{"family":"Yeung","given":"Henry Wai-chung"}],"issued":{"date-parts":[["2017",2,1]]}}}],"schema":"https://github.com/citation-style-language/schema/raw/master/csl-citation.json"} </w:instrText>
      </w:r>
      <w:r w:rsidRPr="00562D27">
        <w:rPr>
          <w:rFonts w:ascii="Arial" w:hAnsi="Arial" w:cs="Arial"/>
        </w:rPr>
        <w:fldChar w:fldCharType="separate"/>
      </w:r>
      <w:r w:rsidRPr="000A7400">
        <w:rPr>
          <w:rFonts w:ascii="Arial" w:hAnsi="Arial" w:cs="Arial"/>
        </w:rPr>
        <w:t>(Yeung, 2017)</w:t>
      </w:r>
      <w:r w:rsidRPr="00562D27">
        <w:rPr>
          <w:rFonts w:ascii="Arial" w:hAnsi="Arial" w:cs="Arial"/>
        </w:rPr>
        <w:fldChar w:fldCharType="end"/>
      </w:r>
      <w:r w:rsidRPr="00562D27">
        <w:rPr>
          <w:rFonts w:ascii="Arial" w:hAnsi="Arial" w:cs="Arial"/>
        </w:rPr>
        <w:t>. No caso brasileiro, a implantação e consolidação de complexos automotivos esteve associada à competição locacional e a arranjos institucionais que nem sempre asseguram enraizamento produtivo no longo prazo.</w:t>
      </w:r>
    </w:p>
    <w:p w14:paraId="43C06E60" w14:textId="77777777" w:rsidR="00270042" w:rsidRPr="00562D27" w:rsidRDefault="00270042" w:rsidP="00270042">
      <w:pPr>
        <w:pStyle w:val="EstiloJustificado"/>
      </w:pPr>
      <w:r w:rsidRPr="00562D27">
        <w:tab/>
        <w:t xml:space="preserve">A relevância deste estudo vai além dos empregos diretos na montadora, pois o setor automotivo movimenta uma cadeia complexa de fornecedores e serviços. Essa rede envolve encadeamentos como autopeças, metalurgia, plásticos e manutenção, o que aumenta o potencial de efeitos negativos sobre a renda e o trabalho local. Pesquisas baseadas em simulações indicam que o fechamento das plantas gera perdas econômicas significativas. Embora esses impactos sejam mais fortes nas cidades que abrigavam as fábricas, o prejuízo acaba se espalhando por todos os elos da cadeia produtiva. </w:t>
      </w:r>
      <w:r w:rsidRPr="00562D27">
        <w:fldChar w:fldCharType="begin"/>
      </w:r>
      <w:r w:rsidRPr="00562D27">
        <w:instrText xml:space="preserve"> ADDIN ZOTERO_ITEM CSL_CITATION {"citationID":"LFj3w2Ku","properties":{"formattedCitation":"(Domingues; Magalh\\uc0\\u227{}es; Cardoso, 2020)","plainCitation":"(Domingues; Magalhães; Cardoso, 2020)","noteIndex":0},"citationItems":[{"id":280,"uris":["http://zotero.org/users/12001880/items/WKH6D3S2"],"itemData":{"id":280,"type":"article-journal","language":"pt","source":"Zotero","title":"Impactos de médio e longo prazo do fim da produção doméstica de automóveis da Ford em 202","author":[{"family":"Domingues","given":"Edson Paulo"},{"family":"Magalhães","given":"Aline Souza"},{"family":"Cardoso","given":"Débora Freire"}],"issued":{"date-parts":[["2020"]]}}}],"schema":"https://github.com/citation-style-language/schema/raw/master/csl-citation.json"} </w:instrText>
      </w:r>
      <w:r w:rsidRPr="00562D27">
        <w:fldChar w:fldCharType="separate"/>
      </w:r>
      <w:r w:rsidRPr="000A7400">
        <w:rPr>
          <w:kern w:val="0"/>
        </w:rPr>
        <w:t>(Domingues; Magalhães; Cardoso, 2020)</w:t>
      </w:r>
      <w:r w:rsidRPr="00562D27">
        <w:fldChar w:fldCharType="end"/>
      </w:r>
      <w:r w:rsidRPr="00562D27">
        <w:t xml:space="preserve"> </w:t>
      </w:r>
      <w:r w:rsidRPr="00562D27">
        <w:fldChar w:fldCharType="begin"/>
      </w:r>
      <w:r w:rsidRPr="00562D27">
        <w:instrText xml:space="preserve"> ADDIN ZOTERO_ITEM CSL_CITATION {"citationID":"v6WJdaHM","properties":{"formattedCitation":"(Fernandes; Haddad; Dias, 2021)","plainCitation":"(Fernandes; Haddad; Dias, 2021)","noteIndex":0},"citationItems":[{"id":253,"uris":["http://zotero.org/users/12001880/items/NVUD884L"],"itemData":{"id":253,"type":"article-journal","language":"pt","source":"Zotero","title":"IMPACTOS ECONÔMICOS DA SAÍDA DA FORD DO ESTADO DE SÃO PAULO (NOTA TÉCNICA)","author":[{"family":"Fernandes","given":"Raphael P"},{"family":"Haddad","given":"Eduardo A"},{"family":"Dias","given":"Lucas C C"}],"issued":{"date-parts":[["2021"]]}}}],"schema":"https://github.com/citation-style-language/schema/raw/master/csl-citation.json"} </w:instrText>
      </w:r>
      <w:r w:rsidRPr="00562D27">
        <w:fldChar w:fldCharType="separate"/>
      </w:r>
      <w:r w:rsidRPr="000A7400">
        <w:t>(Fernandes; Haddad; Dias, 2021)</w:t>
      </w:r>
      <w:r w:rsidRPr="00562D27">
        <w:fldChar w:fldCharType="end"/>
      </w:r>
      <w:r w:rsidRPr="00562D27">
        <w:t>.</w:t>
      </w:r>
    </w:p>
    <w:p w14:paraId="4857253A" w14:textId="77777777" w:rsidR="00270042" w:rsidRPr="00562D27" w:rsidRDefault="00270042" w:rsidP="00270042">
      <w:pPr>
        <w:pStyle w:val="EstiloJustificado"/>
      </w:pPr>
      <w:r w:rsidRPr="00562D27">
        <w:tab/>
        <w:t>Em nível micro</w:t>
      </w:r>
      <w:r>
        <w:t xml:space="preserve"> </w:t>
      </w:r>
      <w:r w:rsidRPr="00562D27">
        <w:t xml:space="preserve">territorial, a vulnerabilidade tende a ser maior quando o mercado de trabalho local é especializado e concentrado. Evidência recente para Camaçari (BA) indica elevada dependência setorial e sugere que a especialização ocupacional pode dificultar a realocação rápida de trabalhadores na própria região </w:t>
      </w:r>
      <w:r w:rsidRPr="00562D27">
        <w:fldChar w:fldCharType="begin"/>
      </w:r>
      <w:r w:rsidRPr="00562D27">
        <w:instrText xml:space="preserve"> ADDIN ZOTERO_ITEM CSL_CITATION {"citationID":"SiiQHSDK","properties":{"formattedCitation":"(Henriques; Campos; Santos, 2024)","plainCitation":"(Henriques; Campos; Santos, 2024)","noteIndex":0},"citationItems":[{"id":251,"uris":["http://zotero.org/users/12001880/items/NXJ9W8LQ"],"itemData":{"id":251,"type":"article-journal","abstract":"O presente trabalho teve como objetivo o estudo dos impactos causados pela saída da Ford do Brasil com o foco no emprego da cidade de Camaçari - Bahia (BA). Utilizou-se o método de análise regional diferencial-estrutural, mais conhecido como shift-share. Os resultados demonstraram forte dependência do mercado de trabalho da cidade em relação à montadora. Constatou-se que os trabalhadores estão especializados e concentrados na indústria de transformação, o que sugere dificuldades para se realocarem no mercado de trabalho da região. Tais constatações deram origem a uma discussão relacionada aos incentivos fiscais concedidos pelo governo e a possíveis políticas públicas para redução dos impactos da saída da montadora.","container-title":"Revista Econômica do Nordeste","DOI":"10.61673/ren.2024.1600","ISSN":"2357-9226, 0100-4956","issue":"4","journalAbbreviation":"REN","language":"pt","license":"https://creativecommons.org/licenses/by/4.0","page":"156-178","source":"DOI.org (Crossref)","title":"O FECHAMENTO DA FÁBRICA DA FORD NA BAHIA: UMA ANÁLISE DA ESTRUTURA SETORIAL DO EMPREGO EM CAMAÇARI","title-short":"O FECHAMENTO DA FÁBRICA DA FORD NA BAHIA","volume":"55","author":[{"family":"Henriques","given":"Márcio Júlio Pereira"},{"family":"Campos","given":"Rafael Faria De Abreu"},{"family":"Santos","given":"Marcelo Figueiredo"}],"issued":{"date-parts":[["2024",10,31]]}}}],"schema":"https://github.com/citation-style-language/schema/raw/master/csl-citation.json"} </w:instrText>
      </w:r>
      <w:r w:rsidRPr="00562D27">
        <w:fldChar w:fldCharType="separate"/>
      </w:r>
      <w:r w:rsidRPr="000A7400">
        <w:t>(Henriques; Campos; Santos, 2024)</w:t>
      </w:r>
      <w:r w:rsidRPr="00562D27">
        <w:fldChar w:fldCharType="end"/>
      </w:r>
      <w:r w:rsidRPr="00562D27">
        <w:t xml:space="preserve">. Em paralelo, resultados internacionais apontam que o efeito líquido do fechamento depende do balanço entre destruição direta e capacidade de resposta do tecido produtivo local (expansão de firmas incumbentes e entrada de novas firmas), o que torna indispensável mensuração empírica do impacto observado </w:t>
      </w:r>
      <w:r w:rsidRPr="00562D27">
        <w:fldChar w:fldCharType="begin"/>
      </w:r>
      <w:r w:rsidRPr="00562D27">
        <w:instrText xml:space="preserve"> ADDIN ZOTERO_ITEM CSL_CITATION {"citationID":"CVUd4MRL","properties":{"formattedCitation":"(Jofre-Monseny; S\\uc0\\u225{}nchez-Vidal; Viladecans-Marsal, 2018)","plainCitation":"(Jofre-Monseny; Sánchez-Vidal; Viladecans-Marsal, 2018)","noteIndex":0},"citationItems":[{"id":255,"uris":["http://zotero.org/users/12001880/items/854N6R6G"],"itemData":{"id":255,"type":"article-journal","abstract":"This paper estimates the impact of large plant closures on the local employment in the affected industry. Specifically, we examine the closure of 45 large manufacturing plants in Spain which relocated abroad between 2001 and 2006. We run differences-indifferences specifications in which locations that experience a closure are matched to locations with similar pre-treatment employment levels and trends. The results show that when a plant closes, for each job directly lost in the plant closure, only between 0.6 and 0.7 jobs are actually lost in the local affected industry. These effects are driven by employment expansions in local incumbent firms and, to a lesser extent, by the creation of new firms in the local industry.","container-title":"Journal of Economic Geography","DOI":"10.1093/jeg/lbx026","ISSN":"1468-2702, 1468-2710","issue":"1","language":"en","license":"http://creativecommons.org/licenses/by/4.0/","page":"163-186","source":"DOI.org (Crossref)","title":"Big plant closures and local employment","volume":"18","author":[{"family":"Jofre-Monseny","given":"Jordi"},{"family":"Sánchez-Vidal","given":"Maria"},{"family":"Viladecans-Marsal","given":"Elisabet"}],"issued":{"date-parts":[["2018",1,1]]}}}],"schema":"https://github.com/citation-style-language/schema/raw/master/csl-citation.json"} </w:instrText>
      </w:r>
      <w:r w:rsidRPr="00562D27">
        <w:fldChar w:fldCharType="separate"/>
      </w:r>
      <w:r w:rsidRPr="000A7400">
        <w:rPr>
          <w:kern w:val="0"/>
        </w:rPr>
        <w:t>(Jofre-Monseny; Sánchez-Vidal; Viladecans-Marsal, 2018)</w:t>
      </w:r>
      <w:r w:rsidRPr="00562D27">
        <w:fldChar w:fldCharType="end"/>
      </w:r>
      <w:r w:rsidRPr="00562D27">
        <w:t>.</w:t>
      </w:r>
    </w:p>
    <w:p w14:paraId="523BFF6E" w14:textId="77777777" w:rsidR="00270042" w:rsidRPr="00562D27" w:rsidRDefault="00270042" w:rsidP="00270042">
      <w:pPr>
        <w:jc w:val="both"/>
        <w:rPr>
          <w:rFonts w:ascii="Arial" w:hAnsi="Arial" w:cs="Arial"/>
        </w:rPr>
      </w:pPr>
      <w:r w:rsidRPr="00562D27">
        <w:rPr>
          <w:rFonts w:ascii="Arial" w:hAnsi="Arial" w:cs="Arial"/>
        </w:rPr>
        <w:tab/>
        <w:t xml:space="preserve">A saída da Ford também se sobrepõe a transformações estruturais e tecnológicas do setor automotivo. Sínteses recentes destacam oscilações de produção e vendas, pressão por transição tecnológica (eletrificação, digitalização e sustentabilidade) e desafios de competitividade no contexto de cadeias globais de valor </w:t>
      </w:r>
      <w:r w:rsidRPr="00562D27">
        <w:rPr>
          <w:rFonts w:ascii="Arial" w:hAnsi="Arial" w:cs="Arial"/>
        </w:rPr>
        <w:fldChar w:fldCharType="begin"/>
      </w:r>
      <w:r w:rsidRPr="00562D27">
        <w:rPr>
          <w:rFonts w:ascii="Arial" w:hAnsi="Arial" w:cs="Arial"/>
        </w:rPr>
        <w:instrText xml:space="preserve"> ADDIN ZOTERO_ITEM CSL_CITATION {"citationID":"hoAWCN7W","properties":{"formattedCitation":"(Porter, 1990)","plainCitation":"(Porter, 1990)","noteIndex":0},"citationItems":[{"id":290,"uris":["http://zotero.org/users/12001880/items/QM4P2N5T"],"itemData":{"id":290,"type":"article-journal","language":"en","source":"Zotero","title":"The Competitive Advantage of Nations","author":[{"family":"Porter","given":"Michael E"}],"issued":{"date-parts":[["1990"]]}}}],"schema":"https://github.com/citation-style-language/schema/raw/master/csl-citation.json"} </w:instrText>
      </w:r>
      <w:r w:rsidRPr="00562D27">
        <w:rPr>
          <w:rFonts w:ascii="Arial" w:hAnsi="Arial" w:cs="Arial"/>
        </w:rPr>
        <w:fldChar w:fldCharType="separate"/>
      </w:r>
      <w:r w:rsidRPr="000A7400">
        <w:rPr>
          <w:rFonts w:ascii="Arial" w:hAnsi="Arial" w:cs="Arial"/>
        </w:rPr>
        <w:t>(Porter, 1990)</w:t>
      </w:r>
      <w:r w:rsidRPr="00562D27">
        <w:rPr>
          <w:rFonts w:ascii="Arial" w:hAnsi="Arial" w:cs="Arial"/>
        </w:rPr>
        <w:fldChar w:fldCharType="end"/>
      </w:r>
      <w:r w:rsidRPr="00562D27">
        <w:rPr>
          <w:rFonts w:ascii="Arial" w:hAnsi="Arial" w:cs="Arial"/>
        </w:rPr>
        <w:t xml:space="preserve"> </w:t>
      </w:r>
      <w:r w:rsidRPr="00562D27">
        <w:rPr>
          <w:rFonts w:ascii="Arial" w:hAnsi="Arial" w:cs="Arial"/>
        </w:rPr>
        <w:fldChar w:fldCharType="begin"/>
      </w:r>
      <w:r w:rsidRPr="00562D27">
        <w:rPr>
          <w:rFonts w:ascii="Arial" w:hAnsi="Arial" w:cs="Arial"/>
        </w:rPr>
        <w:instrText xml:space="preserve"> ADDIN ZOTERO_ITEM CSL_CITATION {"citationID":"OLgnss4b","properties":{"formattedCitation":"(Marx; Muniz, 2026)","plainCitation":"(Marx; Muniz, 2026)","noteIndex":0},"citationItems":[{"id":265,"uris":["http://zotero.org/users/12001880/items/8XDSDJSC"],"itemData":{"id":265,"type":"chapter","abstract":"The Brazilian Automotive Industry (BAI) remains the most important in South America. All the main players of the traditional industry operate in the country with the exception of Ford who closed all industrial plants in 2022, but maintains a significant Engineering Team that takes part in the design of some Ford new models. The BAI represents one of the main markets for new cars. Nevertheless, given the high social inequality in the country, the majority of the potential buyers only have the possibility to buy cheaper cars and only if credit is available to them. Since the 90's, the country developed engines that can operate with any percentage of gasoline and combustible ethanol, which represent an original innovation in worldwide terms. This innovation can also be considered as a factor that plays against the adoption of the recent wave of electrical (hybrid) vehicles since ethanol is a renewable combustible. BAI is very important for the South American region but lost importance in the regional and global arena, both because of the continuous economic and political crisis but also because of the decreasing importance given to industrial renewal and industrial policies during the last six years (2016-2022). This chapter will try to analyze the BAI and its importance in GVC since the 90´s - a decade that may be considered the Golden Age for the industry in the country.","container-title":"Emerging Auto Industries in a World of Global Value Chains","DOI":"10.1007/978-3-031-76410-3_11","ISBN":"978-3-031-76409-7","language":"en","note":"collection-title: Palgrave Studies of Internationalization in Emerging Markets","page":"179-192","publisher":"Springer Nature Switzerland","publisher-place":"Cham","source":"DOI.org (Crossref)","title":"The Brazilian Automotive Industry: Ups, Downs, and Future Challenges","title-short":"The Brazilian Automotive Industry","URL":"https://link.springer.com/10.1007/978-3-031-76410-3_11","editor":[{"family":"Monaco","given":"Lorenza"},{"family":"Schröder","given":"Martin"}],"author":[{"family":"Marx","given":"Roberto"},{"family":"Muniz","given":"Jorge"}],"accessed":{"date-parts":[["2026",1,14]]},"issued":{"date-parts":[["2026"]]}}}],"schema":"https://github.com/citation-style-language/schema/raw/master/csl-citation.json"} </w:instrText>
      </w:r>
      <w:r w:rsidRPr="00562D27">
        <w:rPr>
          <w:rFonts w:ascii="Arial" w:hAnsi="Arial" w:cs="Arial"/>
        </w:rPr>
        <w:fldChar w:fldCharType="separate"/>
      </w:r>
      <w:r w:rsidRPr="000A7400">
        <w:rPr>
          <w:rFonts w:ascii="Arial" w:hAnsi="Arial" w:cs="Arial"/>
        </w:rPr>
        <w:t>(Marx; Muniz, 2026)</w:t>
      </w:r>
      <w:r w:rsidRPr="00562D27">
        <w:rPr>
          <w:rFonts w:ascii="Arial" w:hAnsi="Arial" w:cs="Arial"/>
        </w:rPr>
        <w:fldChar w:fldCharType="end"/>
      </w:r>
      <w:r w:rsidRPr="00562D27">
        <w:rPr>
          <w:rFonts w:ascii="Arial" w:hAnsi="Arial" w:cs="Arial"/>
        </w:rPr>
        <w:t xml:space="preserve"> </w:t>
      </w:r>
      <w:r w:rsidRPr="00562D27">
        <w:rPr>
          <w:rFonts w:ascii="Arial" w:hAnsi="Arial" w:cs="Arial"/>
        </w:rPr>
        <w:fldChar w:fldCharType="begin"/>
      </w:r>
      <w:r w:rsidRPr="00562D27">
        <w:rPr>
          <w:rFonts w:ascii="Arial" w:hAnsi="Arial" w:cs="Arial"/>
        </w:rPr>
        <w:instrText xml:space="preserve"> ADDIN ZOTERO_ITEM CSL_CITATION {"citationID":"w5099wuJ","properties":{"formattedCitation":"(P. G. Vargas &amp; Bunde, 2021)","plainCitation":"(P. G. Vargas &amp; Bunde, 2021)","dontUpdate":true,"noteIndex":0},"citationItems":[{"id":257,"uris":["http://zotero.org/users/12001880/items/ILAU6BMD"],"itemData":{"id":257,"type":"article-journal","abstract":"The Brazilian automobile industry is of vital importance to the economic and social development of the country. In the last decades, the automotive sector underwent important changes in its productive system, especially since the 1990s. In this light, the present study aims to analyse the evolution, the main technological shifts in the productive system of manufacturers in Brazil, and its impact over employment between 1957 and 2018. In order to grasp this, the work was based on literature review and research on secondary data. As a result, it identified that with the trade liberalization and productive restructuring, the automobile industries began adopting the production system based on Toyostism, which had also been improved with the introduction of the JIT and Kanban systems. Such transformations aided in cost reduction and improvement in production and work productivity, which in turn has impacted the rates of employment in factories insofar as human labour was being substituted by machines.","container-title":"PEGADA - A Revista da Geografia do Trabalho","DOI":"10.33026/peg.v22i2.8555","ISSN":"1676-3025, 1676-1871","issue":"2","journalAbbreviation":"RP","language":"pt","page":"49-84","source":"DOI.org (Crossref)","title":"INDÚSTRIA AUTOMOBILÍSTICA BRASILEIRA: UMA ANÁLISE DAS PRINCIPAIS TRANSFORMAÇÕES TECNOLÓGICAS NO SISTEMA PRODUTIVO E SEU IMPACTO SOBRE O EMPREGO","title-short":"INDÚSTRIA AUTOMOBILÍSTICA BRASILEIRA","volume":"22","author":[{"family":"Vargas","given":"Priscila Gonçalves"},{"family":"Bunde","given":"Altacir"}],"issued":{"date-parts":[["2021",10,26]]}}}],"schema":"https://github.com/citation-style-language/schema/raw/master/csl-citation.json"} </w:instrText>
      </w:r>
      <w:r w:rsidRPr="00562D27">
        <w:rPr>
          <w:rFonts w:ascii="Arial" w:hAnsi="Arial" w:cs="Arial"/>
        </w:rPr>
        <w:fldChar w:fldCharType="separate"/>
      </w:r>
      <w:r w:rsidRPr="00562D27">
        <w:rPr>
          <w:rFonts w:ascii="Arial" w:hAnsi="Arial" w:cs="Arial"/>
        </w:rPr>
        <w:t>(Vargas &amp; Bunde, 2021)</w:t>
      </w:r>
      <w:r w:rsidRPr="00562D27">
        <w:rPr>
          <w:rFonts w:ascii="Arial" w:hAnsi="Arial" w:cs="Arial"/>
        </w:rPr>
        <w:fldChar w:fldCharType="end"/>
      </w:r>
      <w:r w:rsidRPr="00562D27">
        <w:rPr>
          <w:rFonts w:ascii="Arial" w:hAnsi="Arial" w:cs="Arial"/>
        </w:rPr>
        <w:t xml:space="preserve">. Esse pano de fundo reforça que a avaliação do choque deve isolar, tanto </w:t>
      </w:r>
      <w:r w:rsidRPr="00562D27">
        <w:rPr>
          <w:rFonts w:ascii="Arial" w:hAnsi="Arial" w:cs="Arial"/>
        </w:rPr>
        <w:lastRenderedPageBreak/>
        <w:t>quanto possível, tendências agregadas e choques setoriais comuns, distinguindo-os do efeito específico do encerramento.</w:t>
      </w:r>
    </w:p>
    <w:p w14:paraId="62C3053C" w14:textId="77777777" w:rsidR="00270042" w:rsidRPr="00562D27" w:rsidRDefault="00270042" w:rsidP="00270042">
      <w:pPr>
        <w:jc w:val="both"/>
        <w:rPr>
          <w:rFonts w:ascii="Arial" w:hAnsi="Arial" w:cs="Arial"/>
        </w:rPr>
      </w:pPr>
      <w:r w:rsidRPr="00562D27">
        <w:rPr>
          <w:rFonts w:ascii="Arial" w:hAnsi="Arial" w:cs="Arial"/>
        </w:rPr>
        <w:tab/>
        <w:t xml:space="preserve">Experiências internacionais documentam que fechamentos de grandes estabelecimentos industriais tendem a produzir efeitos persistentes em economias locais, atingindo não apenas emprego e renda, mas também dimensões de bem-estar e coesão social </w:t>
      </w:r>
      <w:r w:rsidRPr="00562D27">
        <w:rPr>
          <w:rFonts w:ascii="Arial" w:hAnsi="Arial" w:cs="Arial"/>
        </w:rPr>
        <w:fldChar w:fldCharType="begin"/>
      </w:r>
      <w:r w:rsidRPr="00562D27">
        <w:rPr>
          <w:rFonts w:ascii="Arial" w:hAnsi="Arial" w:cs="Arial"/>
        </w:rPr>
        <w:instrText xml:space="preserve"> ADDIN ZOTERO_ITEM CSL_CITATION {"citationID":"YYbyg8fZ","properties":{"formattedCitation":"(Chapain; Murie, 2008)","plainCitation":"(Chapain; Murie, 2008)","noteIndex":0},"citationItems":[{"id":263,"uris":["http://zotero.org/users/12001880/items/EZAZR9U6"],"itemData":{"id":263,"type":"article-journal","abstract":"There is a considerable recent literature concerned with the impacts of factory closure. Much of this literature is based on closures in the 1980s and 1990s and on closures affecting heavy industry – coal, steel and shipbuilding. It also tends to focus on employment and labour market impacts assessed through the subsequent experience of workers made redundant following closures and, perhaps justifiably, to assume that the impacts are localized. Because of this much of the discussion of policy implications relates to the workers made redundant and to a very local economy. This paper refers to the closure of the MG Rover factory in Longbridge, Birmingham, UK. This closure attracted considerable media and policy interest. It was regarded as presenting a crisis for government and the local community. The paper responds to arguments in the research literature and explores the spatial and economic impact of the MG Rover closure in more detail. It complements other research which has focused on the experience of those made redundant in 2005 by referring to the loss of employment over a longer time period and identifying a wider impact spatially and socially. The paper draws upon different sources of evidence and concludes with a discussion of implications both for policy and research.","container-title":"Policy Studies","DOI":"10.1080/01442870802159962","ISSN":"0144-2872, 1470-1006","issue":"3","journalAbbreviation":"Policy Studies","language":"en","page":"305-317","source":"DOI.org (Crossref)","title":"The impact of factory closure on local communities and economies: the case of the MG Rover Longbridge closure in Birmingham","title-short":"The impact of factory closure on local communities and economies","volume":"29","author":[{"family":"Chapain","given":"Caroline"},{"family":"Murie","given":"Alan"}],"issued":{"date-parts":[["2008",9]]}}}],"schema":"https://github.com/citation-style-language/schema/raw/master/csl-citation.json"} </w:instrText>
      </w:r>
      <w:r w:rsidRPr="00562D27">
        <w:rPr>
          <w:rFonts w:ascii="Arial" w:hAnsi="Arial" w:cs="Arial"/>
        </w:rPr>
        <w:fldChar w:fldCharType="separate"/>
      </w:r>
      <w:r w:rsidRPr="000A7400">
        <w:rPr>
          <w:rFonts w:ascii="Arial" w:hAnsi="Arial" w:cs="Arial"/>
        </w:rPr>
        <w:t>(Chapain; Murie, 2008)</w:t>
      </w:r>
      <w:r w:rsidRPr="00562D27">
        <w:rPr>
          <w:rFonts w:ascii="Arial" w:hAnsi="Arial" w:cs="Arial"/>
        </w:rPr>
        <w:fldChar w:fldCharType="end"/>
      </w:r>
      <w:r w:rsidRPr="00562D27">
        <w:rPr>
          <w:rFonts w:ascii="Arial" w:hAnsi="Arial" w:cs="Arial"/>
        </w:rPr>
        <w:t xml:space="preserve"> </w:t>
      </w:r>
      <w:r w:rsidRPr="00562D27">
        <w:rPr>
          <w:rFonts w:ascii="Arial" w:hAnsi="Arial" w:cs="Arial"/>
        </w:rPr>
        <w:fldChar w:fldCharType="begin"/>
      </w:r>
      <w:r w:rsidRPr="00562D27">
        <w:rPr>
          <w:rFonts w:ascii="Arial" w:hAnsi="Arial" w:cs="Arial"/>
        </w:rPr>
        <w:instrText xml:space="preserve"> ADDIN ZOTERO_ITEM CSL_CITATION {"citationID":"J7EYzkpc","properties":{"formattedCitation":"(Beer et al., 2019)","plainCitation":"(Beer et al., 2019)","noteIndex":0},"citationItems":[{"id":282,"uris":["http://zotero.org/users/12001880/items/JKIXDY6U"],"itemData":{"id":282,"type":"article-journal","abstract":"Work on large-scale plant closures has provided a rich vein of scholarship and academic debate. This paper articulates a new set of methods and concepts for understanding how large-scale redundancies associated with the closure of manufacturing plants affects society and the economy at the local, regional and national scales. It posits the need for a more comprehensive exercise in data collection and experimentation with previously unused methods, including the application of discrete-choice experiments in order to understand better the choice and decision-making frameworks adopted by affected workers. The paper argues there is a need to integrate community-wide policy responses into the core of the analyses.","container-title":"Regional Studies, Regional Science","DOI":"10.1080/21681376.2019.1622440","ISSN":"2168-1376","issue":"1","journalAbbreviation":"Regional Studies, Regional Science","language":"en","page":"380-394","source":"DOI.org (Crossref)","title":"The urban and regional impacts of plant closures: new methods and perspectives","title-short":"The urban and regional impacts of plant closures","volume":"6","author":[{"family":"Beer","given":"Andrew"},{"family":"Weller","given":"Sally"},{"family":"Barnes","given":"Tom"},{"family":"Onur","given":"Ilke"},{"family":"Ratcliffe","given":"Julie"},{"family":"Bailey","given":"David"},{"family":"Sotarauta","given":"Markku"}],"issued":{"date-parts":[["2019",1,1]]}}}],"schema":"https://github.com/citation-style-language/schema/raw/master/csl-citation.json"} </w:instrText>
      </w:r>
      <w:r w:rsidRPr="00562D27">
        <w:rPr>
          <w:rFonts w:ascii="Arial" w:hAnsi="Arial" w:cs="Arial"/>
        </w:rPr>
        <w:fldChar w:fldCharType="separate"/>
      </w:r>
      <w:r w:rsidRPr="000A7400">
        <w:rPr>
          <w:rFonts w:ascii="Arial" w:hAnsi="Arial" w:cs="Arial"/>
        </w:rPr>
        <w:t>(Beer et al., 2019)</w:t>
      </w:r>
      <w:r w:rsidRPr="00562D27">
        <w:rPr>
          <w:rFonts w:ascii="Arial" w:hAnsi="Arial" w:cs="Arial"/>
        </w:rPr>
        <w:fldChar w:fldCharType="end"/>
      </w:r>
      <w:r w:rsidRPr="00562D27">
        <w:rPr>
          <w:rFonts w:ascii="Arial" w:hAnsi="Arial" w:cs="Arial"/>
        </w:rPr>
        <w:t xml:space="preserve"> </w:t>
      </w:r>
      <w:r w:rsidRPr="00562D27">
        <w:rPr>
          <w:rFonts w:ascii="Arial" w:hAnsi="Arial" w:cs="Arial"/>
        </w:rPr>
        <w:fldChar w:fldCharType="begin"/>
      </w:r>
      <w:r w:rsidRPr="00562D27">
        <w:rPr>
          <w:rFonts w:ascii="Arial" w:hAnsi="Arial" w:cs="Arial"/>
        </w:rPr>
        <w:instrText xml:space="preserve"> ADDIN ZOTERO_ITEM CSL_CITATION {"citationID":"974yHSA7","properties":{"formattedCitation":"(David, 2025)","plainCitation":"(David, 2025)","noteIndex":0},"citationItems":[{"id":259,"uris":["http://zotero.org/users/12001880/items/W7YNPQMV"],"itemData":{"id":259,"type":"book","collection-title":"Questioni di Economia e Finanza","language":"it","number-of-pages":"37","publisher":"Banca d'Italia","publisher-place":"IT","source":"DOI.org (CSL JSON)","title":"Gli effetti della chiusura di un grande stabilimento industriale sull’economia locale","URL":"https://doi.org/10.32057/0.QEF.2025.952","author":[{"family":"David","given":"Francesco"}],"accessed":{"date-parts":[["2026",1,13]]},"issued":{"date-parts":[["2025",7,23]]}}}],"schema":"https://github.com/citation-style-language/schema/raw/master/csl-citation.json"} </w:instrText>
      </w:r>
      <w:r w:rsidRPr="00562D27">
        <w:rPr>
          <w:rFonts w:ascii="Arial" w:hAnsi="Arial" w:cs="Arial"/>
        </w:rPr>
        <w:fldChar w:fldCharType="separate"/>
      </w:r>
      <w:r w:rsidRPr="000A7400">
        <w:rPr>
          <w:rFonts w:ascii="Arial" w:hAnsi="Arial" w:cs="Arial"/>
        </w:rPr>
        <w:t>(David, 2025)</w:t>
      </w:r>
      <w:r w:rsidRPr="00562D27">
        <w:rPr>
          <w:rFonts w:ascii="Arial" w:hAnsi="Arial" w:cs="Arial"/>
        </w:rPr>
        <w:fldChar w:fldCharType="end"/>
      </w:r>
      <w:r w:rsidRPr="00562D27">
        <w:rPr>
          <w:rFonts w:ascii="Arial" w:hAnsi="Arial" w:cs="Arial"/>
        </w:rPr>
        <w:t xml:space="preserve"> (Perrucci et al. 1988) </w:t>
      </w:r>
      <w:r w:rsidRPr="00562D27">
        <w:rPr>
          <w:rFonts w:ascii="Arial" w:hAnsi="Arial" w:cs="Arial"/>
        </w:rPr>
        <w:fldChar w:fldCharType="begin"/>
      </w:r>
      <w:r w:rsidRPr="00562D27">
        <w:rPr>
          <w:rFonts w:ascii="Arial" w:hAnsi="Arial" w:cs="Arial"/>
        </w:rPr>
        <w:instrText xml:space="preserve"> ADDIN ZOTERO_ITEM CSL_CITATION {"citationID":"8SkKZdRd","properties":{"formattedCitation":"(Venkataramani et al., 2020)","plainCitation":"(Venkataramani et al., 2020)","noteIndex":0},"citationItems":[{"id":267,"uris":["http://zotero.org/users/12001880/items/Q2WSLNH5"],"itemData":{"id":267,"type":"article-journal","abstract":"OBJECTIVE To estimate the extent to which automotive assembly plant closures were associated with increasing opioid overdose mortality rates among working-age adults. DESIGN, SETTING, AND PARTICIPANTS A county-level difference-in-differences study was conducted among adults aged 18 to 65 years in 112 manufacturing counties located in 30 commuting zones (primarily in the US South and Midwest) with at least 1 operational automotive assembly plant as of 1999. The study analyzed county-level changes from January 1, 1999, to December 31, 2016, in age-adjusted, county-level opioid overdose mortality rates before vs after automotive assembly plant closures in manufacturing counties affected by plant closures compared with changes in manufacturing counties unaffected by plant closures. Data analyses were performed between April 1, 2018, and July 20, 2019. EXPOSURE Closure of automotive assembly plants in the commuting zone of residence. MAIN OUTCOMES AND MEASURES The primary outcome was the county-level age-adjusted opioid overdose mortality rate. Secondary outcomes included the overall drug overdose mortality rate and prescription vs illicit drug overdose mortality rates.\nRESULTS During the study period, 29 manufacturing counties in 10 commuting zones were exposed to an automotive assembly plant closure, while 83 manufacturing counties in 20 commuting zones remained unexposed. Mean (SD) baseline opioid overdose rates per 100 000 were similar in exposed (0.9 [1.4]) and unexposed (1.0 [2.1]) counties. Automotive assembly plant closures were associated with statistically significant increases in opioid overdose mortality. Five years after a plant closure, mortality rates had increased by 8.6 opioid overdose deaths per 100 000 individuals (95% CI, 2.6-14.6; P = .006) in exposed counties compared with unexposed counties, an 85% higher increase relative to the mortality rate that would have been expected had exposed counties followed the same outcome trends as unexposed counties. In analyses stratified by age, sex, and race/ethnicity, the largest increases in opioid overdose mortality were observed among non-Hispanic white men aged 18 to 34 years (20.1 deaths per 100 000; 95% CI, 8.8-31.3; P = .001) and aged 35 to 65 years (12.8 deaths per 100 000; 95% CI, 5.7-20.0; P = .001). We observed similar patterns of prescription vs illicit drug overdose mortality. Estimates for opioid overdose mortality in nonmanufacturing counties were not statistically significant.\nCONCLUSIONS AND RELEVANCE From 1999 to 2016, automotive assembly plant closures were associated with increases in opioid overdose mortality. These findings highlight the potential importance of eroding economic opportunity as a factor in the US opioid overdose crisis.","container-title":"JAMA Internal Medicine","DOI":"10.1001/jamainternmed.2019.5686","ISSN":"2168-6106","issue":"2","journalAbbreviation":"JAMA Intern Med","language":"en","page":"254","source":"DOI.org (Crossref)","title":"Association Between Automotive Assembly Plant Closures and Opioid Overdose Mortality in the United States: A Difference-in-Differences Analysis","title-short":"Association Between Automotive Assembly Plant Closures and Opioid Overdose Mortality in the United States","volume":"180","author":[{"family":"Venkataramani","given":"Atheendar S."},{"family":"Bair","given":"Elizabeth F."},{"family":"O’Brien","given":"Rourke L."},{"family":"Tsai","given":"Alexander C."}],"issued":{"date-parts":[["2020",2,1]]}}}],"schema":"https://github.com/citation-style-language/schema/raw/master/csl-citation.json"} </w:instrText>
      </w:r>
      <w:r w:rsidRPr="00562D27">
        <w:rPr>
          <w:rFonts w:ascii="Arial" w:hAnsi="Arial" w:cs="Arial"/>
        </w:rPr>
        <w:fldChar w:fldCharType="separate"/>
      </w:r>
      <w:r w:rsidRPr="000A7400">
        <w:rPr>
          <w:rFonts w:ascii="Arial" w:hAnsi="Arial" w:cs="Arial"/>
        </w:rPr>
        <w:t>(Venkataramani et al., 2020)</w:t>
      </w:r>
      <w:r w:rsidRPr="00562D27">
        <w:rPr>
          <w:rFonts w:ascii="Arial" w:hAnsi="Arial" w:cs="Arial"/>
        </w:rPr>
        <w:fldChar w:fldCharType="end"/>
      </w:r>
      <w:r w:rsidRPr="00562D27">
        <w:rPr>
          <w:rFonts w:ascii="Arial" w:hAnsi="Arial" w:cs="Arial"/>
        </w:rPr>
        <w:t>.</w:t>
      </w:r>
    </w:p>
    <w:p w14:paraId="6EACCCAD" w14:textId="77777777" w:rsidR="00270042" w:rsidRPr="00562D27" w:rsidRDefault="00270042" w:rsidP="00270042">
      <w:pPr>
        <w:pStyle w:val="EstiloJustificadoPrimeiralinha125cm"/>
      </w:pPr>
      <w:r w:rsidRPr="00562D27">
        <w:t xml:space="preserve">Entretanto, a evidência empírica brasileira ainda é escassa quanto a estimativas causais do impacto do fechamento de montadoras sobre o emprego formal local com uso de microdados administrativos e estratégias quase-experimentais, dado que parte relevante da produção se concentra em simulações estruturais e análises descritivas </w:t>
      </w:r>
      <w:r w:rsidRPr="00562D27">
        <w:fldChar w:fldCharType="begin"/>
      </w:r>
      <w:r w:rsidRPr="00562D27">
        <w:instrText xml:space="preserve"> ADDIN ZOTERO_ITEM CSL_CITATION {"citationID":"nU3DJIQC","properties":{"formattedCitation":"(Domingues; Magalh\\uc0\\u227{}es; Cardoso, 2020)","plainCitation":"(Domingues; Magalhães; Cardoso, 2020)","noteIndex":0},"citationItems":[{"id":280,"uris":["http://zotero.org/users/12001880/items/WKH6D3S2"],"itemData":{"id":280,"type":"article-journal","language":"pt","source":"Zotero","title":"Impactos de médio e longo prazo do fim da produção doméstica de automóveis da Ford em 202","author":[{"family":"Domingues","given":"Edson Paulo"},{"family":"Magalhães","given":"Aline Souza"},{"family":"Cardoso","given":"Débora Freire"}],"issued":{"date-parts":[["2020"]]}}}],"schema":"https://github.com/citation-style-language/schema/raw/master/csl-citation.json"} </w:instrText>
      </w:r>
      <w:r w:rsidRPr="00562D27">
        <w:fldChar w:fldCharType="separate"/>
      </w:r>
      <w:r w:rsidRPr="000A7400">
        <w:rPr>
          <w:kern w:val="0"/>
        </w:rPr>
        <w:t>(Domingues; Magalhães; Cardoso, 2020)</w:t>
      </w:r>
      <w:r w:rsidRPr="00562D27">
        <w:fldChar w:fldCharType="end"/>
      </w:r>
      <w:r w:rsidRPr="00562D27">
        <w:t xml:space="preserve"> </w:t>
      </w:r>
      <w:r w:rsidRPr="00562D27">
        <w:fldChar w:fldCharType="begin"/>
      </w:r>
      <w:r w:rsidRPr="00562D27">
        <w:instrText xml:space="preserve"> ADDIN ZOTERO_ITEM CSL_CITATION {"citationID":"ox64G9sT","properties":{"formattedCitation":"(Dulci, 2021)","plainCitation":"(Dulci, 2021)","noteIndex":0},"citationItems":[{"id":316,"uris":["http://zotero.org/users/12001880/items/X9QL3WH8"],"itemData":{"id":316,"type":"article-journal","abstract":"Resumo À luz das recentes ondas de investimento estrangeiro da indústria automobilística brasileira, a partir da década de 1990, este artigo analisa a trajetória de emprego e renda no setor automotivo, diante das crises econômica de 2008 e política dos últimos anos, observando comportamentos em três casos, em perspectiva comparada − o Grande ABC Paulista, a região tradicional; o vale do Paraíba fluminense e Camaçari (BA), as novas regiões −, tomando a cadeia produtiva como escopo e os clusters como unidade analítica. A hipótese testada é de que os primeiros impactos críticos atingem os setores menos qualificados e os empregos do “chão de fábrica”. O que se percebe é que em cada região resulta um comportamento distinto, sendo a região tradicional a que mais se comporta de acordo com a hipótese, e as novas regiões apresentando comportamentos discrepantes.\n          , \n            Abstract Considering the recent foreign investment waves in the Brazilian automotive industry, since the 1990’s, this paper analyses the employment and income trajectory in the automotive sector, in face of the economic crisis of 2008 and the policies of the last years. It observes the behaviour in three cases, in a compared perspective − the Grande ABC Paulista, the traditional region; the vale do Paraíba fluminense and Camaçari (BA), the new regions −, taking the productive chain as scopes and the clusters as analytical units. The tested hypothesis is that the first critical impacts strike the less qualified sectors and the “shop-floor” jobs. What can be understood is that each region behaves in a distinguished way, in which the traditional region is the one that behaves the closer according to the hypothesis. The new regions present more discrepant behaviours.","container-title":"Sociologia &amp; Antropologia","DOI":"10.1590/2238-38752021v1119","ISSN":"2238-3875, 2236-7527","issue":"1","journalAbbreviation":"Sociol. Antropol.","language":"pt","license":"http://creativecommons.org/licenses/by/4.0/","page":"219-247","source":"DOI.org (Crossref)","title":"CRISE, EMPREGO E RENDA NA INDÚSTRIA AUTOMOTIVA: OS CASOS DO SUL FLUMINENSE, CAMAÇARI E GRANDE ABC PAULISTA EM PERSPECTIVA COMPARADA","title-short":"CRISE, EMPREGO E RENDA NA INDÚSTRIA AUTOMOTIVA","volume":"11","author":[{"family":"Dulci","given":"João Assis"}],"issued":{"date-parts":[["2021",4]]}}}],"schema":"https://github.com/citation-style-language/schema/raw/master/csl-citation.json"} </w:instrText>
      </w:r>
      <w:r w:rsidRPr="00562D27">
        <w:fldChar w:fldCharType="separate"/>
      </w:r>
      <w:r w:rsidRPr="000A7400">
        <w:t>(Dulci, 2021)</w:t>
      </w:r>
      <w:r w:rsidRPr="00562D27">
        <w:fldChar w:fldCharType="end"/>
      </w:r>
      <w:r w:rsidRPr="00562D27">
        <w:t xml:space="preserve"> </w:t>
      </w:r>
      <w:r w:rsidRPr="00562D27">
        <w:fldChar w:fldCharType="begin"/>
      </w:r>
      <w:r w:rsidRPr="00562D27">
        <w:instrText xml:space="preserve"> ADDIN ZOTERO_ITEM CSL_CITATION {"citationID":"2i3P1DrH","properties":{"formattedCitation":"(Fernandes; Haddad; Dias, 2021)","plainCitation":"(Fernandes; Haddad; Dias, 2021)","noteIndex":0},"citationItems":[{"id":253,"uris":["http://zotero.org/users/12001880/items/NVUD884L"],"itemData":{"id":253,"type":"article-journal","language":"pt","source":"Zotero","title":"IMPACTOS ECONÔMICOS DA SAÍDA DA FORD DO ESTADO DE SÃO PAULO (NOTA TÉCNICA)","author":[{"family":"Fernandes","given":"Raphael P"},{"family":"Haddad","given":"Eduardo A"},{"family":"Dias","given":"Lucas C C"}],"issued":{"date-parts":[["2021"]]}}}],"schema":"https://github.com/citation-style-language/schema/raw/master/csl-citation.json"} </w:instrText>
      </w:r>
      <w:r w:rsidRPr="00562D27">
        <w:fldChar w:fldCharType="separate"/>
      </w:r>
      <w:r w:rsidRPr="000A7400">
        <w:t>(Fernandes; Haddad; Dias, 2021)</w:t>
      </w:r>
      <w:r w:rsidRPr="00562D27">
        <w:fldChar w:fldCharType="end"/>
      </w:r>
      <w:r w:rsidRPr="00562D27">
        <w:t>.</w:t>
      </w:r>
    </w:p>
    <w:p w14:paraId="7634E8AE" w14:textId="77777777" w:rsidR="00270042" w:rsidRPr="00562D27" w:rsidRDefault="00270042" w:rsidP="00270042">
      <w:pPr>
        <w:jc w:val="both"/>
        <w:rPr>
          <w:rFonts w:ascii="Arial" w:hAnsi="Arial" w:cs="Arial"/>
        </w:rPr>
      </w:pPr>
      <w:r w:rsidRPr="00562D27">
        <w:rPr>
          <w:rFonts w:ascii="Arial" w:hAnsi="Arial" w:cs="Arial"/>
        </w:rPr>
        <w:tab/>
        <w:t xml:space="preserve">Para preencher a lacuna identificada, este artigo estima o impacto da saída da Ford sobre o emprego formal do complexo automotivo por meio de um desenho de Diferenças em Diferenças Tripla (DDD) aplicado aos microdados da RAIS. A estratégia identifica o efeito causal ao explorar variações simultâneas nas dimensões temporal (pré e pós-2021), espacial (municípios tratados versus controles) e setorial (complexo automotivo versus demais atividades). </w:t>
      </w:r>
    </w:p>
    <w:p w14:paraId="66CF4156" w14:textId="77777777" w:rsidR="00270042" w:rsidRPr="00562D27" w:rsidRDefault="00270042" w:rsidP="00270042">
      <w:pPr>
        <w:ind w:firstLine="709"/>
        <w:jc w:val="both"/>
        <w:rPr>
          <w:rFonts w:ascii="Arial" w:hAnsi="Arial" w:cs="Arial"/>
        </w:rPr>
      </w:pPr>
      <w:r w:rsidRPr="00562D27">
        <w:rPr>
          <w:rFonts w:ascii="Arial" w:hAnsi="Arial" w:cs="Arial"/>
        </w:rPr>
        <w:t xml:space="preserve">Para assegurar a robustez da identificação, o estudo incorpora as cautelas metodológicas de </w:t>
      </w:r>
      <w:r w:rsidRPr="00562D27">
        <w:rPr>
          <w:rFonts w:ascii="Arial" w:hAnsi="Arial" w:cs="Arial"/>
        </w:rPr>
        <w:fldChar w:fldCharType="begin"/>
      </w:r>
      <w:r w:rsidRPr="00562D27">
        <w:rPr>
          <w:rFonts w:ascii="Arial" w:hAnsi="Arial" w:cs="Arial"/>
        </w:rPr>
        <w:instrText xml:space="preserve"> ADDIN ZOTERO_ITEM CSL_CITATION {"citationID":"hxm5OSve","properties":{"formattedCitation":"(Sun; Abraham, 2021)","plainCitation":"(Sun; Abraham, 2021)","noteIndex":0},"citationItems":[{"id":297,"uris":["http://zotero.org/users/12001880/items/L65VRWLH"],"itemData":{"id":297,"type":"article-journal","abstract":"To estimate the dynamic effects of an absorbing treatment, researchers often use twoway fixed effects regressions that include leads and lags of the treatment. We show that in settings with variation in treatment timing across units, the coefficient on a given lead or lag can be contaminated by effects from other periods, and apparent pretrends can arise solely from treatment effects heterogeneity. We propose an alternative estimator that is free of contamination, and illustrate the relative shortcomings of two-way fixed effects regressions with leads and lags through an empirical application.","container-title":"Journal of Econometrics","DOI":"10.1016/j.jeconom.2020.09.006","ISSN":"03044076","issue":"2","journalAbbreviation":"Journal of Econometrics","language":"la","page":"175-199","source":"DOI.org (Crossref)","title":"Estimating dynamic treatment effects in event studies with heterogeneous treatment effects","volume":"225","author":[{"family":"Sun","given":"Liyang"},{"family":"Abraham","given":"Sarah"}],"issued":{"date-parts":[["2021",12]]}}}],"schema":"https://github.com/citation-style-language/schema/raw/master/csl-citation.json"} </w:instrText>
      </w:r>
      <w:r w:rsidRPr="00562D27">
        <w:rPr>
          <w:rFonts w:ascii="Arial" w:hAnsi="Arial" w:cs="Arial"/>
        </w:rPr>
        <w:fldChar w:fldCharType="separate"/>
      </w:r>
      <w:r w:rsidRPr="000A7400">
        <w:rPr>
          <w:rFonts w:ascii="Arial" w:hAnsi="Arial" w:cs="Arial"/>
        </w:rPr>
        <w:t>(Sun; Abraham, 2021)</w:t>
      </w:r>
      <w:r w:rsidRPr="00562D27">
        <w:rPr>
          <w:rFonts w:ascii="Arial" w:hAnsi="Arial" w:cs="Arial"/>
        </w:rPr>
        <w:fldChar w:fldCharType="end"/>
      </w:r>
      <w:r w:rsidRPr="00562D27">
        <w:rPr>
          <w:rFonts w:ascii="Arial" w:hAnsi="Arial" w:cs="Arial"/>
        </w:rPr>
        <w:t xml:space="preserve"> quanto à heterogeneidade de efeitos, mitigando riscos de contaminação por coortes e falsas pré-tendências. Complementarmente, a aplicação de um estudo de evento (</w:t>
      </w:r>
      <w:r w:rsidRPr="00562D27">
        <w:rPr>
          <w:rFonts w:ascii="Arial" w:hAnsi="Arial" w:cs="Arial"/>
          <w:i/>
          <w:iCs/>
        </w:rPr>
        <w:t>event study</w:t>
      </w:r>
      <w:r w:rsidRPr="00562D27">
        <w:rPr>
          <w:rFonts w:ascii="Arial" w:hAnsi="Arial" w:cs="Arial"/>
        </w:rPr>
        <w:t>) e de testes de robustez, como os placebos temporal e espacial, qualifica a interpretação dos resultados como evidência de um impacto líquido real no mercado de trabalho formal.</w:t>
      </w:r>
    </w:p>
    <w:p w14:paraId="380A7043" w14:textId="77777777" w:rsidR="00270042" w:rsidRPr="00562D27" w:rsidRDefault="00270042" w:rsidP="00270042">
      <w:pPr>
        <w:spacing w:after="0"/>
        <w:ind w:firstLine="709"/>
        <w:jc w:val="both"/>
        <w:rPr>
          <w:rFonts w:ascii="Arial" w:hAnsi="Arial" w:cs="Arial"/>
        </w:rPr>
      </w:pPr>
      <w:r w:rsidRPr="00562D27">
        <w:rPr>
          <w:rFonts w:ascii="Arial" w:hAnsi="Arial" w:cs="Arial"/>
        </w:rPr>
        <w:t>Além desta introdução, o artigo está estruturado em mais quatro seções. A segunda seção apresenta a revisão da literatura, discutindo a importância do setor automotivo e o fenômeno da desindustrialização no Brasil. A terceira seção detalha a metodologia, descrevendo a base de dados e a especificação do modelo de Triplas Diferenças. A quarta seção expõe os resultados e discussão, incluindo os testes de robustez e placebos. Por fim, as considerações finais sintetizam os achados e discutem as implicações para o desenvolvimento regional.</w:t>
      </w:r>
    </w:p>
    <w:p w14:paraId="03818306" w14:textId="77777777" w:rsidR="00270042" w:rsidRPr="00562D27" w:rsidRDefault="00270042" w:rsidP="00270042">
      <w:pPr>
        <w:spacing w:after="0" w:line="240" w:lineRule="auto"/>
        <w:ind w:firstLine="709"/>
        <w:jc w:val="both"/>
        <w:rPr>
          <w:rFonts w:ascii="Arial" w:hAnsi="Arial" w:cs="Arial"/>
        </w:rPr>
      </w:pPr>
    </w:p>
    <w:p w14:paraId="1A8C3800" w14:textId="77777777" w:rsidR="00270042" w:rsidRPr="00562D27" w:rsidRDefault="00270042" w:rsidP="00270042">
      <w:pPr>
        <w:pStyle w:val="Ttulo2"/>
        <w:jc w:val="both"/>
        <w:rPr>
          <w:rFonts w:ascii="Arial" w:hAnsi="Arial" w:cs="Arial"/>
          <w:color w:val="000000" w:themeColor="text1"/>
          <w:sz w:val="24"/>
          <w:szCs w:val="24"/>
        </w:rPr>
      </w:pPr>
      <w:bookmarkStart w:id="2" w:name="_Toc225542316"/>
      <w:r w:rsidRPr="00562D27">
        <w:rPr>
          <w:rFonts w:ascii="Arial" w:hAnsi="Arial" w:cs="Arial"/>
          <w:color w:val="000000" w:themeColor="text1"/>
          <w:sz w:val="24"/>
          <w:szCs w:val="24"/>
        </w:rPr>
        <w:t>3.2 Revisão de literatura</w:t>
      </w:r>
      <w:bookmarkEnd w:id="2"/>
    </w:p>
    <w:p w14:paraId="104D2208" w14:textId="77777777" w:rsidR="00270042" w:rsidRPr="00562D27" w:rsidRDefault="00270042" w:rsidP="00270042">
      <w:pPr>
        <w:spacing w:after="0"/>
        <w:jc w:val="both"/>
        <w:rPr>
          <w:rFonts w:ascii="Arial" w:hAnsi="Arial" w:cs="Arial"/>
        </w:rPr>
      </w:pPr>
    </w:p>
    <w:p w14:paraId="7A1F5210" w14:textId="77777777" w:rsidR="00270042" w:rsidRPr="00562D27" w:rsidRDefault="00270042" w:rsidP="00270042">
      <w:pPr>
        <w:ind w:firstLine="708"/>
        <w:jc w:val="both"/>
        <w:rPr>
          <w:rFonts w:ascii="Arial" w:hAnsi="Arial" w:cs="Arial"/>
        </w:rPr>
      </w:pPr>
      <w:r w:rsidRPr="00562D27">
        <w:rPr>
          <w:rFonts w:ascii="Arial" w:hAnsi="Arial" w:cs="Arial"/>
        </w:rPr>
        <w:t xml:space="preserve">A literatura econômica clássica reconhece que setores industriais de alta complexidade operam como motores fundamentais do desenvolvimento econômico regional. Hirschman (1958) argumenta que esses setores possuem </w:t>
      </w:r>
      <w:r w:rsidRPr="00562D27">
        <w:rPr>
          <w:rFonts w:ascii="Arial" w:hAnsi="Arial" w:cs="Arial"/>
        </w:rPr>
        <w:lastRenderedPageBreak/>
        <w:t>a capacidade de gerar densos encadeamentos para frente e para trás, estimulando a economia por meio da demanda por insumos e da oferta de produtos processados. Complementarmente, Perroux (1967) introduz o conceito de polos de crescimento, sugerindo que unidades produtivas motrizes são capazes de induzir o crescimento em seu entorno por meio de efeitos multiplicadores e da organização de redes de fornecedores especializados.</w:t>
      </w:r>
    </w:p>
    <w:p w14:paraId="1E9C22C1" w14:textId="77777777" w:rsidR="00270042" w:rsidRPr="00562D27" w:rsidRDefault="00270042" w:rsidP="00270042">
      <w:pPr>
        <w:ind w:firstLine="708"/>
        <w:jc w:val="both"/>
        <w:rPr>
          <w:rFonts w:ascii="Arial" w:hAnsi="Arial" w:cs="Arial"/>
        </w:rPr>
      </w:pPr>
      <w:r w:rsidRPr="00562D27">
        <w:rPr>
          <w:rFonts w:ascii="Arial" w:hAnsi="Arial" w:cs="Arial"/>
        </w:rPr>
        <w:t xml:space="preserve">Em leituras contemporâneas voltadas ao campo dos estudos regionais, </w:t>
      </w:r>
      <w:r w:rsidRPr="00562D27">
        <w:rPr>
          <w:rFonts w:ascii="Arial" w:hAnsi="Arial" w:cs="Arial"/>
        </w:rPr>
        <w:fldChar w:fldCharType="begin"/>
      </w:r>
      <w:r w:rsidRPr="00562D27">
        <w:rPr>
          <w:rFonts w:ascii="Arial" w:hAnsi="Arial" w:cs="Arial"/>
        </w:rPr>
        <w:instrText xml:space="preserve"> ADDIN ZOTERO_ITEM CSL_CITATION {"citationID":"L16Ht9DM","properties":{"formattedCitation":"(Yeung, 2017)","plainCitation":"(Yeung, 2017)","noteIndex":0},"citationItems":[{"id":301,"uris":["http://zotero.org/users/12001880/items/XDUP87J7"],"itemData":{"id":301,"type":"article-journal","container-title":"Regional Studies","DOI":"10.1080/00343404.2016.1260251","ISSN":"0034-3404, 1360-0591","issue":"2","journalAbbreviation":"Regional Studies","language":"en","page":"348-349","source":"DOI.org (Crossref)","title":"The strategy of economic development","volume":"51","author":[{"family":"Yeung","given":"Henry Wai-chung"}],"issued":{"date-parts":[["2017",2,1]]}}}],"schema":"https://github.com/citation-style-language/schema/raw/master/csl-citation.json"} </w:instrText>
      </w:r>
      <w:r w:rsidRPr="00562D27">
        <w:rPr>
          <w:rFonts w:ascii="Arial" w:hAnsi="Arial" w:cs="Arial"/>
        </w:rPr>
        <w:fldChar w:fldCharType="separate"/>
      </w:r>
      <w:r w:rsidRPr="000A7400">
        <w:rPr>
          <w:rFonts w:ascii="Arial" w:hAnsi="Arial" w:cs="Arial"/>
        </w:rPr>
        <w:t xml:space="preserve">Yeung </w:t>
      </w:r>
      <w:r>
        <w:rPr>
          <w:rFonts w:ascii="Arial" w:hAnsi="Arial" w:cs="Arial"/>
        </w:rPr>
        <w:t>(</w:t>
      </w:r>
      <w:r w:rsidRPr="000A7400">
        <w:rPr>
          <w:rFonts w:ascii="Arial" w:hAnsi="Arial" w:cs="Arial"/>
        </w:rPr>
        <w:t>2017)</w:t>
      </w:r>
      <w:r w:rsidRPr="00562D27">
        <w:rPr>
          <w:rFonts w:ascii="Arial" w:hAnsi="Arial" w:cs="Arial"/>
        </w:rPr>
        <w:fldChar w:fldCharType="end"/>
      </w:r>
      <w:r w:rsidRPr="00562D27">
        <w:rPr>
          <w:rFonts w:ascii="Arial" w:hAnsi="Arial" w:cs="Arial"/>
        </w:rPr>
        <w:t xml:space="preserve"> ressalta que essa dinâmica produtiva está intrinsecamente associada a padrões de transmissão inter-regional de crescimento. O autor destaca que o desenvolvimento territorial é marcado por tensões constantes entre efeitos de difusão e efeitos de polarização, o que gera implicações diretas para a eficácia das políticas públicas territoriais. No caso específico do setor automotivo, essa relevância econômica vincula-se diretamente à competição e à organização das cadeias globais de valor. </w:t>
      </w:r>
      <w:r w:rsidRPr="00562D27">
        <w:rPr>
          <w:rFonts w:ascii="Arial" w:hAnsi="Arial" w:cs="Arial"/>
        </w:rPr>
        <w:fldChar w:fldCharType="begin"/>
      </w:r>
      <w:r w:rsidRPr="00562D27">
        <w:rPr>
          <w:rFonts w:ascii="Arial" w:hAnsi="Arial" w:cs="Arial"/>
        </w:rPr>
        <w:instrText xml:space="preserve"> ADDIN ZOTERO_ITEM CSL_CITATION {"citationID":"SiHjlVLF","properties":{"formattedCitation":"(Porter, 1990)","plainCitation":"(Porter, 1990)","noteIndex":0},"citationItems":[{"id":290,"uris":["http://zotero.org/users/12001880/items/QM4P2N5T"],"itemData":{"id":290,"type":"article-journal","language":"en","source":"Zotero","title":"The Competitive Advantage of Nations","author":[{"family":"Porter","given":"Michael E"}],"issued":{"date-parts":[["1990"]]}}}],"schema":"https://github.com/citation-style-language/schema/raw/master/csl-citation.json"} </w:instrText>
      </w:r>
      <w:r w:rsidRPr="00562D27">
        <w:rPr>
          <w:rFonts w:ascii="Arial" w:hAnsi="Arial" w:cs="Arial"/>
        </w:rPr>
        <w:fldChar w:fldCharType="separate"/>
      </w:r>
      <w:r w:rsidRPr="000A7400">
        <w:rPr>
          <w:rFonts w:ascii="Arial" w:hAnsi="Arial" w:cs="Arial"/>
        </w:rPr>
        <w:t xml:space="preserve">Porter </w:t>
      </w:r>
      <w:r>
        <w:rPr>
          <w:rFonts w:ascii="Arial" w:hAnsi="Arial" w:cs="Arial"/>
        </w:rPr>
        <w:t>(</w:t>
      </w:r>
      <w:r w:rsidRPr="000A7400">
        <w:rPr>
          <w:rFonts w:ascii="Arial" w:hAnsi="Arial" w:cs="Arial"/>
        </w:rPr>
        <w:t>1990)</w:t>
      </w:r>
      <w:r w:rsidRPr="00562D27">
        <w:rPr>
          <w:rFonts w:ascii="Arial" w:hAnsi="Arial" w:cs="Arial"/>
        </w:rPr>
        <w:fldChar w:fldCharType="end"/>
      </w:r>
      <w:r w:rsidRPr="00562D27">
        <w:rPr>
          <w:rFonts w:ascii="Arial" w:hAnsi="Arial" w:cs="Arial"/>
        </w:rPr>
        <w:t xml:space="preserve"> enfatiza que as vantagens competitivas nacionais dependem de condições sistêmicas, como a estrutura produtiva e a capacidade de inovação, o que permite compreender como decisões corporativas globais podem reconfigurar plantas industriais e territórios inteiros.</w:t>
      </w:r>
    </w:p>
    <w:p w14:paraId="66EE122A" w14:textId="77777777" w:rsidR="00270042" w:rsidRPr="00562D27" w:rsidRDefault="00270042" w:rsidP="00270042">
      <w:pPr>
        <w:pStyle w:val="EstiloJustificadoPrimeiralinha125cm"/>
      </w:pPr>
      <w:r w:rsidRPr="00562D27">
        <w:t xml:space="preserve">No cenário brasileiro, a escala e a capilaridade dessa cadeia são evidenciadas por estatísticas setoriais. O Anuário da Indústria Automobilística Brasileira (ANFAVEA 2021) indica que choques no setor automotivo repercutem de forma ampla sobre os mercados de trabalho locais devido à integração produtiva. Além de choques discretos, como o fechamento de plantas, o emprego no setor é influenciado por transformações tecnológicas profundas. </w:t>
      </w:r>
      <w:r w:rsidRPr="00562D27">
        <w:fldChar w:fldCharType="begin"/>
      </w:r>
      <w:r w:rsidRPr="00562D27">
        <w:instrText xml:space="preserve"> ADDIN ZOTERO_ITEM CSL_CITATION {"citationID":"IwdauOEj","properties":{"formattedCitation":"(P. G. Vargas &amp; Bunde, 2021)","plainCitation":"(P. G. Vargas &amp; Bunde, 2021)","dontUpdate":true,"noteIndex":0},"citationItems":[{"id":257,"uris":["http://zotero.org/users/12001880/items/ILAU6BMD"],"itemData":{"id":257,"type":"article-journal","abstract":"The Brazilian automobile industry is of vital importance to the economic and social development of the country. In the last decades, the automotive sector underwent important changes in its productive system, especially since the 1990s. In this light, the present study aims to analyse the evolution, the main technological shifts in the productive system of manufacturers in Brazil, and its impact over employment between 1957 and 2018. In order to grasp this, the work was based on literature review and research on secondary data. As a result, it identified that with the trade liberalization and productive restructuring, the automobile industries began adopting the production system based on Toyostism, which had also been improved with the introduction of the JIT and Kanban systems. Such transformations aided in cost reduction and improvement in production and work productivity, which in turn has impacted the rates of employment in factories insofar as human labour was being substituted by machines.","container-title":"PEGADA - A Revista da Geografia do Trabalho","DOI":"10.33026/peg.v22i2.8555","ISSN":"1676-3025, 1676-1871","issue":"2","journalAbbreviation":"RP","language":"pt","page":"49-84","source":"DOI.org (Crossref)","title":"INDÚSTRIA AUTOMOBILÍSTICA BRASILEIRA: UMA ANÁLISE DAS PRINCIPAIS TRANSFORMAÇÕES TECNOLÓGICAS NO SISTEMA PRODUTIVO E SEU IMPACTO SOBRE O EMPREGO","title-short":"INDÚSTRIA AUTOMOBILÍSTICA BRASILEIRA","volume":"22","author":[{"family":"Vargas","given":"Priscila Gonçalves"},{"family":"Bunde","given":"Altacir"}],"issued":{"date-parts":[["2021",10,26]]}}}],"schema":"https://github.com/citation-style-language/schema/raw/master/csl-citation.json"} </w:instrText>
      </w:r>
      <w:r w:rsidRPr="00562D27">
        <w:fldChar w:fldCharType="separate"/>
      </w:r>
      <w:r w:rsidRPr="00562D27">
        <w:t xml:space="preserve">Vargas &amp; Bunde </w:t>
      </w:r>
      <w:r>
        <w:t>(</w:t>
      </w:r>
      <w:r w:rsidRPr="00562D27">
        <w:t>2021)</w:t>
      </w:r>
      <w:r w:rsidRPr="00562D27">
        <w:fldChar w:fldCharType="end"/>
      </w:r>
      <w:r w:rsidRPr="00562D27">
        <w:t xml:space="preserve"> analisam as mudanças no sistema produtivo das montadoras no Brasil entre 1957 e 2018, argumentando que a consolidação de práticas do Toyotismo, como o </w:t>
      </w:r>
      <w:r w:rsidRPr="00562D27">
        <w:rPr>
          <w:i/>
          <w:iCs/>
        </w:rPr>
        <w:t>Just in Time</w:t>
      </w:r>
      <w:r w:rsidRPr="00562D27">
        <w:t>, elevou a produtividade ao mesmo tempo em que reduziu a necessidade de mão de obra direta.</w:t>
      </w:r>
    </w:p>
    <w:p w14:paraId="563BBD1B" w14:textId="77777777" w:rsidR="00270042" w:rsidRPr="00562D27" w:rsidRDefault="00270042" w:rsidP="00270042">
      <w:pPr>
        <w:ind w:firstLine="708"/>
        <w:jc w:val="both"/>
        <w:rPr>
          <w:rFonts w:ascii="Arial" w:hAnsi="Arial" w:cs="Arial"/>
        </w:rPr>
      </w:pPr>
      <w:r w:rsidRPr="00562D27">
        <w:rPr>
          <w:rFonts w:ascii="Arial" w:hAnsi="Arial" w:cs="Arial"/>
        </w:rPr>
        <w:t>Em uma perspectiva micro</w:t>
      </w:r>
      <w:r>
        <w:rPr>
          <w:rFonts w:ascii="Arial" w:hAnsi="Arial" w:cs="Arial"/>
        </w:rPr>
        <w:t xml:space="preserve"> </w:t>
      </w:r>
      <w:r w:rsidRPr="00562D27">
        <w:rPr>
          <w:rFonts w:ascii="Arial" w:hAnsi="Arial" w:cs="Arial"/>
        </w:rPr>
        <w:t xml:space="preserve">organizacional, a eficiência das linhas de montagem reflete decisões estratégicas de longo prazo. </w:t>
      </w:r>
      <w:r w:rsidRPr="00562D27">
        <w:rPr>
          <w:rFonts w:ascii="Arial" w:hAnsi="Arial" w:cs="Arial"/>
        </w:rPr>
        <w:fldChar w:fldCharType="begin"/>
      </w:r>
      <w:r w:rsidRPr="00562D27">
        <w:rPr>
          <w:rFonts w:ascii="Arial" w:hAnsi="Arial" w:cs="Arial"/>
        </w:rPr>
        <w:instrText xml:space="preserve"> ADDIN ZOTERO_ITEM CSL_CITATION {"citationID":"1Lq7Spye","properties":{"formattedCitation":"(Santoro; Moraes, 2000)","plainCitation":"(Santoro; Moraes, 2000)","noteIndex":0},"citationItems":[{"id":313,"uris":["http://zotero.org/users/12001880/items/Y86AMM3L"],"itemData":{"id":313,"type":"article-journal","abstract":"A Simulação tem-se mostrado bastante eficaz na solução de problemas complexos, tais como aqueles envolvidos no projeto de sistemas de produção orientados a produtos - linhas de montagem e fabricação. Neste trabalho, apresenta-se um exemplo de aplicação nesse contexto, no qual a Simulação foi empregada na avaliação do projeto de uma nova linha de montagem de motores na Ford do Brasil.\n          , \n            Simulation has been proven to be very useful on the solution of complex problems, like those ones relating product-oriented manufacturing systems (assembly and manufacturing lines). This paper presents an application concerning design evaluation of a new engine assembly line at Ford of Brazil.","container-title":"Gestão &amp; Produção","DOI":"10.1590/S0104-530X2000000300010","ISSN":"0104-530X","issue":"3","journalAbbreviation":"Gest. Prod.","language":"pt","page":"338-351","source":"DOI.org (Crossref)","title":"Simulação de uma linha de montagem de motores","volume":"7","author":[{"family":"Santoro","given":"Miguel Cezar"},{"family":"Moraes","given":"Luiz Henrique"}],"issued":{"date-parts":[["2000",12]]}}}],"schema":"https://github.com/citation-style-language/schema/raw/master/csl-citation.json"} </w:instrText>
      </w:r>
      <w:r w:rsidRPr="00562D27">
        <w:rPr>
          <w:rFonts w:ascii="Arial" w:hAnsi="Arial" w:cs="Arial"/>
        </w:rPr>
        <w:fldChar w:fldCharType="separate"/>
      </w:r>
      <w:r w:rsidRPr="000A7400">
        <w:rPr>
          <w:rFonts w:ascii="Arial" w:hAnsi="Arial" w:cs="Arial"/>
        </w:rPr>
        <w:t>Santoro</w:t>
      </w:r>
      <w:r>
        <w:rPr>
          <w:rFonts w:ascii="Arial" w:hAnsi="Arial" w:cs="Arial"/>
        </w:rPr>
        <w:t xml:space="preserve"> &amp;</w:t>
      </w:r>
      <w:r w:rsidRPr="000A7400">
        <w:rPr>
          <w:rFonts w:ascii="Arial" w:hAnsi="Arial" w:cs="Arial"/>
        </w:rPr>
        <w:t xml:space="preserve"> Moraes </w:t>
      </w:r>
      <w:r>
        <w:rPr>
          <w:rFonts w:ascii="Arial" w:hAnsi="Arial" w:cs="Arial"/>
        </w:rPr>
        <w:t>(</w:t>
      </w:r>
      <w:r w:rsidRPr="000A7400">
        <w:rPr>
          <w:rFonts w:ascii="Arial" w:hAnsi="Arial" w:cs="Arial"/>
        </w:rPr>
        <w:t>2000)</w:t>
      </w:r>
      <w:r w:rsidRPr="00562D27">
        <w:rPr>
          <w:rFonts w:ascii="Arial" w:hAnsi="Arial" w:cs="Arial"/>
        </w:rPr>
        <w:fldChar w:fldCharType="end"/>
      </w:r>
      <w:r w:rsidRPr="00562D27">
        <w:rPr>
          <w:rFonts w:ascii="Arial" w:hAnsi="Arial" w:cs="Arial"/>
        </w:rPr>
        <w:t xml:space="preserve"> discutem a aplicação de simulações na linha de motores da Ford em Taubaté, demonstrando como o projeto e a capacidade produtiva configuram sistemas orientados à demanda. Tais decisões técnicas, embora focadas na operação, qualificam a trajetória do emprego setorial ao interagir com a tecnologia e a organização do trabalho.</w:t>
      </w:r>
    </w:p>
    <w:p w14:paraId="4CD2AB92" w14:textId="77777777" w:rsidR="00270042" w:rsidRPr="00562D27" w:rsidRDefault="00270042" w:rsidP="00270042">
      <w:pPr>
        <w:pStyle w:val="EstiloJustificadoPrimeiralinha125cm"/>
      </w:pPr>
      <w:r w:rsidRPr="00562D27">
        <w:t>A literatura internacional sobre o fechamento de plantas (</w:t>
      </w:r>
      <w:r w:rsidRPr="00562D27">
        <w:rPr>
          <w:i/>
          <w:iCs/>
        </w:rPr>
        <w:t>plant closures</w:t>
      </w:r>
      <w:r w:rsidRPr="00562D27">
        <w:t xml:space="preserve">) aponta efeitos negativos persistentes, especialmente em economias com baixa diversificação. </w:t>
      </w:r>
      <w:r w:rsidRPr="00562D27">
        <w:fldChar w:fldCharType="begin"/>
      </w:r>
      <w:r w:rsidRPr="00562D27">
        <w:instrText xml:space="preserve"> ADDIN ZOTERO_ITEM CSL_CITATION {"citationID":"sUoIOl0t","properties":{"formattedCitation":"(Chapain; Murie, 2008)","plainCitation":"(Chapain; Murie, 2008)","noteIndex":0},"citationItems":[{"id":263,"uris":["http://zotero.org/users/12001880/items/EZAZR9U6"],"itemData":{"id":263,"type":"article-journal","abstract":"There is a considerable recent literature concerned with the impacts of factory closure. Much of this literature is based on closures in the 1980s and 1990s and on closures affecting heavy industry – coal, steel and shipbuilding. It also tends to focus on employment and labour market impacts assessed through the subsequent experience of workers made redundant following closures and, perhaps justifiably, to assume that the impacts are localized. Because of this much of the discussion of policy implications relates to the workers made redundant and to a very local economy. This paper refers to the closure of the MG Rover factory in Longbridge, Birmingham, UK. This closure attracted considerable media and policy interest. It was regarded as presenting a crisis for government and the local community. The paper responds to arguments in the research literature and explores the spatial and economic impact of the MG Rover closure in more detail. It complements other research which has focused on the experience of those made redundant in 2005 by referring to the loss of employment over a longer time period and identifying a wider impact spatially and socially. The paper draws upon different sources of evidence and concludes with a discussion of implications both for policy and research.","container-title":"Policy Studies","DOI":"10.1080/01442870802159962","ISSN":"0144-2872, 1470-1006","issue":"3","journalAbbreviation":"Policy Studies","language":"en","page":"305-317","source":"DOI.org (Crossref)","title":"The impact of factory closure on local communities and economies: the case of the MG Rover Longbridge closure in Birmingham","title-short":"The impact of factory closure on local communities and economies","volume":"29","author":[{"family":"Chapain","given":"Caroline"},{"family":"Murie","given":"Alan"}],"issued":{"date-parts":[["2008",9]]}}}],"schema":"https://github.com/citation-style-language/schema/raw/master/csl-citation.json"} </w:instrText>
      </w:r>
      <w:r w:rsidRPr="00562D27">
        <w:fldChar w:fldCharType="separate"/>
      </w:r>
      <w:r w:rsidRPr="000A7400">
        <w:t>Chapain</w:t>
      </w:r>
      <w:r>
        <w:t xml:space="preserve"> &amp;</w:t>
      </w:r>
      <w:r w:rsidRPr="000A7400">
        <w:t xml:space="preserve"> Murie </w:t>
      </w:r>
      <w:r>
        <w:t>(</w:t>
      </w:r>
      <w:r w:rsidRPr="000A7400">
        <w:t>2008)</w:t>
      </w:r>
      <w:r w:rsidRPr="00562D27">
        <w:fldChar w:fldCharType="end"/>
      </w:r>
      <w:r w:rsidRPr="00562D27">
        <w:t xml:space="preserve"> documentam o caso da MG Rover em Birmingham, revelando impactos duradouros sobre a coesão social e o emprego local. Perrucci et al. (1988) também destacam os elevados custos sociais e as reestruturações territoriais traumáticas que sucedem o encerramento de grandes </w:t>
      </w:r>
      <w:r w:rsidRPr="00562D27">
        <w:lastRenderedPageBreak/>
        <w:t xml:space="preserve">unidades industriais. Avançando metodologicamente, </w:t>
      </w:r>
      <w:r w:rsidRPr="00562D27">
        <w:fldChar w:fldCharType="begin"/>
      </w:r>
      <w:r w:rsidRPr="00562D27">
        <w:instrText xml:space="preserve"> ADDIN ZOTERO_ITEM CSL_CITATION {"citationID":"1igd4u2b","properties":{"formattedCitation":"(Beer et al., 2019)","plainCitation":"(Beer et al., 2019)","noteIndex":0},"citationItems":[{"id":282,"uris":["http://zotero.org/users/12001880/items/JKIXDY6U"],"itemData":{"id":282,"type":"article-journal","abstract":"Work on large-scale plant closures has provided a rich vein of scholarship and academic debate. This paper articulates a new set of methods and concepts for understanding how large-scale redundancies associated with the closure of manufacturing plants affects society and the economy at the local, regional and national scales. It posits the need for a more comprehensive exercise in data collection and experimentation with previously unused methods, including the application of discrete-choice experiments in order to understand better the choice and decision-making frameworks adopted by affected workers. The paper argues there is a need to integrate community-wide policy responses into the core of the analyses.","container-title":"Regional Studies, Regional Science","DOI":"10.1080/21681376.2019.1622440","ISSN":"2168-1376","issue":"1","journalAbbreviation":"Regional Studies, Regional Science","language":"en","page":"380-394","source":"DOI.org (Crossref)","title":"The urban and regional impacts of plant closures: new methods and perspectives","title-short":"The urban and regional impacts of plant closures","volume":"6","author":[{"family":"Beer","given":"Andrew"},{"family":"Weller","given":"Sally"},{"family":"Barnes","given":"Tom"},{"family":"Onur","given":"Ilke"},{"family":"Ratcliffe","given":"Julie"},{"family":"Bailey","given":"David"},{"family":"Sotarauta","given":"Markku"}],"issued":{"date-parts":[["2019",1,1]]}}}],"schema":"https://github.com/citation-style-language/schema/raw/master/csl-citation.json"} </w:instrText>
      </w:r>
      <w:r w:rsidRPr="00562D27">
        <w:fldChar w:fldCharType="separate"/>
      </w:r>
      <w:r w:rsidRPr="000A7400">
        <w:t xml:space="preserve">Beer et al. </w:t>
      </w:r>
      <w:r>
        <w:t>(</w:t>
      </w:r>
      <w:r w:rsidRPr="000A7400">
        <w:t>2019)</w:t>
      </w:r>
      <w:r w:rsidRPr="00562D27">
        <w:fldChar w:fldCharType="end"/>
      </w:r>
      <w:r w:rsidRPr="00562D27">
        <w:t xml:space="preserve"> argumentam que esses fechamentos ampliam desigualdades territoriais ao afetar não apenas os operários, mas toda a dinâmica urbana regional. Recentemente, </w:t>
      </w:r>
      <w:r w:rsidRPr="00562D27">
        <w:fldChar w:fldCharType="begin"/>
      </w:r>
      <w:r w:rsidRPr="00562D27">
        <w:instrText xml:space="preserve"> ADDIN ZOTERO_ITEM CSL_CITATION {"citationID":"Lc5Qhcb8","properties":{"formattedCitation":"(David, 2025)","plainCitation":"(David, 2025)","noteIndex":0},"citationItems":[{"id":259,"uris":["http://zotero.org/users/12001880/items/W7YNPQMV"],"itemData":{"id":259,"type":"book","collection-title":"Questioni di Economia e Finanza","language":"it","number-of-pages":"37","publisher":"Banca d'Italia","publisher-place":"IT","source":"DOI.org (CSL JSON)","title":"Gli effetti della chiusura di un grande stabilimento industriale sull’economia locale","URL":"https://doi.org/10.32057/0.QEF.2025.952","author":[{"family":"David","given":"Francesco"}],"accessed":{"date-parts":[["2026",1,13]]},"issued":{"date-parts":[["2025",7,23]]}}}],"schema":"https://github.com/citation-style-language/schema/raw/master/csl-citation.json"} </w:instrText>
      </w:r>
      <w:r w:rsidRPr="00562D27">
        <w:fldChar w:fldCharType="separate"/>
      </w:r>
      <w:r w:rsidRPr="000A7400">
        <w:t xml:space="preserve">David </w:t>
      </w:r>
      <w:r>
        <w:t>(</w:t>
      </w:r>
      <w:r w:rsidRPr="000A7400">
        <w:t>2025)</w:t>
      </w:r>
      <w:r w:rsidRPr="00562D27">
        <w:fldChar w:fldCharType="end"/>
      </w:r>
      <w:r w:rsidRPr="00562D27">
        <w:t xml:space="preserve"> avaliou o encerramento de um complexo automotivo no Sul da Itália e encontrou evidências de efeitos persistentes sobre a ocupação, corroborados por mecanismos demográficos e patrimoniais.</w:t>
      </w:r>
    </w:p>
    <w:p w14:paraId="490CD60E" w14:textId="77777777" w:rsidR="00270042" w:rsidRPr="00562D27" w:rsidRDefault="00270042" w:rsidP="00270042">
      <w:pPr>
        <w:pStyle w:val="EstiloJustificadoPrimeiralinha125cm"/>
      </w:pPr>
      <w:r w:rsidRPr="00562D27">
        <w:t xml:space="preserve">Os impactos de choques industriais vão além das métricas econômicas tradicionais, atingindo o bem-estar e a coesão social das comunidades afetadas </w:t>
      </w:r>
      <w:r w:rsidRPr="00562D27">
        <w:fldChar w:fldCharType="begin"/>
      </w:r>
      <w:r w:rsidRPr="00562D27">
        <w:instrText xml:space="preserve"> ADDIN ZOTERO_ITEM CSL_CITATION {"citationID":"XANhgp7b","properties":{"formattedCitation":"(Beer et al., 2019; Chapain; Murie, 2008)","plainCitation":"(Beer et al., 2019; Chapain; Murie, 2008)","noteIndex":0},"citationItems":[{"id":282,"uris":["http://zotero.org/users/12001880/items/JKIXDY6U"],"itemData":{"id":282,"type":"article-journal","abstract":"Work on large-scale plant closures has provided a rich vein of scholarship and academic debate. This paper articulates a new set of methods and concepts for understanding how large-scale redundancies associated with the closure of manufacturing plants affects society and the economy at the local, regional and national scales. It posits the need for a more comprehensive exercise in data collection and experimentation with previously unused methods, including the application of discrete-choice experiments in order to understand better the choice and decision-making frameworks adopted by affected workers. The paper argues there is a need to integrate community-wide policy responses into the core of the analyses.","container-title":"Regional Studies, Regional Science","DOI":"10.1080/21681376.2019.1622440","ISSN":"2168-1376","issue":"1","journalAbbreviation":"Regional Studies, Regional Science","language":"en","page":"380-394","source":"DOI.org (Crossref)","title":"The urban and regional impacts of plant closures: new methods and perspectives","title-short":"The urban and regional impacts of plant closures","volume":"6","author":[{"family":"Beer","given":"Andrew"},{"family":"Weller","given":"Sally"},{"family":"Barnes","given":"Tom"},{"family":"Onur","given":"Ilke"},{"family":"Ratcliffe","given":"Julie"},{"family":"Bailey","given":"David"},{"family":"Sotarauta","given":"Markku"}],"issued":{"date-parts":[["2019",1,1]]}}},{"id":263,"uris":["http://zotero.org/users/12001880/items/EZAZR9U6"],"itemData":{"id":263,"type":"article-journal","abstract":"There is a considerable recent literature concerned with the impacts of factory closure. Much of this literature is based on closures in the 1980s and 1990s and on closures affecting heavy industry – coal, steel and shipbuilding. It also tends to focus on employment and labour market impacts assessed through the subsequent experience of workers made redundant following closures and, perhaps justifiably, to assume that the impacts are localized. Because of this much of the discussion of policy implications relates to the workers made redundant and to a very local economy. This paper refers to the closure of the MG Rover factory in Longbridge, Birmingham, UK. This closure attracted considerable media and policy interest. It was regarded as presenting a crisis for government and the local community. The paper responds to arguments in the research literature and explores the spatial and economic impact of the MG Rover closure in more detail. It complements other research which has focused on the experience of those made redundant in 2005 by referring to the loss of employment over a longer time period and identifying a wider impact spatially and socially. The paper draws upon different sources of evidence and concludes with a discussion of implications both for policy and research.","container-title":"Policy Studies","DOI":"10.1080/01442870802159962","ISSN":"0144-2872, 1470-1006","issue":"3","journalAbbreviation":"Policy Studies","language":"en","page":"305-317","source":"DOI.org (Crossref)","title":"The impact of factory closure on local communities and economies: the case of the MG Rover Longbridge closure in Birmingham","title-short":"The impact of factory closure on local communities and economies","volume":"29","author":[{"family":"Chapain","given":"Caroline"},{"family":"Murie","given":"Alan"}],"issued":{"date-parts":[["2008",9]]}}}],"schema":"https://github.com/citation-style-language/schema/raw/master/csl-citation.json"} </w:instrText>
      </w:r>
      <w:r w:rsidRPr="00562D27">
        <w:fldChar w:fldCharType="separate"/>
      </w:r>
      <w:r w:rsidRPr="000A7400">
        <w:t>(Beer et al., 2019; Chapain; Murie, 2008)</w:t>
      </w:r>
      <w:r w:rsidRPr="00562D27">
        <w:fldChar w:fldCharType="end"/>
      </w:r>
      <w:r w:rsidRPr="00562D27">
        <w:t xml:space="preserve">. Estudos internacionais indicam que o fechamento de grandes unidades pode gerar reflexos graves na saúde pública </w:t>
      </w:r>
      <w:r w:rsidRPr="00562D27">
        <w:fldChar w:fldCharType="begin"/>
      </w:r>
      <w:r w:rsidRPr="00562D27">
        <w:instrText xml:space="preserve"> ADDIN ZOTERO_ITEM CSL_CITATION {"citationID":"YRXTFaxC","properties":{"formattedCitation":"(Venkataramani et al., 2020)","plainCitation":"(Venkataramani et al., 2020)","noteIndex":0},"citationItems":[{"id":267,"uris":["http://zotero.org/users/12001880/items/Q2WSLNH5"],"itemData":{"id":267,"type":"article-journal","abstract":"OBJECTIVE To estimate the extent to which automotive assembly plant closures were associated with increasing opioid overdose mortality rates among working-age adults. DESIGN, SETTING, AND PARTICIPANTS A county-level difference-in-differences study was conducted among adults aged 18 to 65 years in 112 manufacturing counties located in 30 commuting zones (primarily in the US South and Midwest) with at least 1 operational automotive assembly plant as of 1999. The study analyzed county-level changes from January 1, 1999, to December 31, 2016, in age-adjusted, county-level opioid overdose mortality rates before vs after automotive assembly plant closures in manufacturing counties affected by plant closures compared with changes in manufacturing counties unaffected by plant closures. Data analyses were performed between April 1, 2018, and July 20, 2019. EXPOSURE Closure of automotive assembly plants in the commuting zone of residence. MAIN OUTCOMES AND MEASURES The primary outcome was the county-level age-adjusted opioid overdose mortality rate. Secondary outcomes included the overall drug overdose mortality rate and prescription vs illicit drug overdose mortality rates.\nRESULTS During the study period, 29 manufacturing counties in 10 commuting zones were exposed to an automotive assembly plant closure, while 83 manufacturing counties in 20 commuting zones remained unexposed. Mean (SD) baseline opioid overdose rates per 100 000 were similar in exposed (0.9 [1.4]) and unexposed (1.0 [2.1]) counties. Automotive assembly plant closures were associated with statistically significant increases in opioid overdose mortality. Five years after a plant closure, mortality rates had increased by 8.6 opioid overdose deaths per 100 000 individuals (95% CI, 2.6-14.6; P = .006) in exposed counties compared with unexposed counties, an 85% higher increase relative to the mortality rate that would have been expected had exposed counties followed the same outcome trends as unexposed counties. In analyses stratified by age, sex, and race/ethnicity, the largest increases in opioid overdose mortality were observed among non-Hispanic white men aged 18 to 34 years (20.1 deaths per 100 000; 95% CI, 8.8-31.3; P = .001) and aged 35 to 65 years (12.8 deaths per 100 000; 95% CI, 5.7-20.0; P = .001). We observed similar patterns of prescription vs illicit drug overdose mortality. Estimates for opioid overdose mortality in nonmanufacturing counties were not statistically significant.\nCONCLUSIONS AND RELEVANCE From 1999 to 2016, automotive assembly plant closures were associated with increases in opioid overdose mortality. These findings highlight the potential importance of eroding economic opportunity as a factor in the US opioid overdose crisis.","container-title":"JAMA Internal Medicine","DOI":"10.1001/jamainternmed.2019.5686","ISSN":"2168-6106","issue":"2","journalAbbreviation":"JAMA Intern Med","language":"en","page":"254","source":"DOI.org (Crossref)","title":"Association Between Automotive Assembly Plant Closures and Opioid Overdose Mortality in the United States: A Difference-in-Differences Analysis","title-short":"Association Between Automotive Assembly Plant Closures and Opioid Overdose Mortality in the United States","volume":"180","author":[{"family":"Venkataramani","given":"Atheendar S."},{"family":"Bair","given":"Elizabeth F."},{"family":"O’Brien","given":"Rourke L."},{"family":"Tsai","given":"Alexander C."}],"issued":{"date-parts":[["2020",2,1]]}}}],"schema":"https://github.com/citation-style-language/schema/raw/master/csl-citation.json"} </w:instrText>
      </w:r>
      <w:r w:rsidRPr="00562D27">
        <w:fldChar w:fldCharType="separate"/>
      </w:r>
      <w:r w:rsidRPr="000A7400">
        <w:t>(Venkataramani et al., 2020)</w:t>
      </w:r>
      <w:r w:rsidRPr="00562D27">
        <w:fldChar w:fldCharType="end"/>
      </w:r>
      <w:r w:rsidRPr="00562D27">
        <w:t xml:space="preserve">. Por outro lado, o efeito líquido no emprego pode ser suavizado se o tecido produtivo local tiver capacidade de resposta, como a expansão de empresas que permaneceram na região ou a abertura de novos negócios </w:t>
      </w:r>
      <w:r w:rsidRPr="00562D27">
        <w:fldChar w:fldCharType="begin"/>
      </w:r>
      <w:r w:rsidRPr="00562D27">
        <w:instrText xml:space="preserve"> ADDIN ZOTERO_ITEM CSL_CITATION {"citationID":"073CZYGQ","properties":{"formattedCitation":"(Jofre-Monseny; S\\uc0\\u225{}nchez-Vidal; Viladecans-Marsal, 2018)","plainCitation":"(Jofre-Monseny; Sánchez-Vidal; Viladecans-Marsal, 2018)","noteIndex":0},"citationItems":[{"id":255,"uris":["http://zotero.org/users/12001880/items/854N6R6G"],"itemData":{"id":255,"type":"article-journal","abstract":"This paper estimates the impact of large plant closures on the local employment in the affected industry. Specifically, we examine the closure of 45 large manufacturing plants in Spain which relocated abroad between 2001 and 2006. We run differences-indifferences specifications in which locations that experience a closure are matched to locations with similar pre-treatment employment levels and trends. The results show that when a plant closes, for each job directly lost in the plant closure, only between 0.6 and 0.7 jobs are actually lost in the local affected industry. These effects are driven by employment expansions in local incumbent firms and, to a lesser extent, by the creation of new firms in the local industry.","container-title":"Journal of Economic Geography","DOI":"10.1093/jeg/lbx026","ISSN":"1468-2702, 1468-2710","issue":"1","language":"en","license":"http://creativecommons.org/licenses/by/4.0/","page":"163-186","source":"DOI.org (Crossref)","title":"Big plant closures and local employment","volume":"18","author":[{"family":"Jofre-Monseny","given":"Jordi"},{"family":"Sánchez-Vidal","given":"Maria"},{"family":"Viladecans-Marsal","given":"Elisabet"}],"issued":{"date-parts":[["2018",1,1]]}}}],"schema":"https://github.com/citation-style-language/schema/raw/master/csl-citation.json"} </w:instrText>
      </w:r>
      <w:r w:rsidRPr="00562D27">
        <w:fldChar w:fldCharType="separate"/>
      </w:r>
      <w:r w:rsidRPr="000A7400">
        <w:rPr>
          <w:kern w:val="0"/>
        </w:rPr>
        <w:t>(Jofre-Monseny; Sánchez-Vidal; Viladecans-Marsal, 2018)</w:t>
      </w:r>
      <w:r w:rsidRPr="00562D27">
        <w:fldChar w:fldCharType="end"/>
      </w:r>
      <w:r w:rsidRPr="00562D27">
        <w:t>.</w:t>
      </w:r>
    </w:p>
    <w:p w14:paraId="0C7CC502" w14:textId="77777777" w:rsidR="00270042" w:rsidRPr="00562D27" w:rsidRDefault="00270042" w:rsidP="00270042">
      <w:pPr>
        <w:ind w:firstLine="708"/>
        <w:jc w:val="both"/>
        <w:rPr>
          <w:rFonts w:ascii="Arial" w:hAnsi="Arial" w:cs="Arial"/>
        </w:rPr>
      </w:pPr>
      <w:r w:rsidRPr="00562D27">
        <w:rPr>
          <w:rFonts w:ascii="Arial" w:hAnsi="Arial" w:cs="Arial"/>
        </w:rPr>
        <w:t xml:space="preserve">No Brasil, o setor foi alvo de políticas como o Inovar-Auto, que buscou fortalecer a competitividade via incentivos fiscais. Embora tenha havido esforço inovativo, os impactos regionais dessas políticas permanecem em debate </w:t>
      </w:r>
      <w:r w:rsidRPr="00562D27">
        <w:rPr>
          <w:rFonts w:ascii="Arial" w:hAnsi="Arial" w:cs="Arial"/>
        </w:rPr>
        <w:fldChar w:fldCharType="begin"/>
      </w:r>
      <w:r w:rsidRPr="00562D27">
        <w:rPr>
          <w:rFonts w:ascii="Arial" w:hAnsi="Arial" w:cs="Arial"/>
        </w:rPr>
        <w:instrText xml:space="preserve"> ADDIN ZOTERO_ITEM CSL_CITATION {"citationID":"Gi5CmMO8","properties":{"formattedCitation":"(T. B. Vargas et al., 2024)","plainCitation":"(T. B. Vargas et al., 2024)","dontUpdate":true,"noteIndex":0},"citationItems":[{"id":322,"uris":["http://zotero.org/users/12001880/items/PTIMQF77"],"itemData":{"id":322,"type":"article-journal","abstract":"The industrial policy of the Inovar-Auto program (in force between 2013-2017) had as one of its goals the increase in innovation rates among car manufacturers operating in Brazil. According to official publications from the federal government, this goal was successfully achieved (as were the other goals of the program). However, it is worth assessing whether the innovation indices required by the government for companies seeking support from the program were, at the time, set at levels that did not pose a challenge. Therefore, this article investigates the effectiveness of the industrial policy of the Inovar-Auto program (2013-2017), focusing on its impact on the innovation rates of car manufacturers in Brazil. The main objective is to evaluate whether the innovation goals set by the federal government were adequate to stimulate technological advancement in the automotive sector or if they underestimated the innovative capacity of the companies operating in the country. To this end, a comparative analysis was conducted between the goals and official results of Inovar-Auto and the innovation indices reported by the Innovation Survey (Pintec). The methodology adopted combines documentary research, analysis of secondary data, and interviews with public sector professionals and representatives of trade associations. As a result, the Research &amp; Development (R&amp;D) intensity index for the Brazilian automotive industry was estimated and compared to the standards of OECD countries. The significant differences between the program's goals and the observed indices reinforce the hypothesis that the policy may have underestimated the innovative capacity of the manufacturers, indicating that its objectives fell short of international standards.","container-title":"Produto &amp; Produção","DOI":"10.22456/1983-8026.134807","ISSN":"1983-8026","issue":"3","journalAbbreviation":"Produto &amp; Produção","language":"pt","page":"68-91","source":"DOI.org (Crossref)","title":"As limitações da política industrial do Inovar-Auto: um caso de Transferência Tecnológica","title-short":"As limitações da política industrial do Inovar-Auto","volume":"25","author":[{"family":"Vargas","given":"Tiago Bernardino"},{"family":"Augusto Pinto","given":"Geraldo"},{"family":"Lobato Torres","given":"Ricardo"}],"issued":{"date-parts":[["2024",10,28]]}}}],"schema":"https://github.com/citation-style-language/schema/raw/master/csl-citation.json"} </w:instrText>
      </w:r>
      <w:r w:rsidRPr="00562D27">
        <w:rPr>
          <w:rFonts w:ascii="Arial" w:hAnsi="Arial" w:cs="Arial"/>
        </w:rPr>
        <w:fldChar w:fldCharType="separate"/>
      </w:r>
      <w:r w:rsidRPr="00562D27">
        <w:rPr>
          <w:rFonts w:ascii="Arial" w:hAnsi="Arial" w:cs="Arial"/>
        </w:rPr>
        <w:t>(Vargas et al., 2024)</w:t>
      </w:r>
      <w:r w:rsidRPr="00562D27">
        <w:rPr>
          <w:rFonts w:ascii="Arial" w:hAnsi="Arial" w:cs="Arial"/>
        </w:rPr>
        <w:fldChar w:fldCharType="end"/>
      </w:r>
      <w:r w:rsidRPr="00562D27">
        <w:rPr>
          <w:rFonts w:ascii="Arial" w:hAnsi="Arial" w:cs="Arial"/>
        </w:rPr>
        <w:t xml:space="preserve">. A dependência de "plantas âncora" é um risco apontado por </w:t>
      </w:r>
      <w:r w:rsidRPr="00562D27">
        <w:rPr>
          <w:rFonts w:ascii="Arial" w:hAnsi="Arial" w:cs="Arial"/>
        </w:rPr>
        <w:fldChar w:fldCharType="begin"/>
      </w:r>
      <w:r w:rsidRPr="00562D27">
        <w:rPr>
          <w:rFonts w:ascii="Arial" w:hAnsi="Arial" w:cs="Arial"/>
        </w:rPr>
        <w:instrText xml:space="preserve"> ADDIN ZOTERO_ITEM CSL_CITATION {"citationID":"4FeqPKgr","properties":{"formattedCitation":"(Franco, 2009)","plainCitation":"(Franco, 2009)","noteIndex":0},"citationItems":[{"id":276,"uris":["http://zotero.org/users/12001880/items/NRHJNXMG"],"itemData":{"id":276,"type":"article-journal","container-title":"CADERNO CRH","issue":"56","language":"pt","source":"Zotero","title":"EM TEMPOS GLOBAIS, UM “NOVO” LOCAL: a Ford na Bahia","volume":"22","author":[{"family":"Franco","given":"Angela"}],"issued":{"date-parts":[["2009"]]}}}],"schema":"https://github.com/citation-style-language/schema/raw/master/csl-citation.json"} </w:instrText>
      </w:r>
      <w:r w:rsidRPr="00562D27">
        <w:rPr>
          <w:rFonts w:ascii="Arial" w:hAnsi="Arial" w:cs="Arial"/>
        </w:rPr>
        <w:fldChar w:fldCharType="separate"/>
      </w:r>
      <w:r w:rsidRPr="000A7400">
        <w:rPr>
          <w:rFonts w:ascii="Arial" w:hAnsi="Arial" w:cs="Arial"/>
        </w:rPr>
        <w:t xml:space="preserve">Franco </w:t>
      </w:r>
      <w:r>
        <w:rPr>
          <w:rFonts w:ascii="Arial" w:hAnsi="Arial" w:cs="Arial"/>
        </w:rPr>
        <w:t>(</w:t>
      </w:r>
      <w:r w:rsidRPr="000A7400">
        <w:rPr>
          <w:rFonts w:ascii="Arial" w:hAnsi="Arial" w:cs="Arial"/>
        </w:rPr>
        <w:t>2009)</w:t>
      </w:r>
      <w:r w:rsidRPr="00562D27">
        <w:rPr>
          <w:rFonts w:ascii="Arial" w:hAnsi="Arial" w:cs="Arial"/>
        </w:rPr>
        <w:fldChar w:fldCharType="end"/>
      </w:r>
      <w:r w:rsidRPr="00562D27">
        <w:rPr>
          <w:rFonts w:ascii="Arial" w:hAnsi="Arial" w:cs="Arial"/>
        </w:rPr>
        <w:t xml:space="preserve">, que analisa a instalação da Ford na Bahia como um modelo de "novo localismo" vulnerável a reestruturações globais. Teixeira (2016) reforça que a competição locacional entre estados pode elevar essa vulnerabilidade, enquanto </w:t>
      </w:r>
      <w:r w:rsidRPr="00562D27">
        <w:rPr>
          <w:rFonts w:ascii="Arial" w:hAnsi="Arial" w:cs="Arial"/>
        </w:rPr>
        <w:fldChar w:fldCharType="begin"/>
      </w:r>
      <w:r w:rsidRPr="00562D27">
        <w:rPr>
          <w:rFonts w:ascii="Arial" w:hAnsi="Arial" w:cs="Arial"/>
        </w:rPr>
        <w:instrText xml:space="preserve"> ADDIN ZOTERO_ITEM CSL_CITATION {"citationID":"uXOYhxct","properties":{"formattedCitation":"(Dulci, 2021)","plainCitation":"(Dulci, 2021)","noteIndex":0},"citationItems":[{"id":316,"uris":["http://zotero.org/users/12001880/items/X9QL3WH8"],"itemData":{"id":316,"type":"article-journal","abstract":"Resumo À luz das recentes ondas de investimento estrangeiro da indústria automobilística brasileira, a partir da década de 1990, este artigo analisa a trajetória de emprego e renda no setor automotivo, diante das crises econômica de 2008 e política dos últimos anos, observando comportamentos em três casos, em perspectiva comparada − o Grande ABC Paulista, a região tradicional; o vale do Paraíba fluminense e Camaçari (BA), as novas regiões −, tomando a cadeia produtiva como escopo e os clusters como unidade analítica. A hipótese testada é de que os primeiros impactos críticos atingem os setores menos qualificados e os empregos do “chão de fábrica”. O que se percebe é que em cada região resulta um comportamento distinto, sendo a região tradicional a que mais se comporta de acordo com a hipótese, e as novas regiões apresentando comportamentos discrepantes.\n          , \n            Abstract Considering the recent foreign investment waves in the Brazilian automotive industry, since the 1990’s, this paper analyses the employment and income trajectory in the automotive sector, in face of the economic crisis of 2008 and the policies of the last years. It observes the behaviour in three cases, in a compared perspective − the Grande ABC Paulista, the traditional region; the vale do Paraíba fluminense and Camaçari (BA), the new regions −, taking the productive chain as scopes and the clusters as analytical units. The tested hypothesis is that the first critical impacts strike the less qualified sectors and the “shop-floor” jobs. What can be understood is that each region behaves in a distinguished way, in which the traditional region is the one that behaves the closer according to the hypothesis. The new regions present more discrepant behaviours.","container-title":"Sociologia &amp; Antropologia","DOI":"10.1590/2238-38752021v1119","ISSN":"2238-3875, 2236-7527","issue":"1","journalAbbreviation":"Sociol. Antropol.","language":"pt","license":"http://creativecommons.org/licenses/by/4.0/","page":"219-247","source":"DOI.org (Crossref)","title":"CRISE, EMPREGO E RENDA NA INDÚSTRIA AUTOMOTIVA: OS CASOS DO SUL FLUMINENSE, CAMAÇARI E GRANDE ABC PAULISTA EM PERSPECTIVA COMPARADA","title-short":"CRISE, EMPREGO E RENDA NA INDÚSTRIA AUTOMOTIVA","volume":"11","author":[{"family":"Dulci","given":"João Assis"}],"issued":{"date-parts":[["2021",4]]}}}],"schema":"https://github.com/citation-style-language/schema/raw/master/csl-citation.json"} </w:instrText>
      </w:r>
      <w:r w:rsidRPr="00562D27">
        <w:rPr>
          <w:rFonts w:ascii="Arial" w:hAnsi="Arial" w:cs="Arial"/>
        </w:rPr>
        <w:fldChar w:fldCharType="separate"/>
      </w:r>
      <w:r w:rsidRPr="000A7400">
        <w:rPr>
          <w:rFonts w:ascii="Arial" w:hAnsi="Arial" w:cs="Arial"/>
        </w:rPr>
        <w:t>(Dulci, 2021)</w:t>
      </w:r>
      <w:r w:rsidRPr="00562D27">
        <w:rPr>
          <w:rFonts w:ascii="Arial" w:hAnsi="Arial" w:cs="Arial"/>
        </w:rPr>
        <w:fldChar w:fldCharType="end"/>
      </w:r>
      <w:r w:rsidRPr="00562D27">
        <w:rPr>
          <w:rFonts w:ascii="Arial" w:hAnsi="Arial" w:cs="Arial"/>
        </w:rPr>
        <w:t xml:space="preserve"> compara os casos de Camaçari e do ABC Paulista, destacando a fragilidade da renda industrial em contextos de crise.</w:t>
      </w:r>
    </w:p>
    <w:p w14:paraId="299EA31D" w14:textId="77777777" w:rsidR="00270042" w:rsidRPr="00562D27" w:rsidRDefault="00270042" w:rsidP="00270042">
      <w:pPr>
        <w:pStyle w:val="EstiloJustificadoPrimeiralinha125cm"/>
      </w:pPr>
      <w:r w:rsidRPr="00562D27">
        <w:t xml:space="preserve">O debate sobre a desindustrialização é central para entender o caso Ford. </w:t>
      </w:r>
      <w:r w:rsidRPr="00562D27">
        <w:fldChar w:fldCharType="begin"/>
      </w:r>
      <w:r>
        <w:instrText xml:space="preserve"> ADDIN ZOTERO_ITEM CSL_CITATION {"citationID":"pcb4G4t0","properties":{"formattedCitation":"(Rowthorn; Ramaswamy, 1999)","plainCitation":"(Rowthorn; Ramaswamy, 1999)","dontUpdate":true,"noteIndex":0},"citationItems":[{"id":331,"uris":["http://zotero.org/users/12001880/items/KLD9PJ32"],"itemData":{"id":331,"type":"article-journal","container-title":"IMF Staff Papers","DOI":"10.2307/3867633","ISSN":"1020-7635, 1564-5150","issue":"1","journalAbbreviation":"IMF Econ Rev","language":"en","page":"18-41","source":"DOI.org (Crossref)","title":"Growth, Trade, and Deindustrialization","volume":"46","author":[{"family":"Rowthorn","given":"Robert"},{"family":"Ramaswamy","given":"Ramana"}],"issued":{"date-parts":[["1999",3,1]]}}}],"schema":"https://github.com/citation-style-language/schema/raw/master/csl-citation.json"} </w:instrText>
      </w:r>
      <w:r w:rsidRPr="00562D27">
        <w:fldChar w:fldCharType="separate"/>
      </w:r>
      <w:r w:rsidRPr="00562D27">
        <w:t>Rowthorn; Ramaswamy (1999)</w:t>
      </w:r>
      <w:r w:rsidRPr="00562D27">
        <w:fldChar w:fldCharType="end"/>
      </w:r>
      <w:r w:rsidRPr="00562D27">
        <w:t xml:space="preserve"> caracterizam o fenômeno pela perda relativa da indústria no emprego e no valor adicionado. Para o contexto nacional, </w:t>
      </w:r>
      <w:r w:rsidRPr="00562D27">
        <w:fldChar w:fldCharType="begin"/>
      </w:r>
      <w:r w:rsidRPr="00562D27">
        <w:instrText xml:space="preserve"> ADDIN ZOTERO_ITEM CSL_CITATION {"citationID":"eNKNwDh9","properties":{"formattedCitation":"(Ver\\uc0\\u237{}ssimo; Ara\\uc0\\u250{}jo, 2015)","plainCitation":"(Veríssimo; Araújo, 2015)","noteIndex":0},"citationItems":[{"id":318,"uris":["http://zotero.org/users/12001880/items/DLUX44TZ"],"itemData":{"id":318,"type":"article-journal","abstract":"Brazilian automotive industry performance in the period 2000-2012: an analysis of the deindustrialisation sector hypothesis This paper investigates the possibility of deindustrialization in the Brazilian automotive industry. It supposes that exchange rate appreciation and high commodity prices may inhibit the long run automotive industry performance. It also seeks to capture the effects of investment rate, interest rate, productivity, taxes and trade liberalization on car production. To do this, we used Cointegration analysis (Johansen Test) and Vector Error Correction Models (VEC), based on the period 2000-2012. The results suggest positive effects of currency appreciation and commodity prices on car production in the long run, which does not make it possible to confirm the existence of deindustrialization in the sector as a result of Dutch Disease. However, a high investment rate, low interest rate, higher trade openness, higher labor productivity and lower taxes are relevant in terms of stimulating car production in Brazil.","container-title":"Economia e Sociedade","DOI":"10.1590/1982-3533.2015v24n1art6","ISSN":"0104-0618","issue":"1","journalAbbreviation":"Econ. soc.","language":"pt","page":"151-176","source":"DOI.org (Crossref)","title":"Desempenho da indústria automobilística brasileira no período 2000-2012: uma análise sobre a hipótese de desindustrialização setorial","title-short":"Desempenho da indústria automobilística brasileira no período 2000-2012","volume":"24","author":[{"family":"Veríssimo","given":"Michele Polline"},{"family":"Araújo","given":"Vanessa Marzano"}],"issued":{"date-parts":[["2015",4]]}}}],"schema":"https://github.com/citation-style-language/schema/raw/master/csl-citation.json"} </w:instrText>
      </w:r>
      <w:r w:rsidRPr="00562D27">
        <w:fldChar w:fldCharType="separate"/>
      </w:r>
      <w:r w:rsidRPr="000A7400">
        <w:rPr>
          <w:kern w:val="0"/>
        </w:rPr>
        <w:t>Veríssimo</w:t>
      </w:r>
      <w:r>
        <w:rPr>
          <w:kern w:val="0"/>
        </w:rPr>
        <w:t xml:space="preserve"> &amp;</w:t>
      </w:r>
      <w:r w:rsidRPr="000A7400">
        <w:rPr>
          <w:kern w:val="0"/>
        </w:rPr>
        <w:t xml:space="preserve"> Araújo </w:t>
      </w:r>
      <w:r>
        <w:rPr>
          <w:kern w:val="0"/>
        </w:rPr>
        <w:t>(</w:t>
      </w:r>
      <w:r w:rsidRPr="000A7400">
        <w:rPr>
          <w:kern w:val="0"/>
        </w:rPr>
        <w:t>2015)</w:t>
      </w:r>
      <w:r w:rsidRPr="00562D27">
        <w:fldChar w:fldCharType="end"/>
      </w:r>
      <w:r w:rsidRPr="00562D27">
        <w:t xml:space="preserve"> sugerem que o Brasil enfrenta uma desindustrialização prematura, afetando o crescimento de longo prazo. Essa mudança na geografia industrial, segundo </w:t>
      </w:r>
      <w:r w:rsidRPr="00562D27">
        <w:fldChar w:fldCharType="begin"/>
      </w:r>
      <w:r w:rsidRPr="00562D27">
        <w:instrText xml:space="preserve"> ADDIN ZOTERO_ITEM CSL_CITATION {"citationID":"GflVfXCV","properties":{"formattedCitation":"(Monteiro Neto; Silva; Severian, 2022)","plainCitation":"(Monteiro Neto; Silva; Severian, 2022)","noteIndex":0},"citationItems":[{"id":261,"uris":["http://zotero.org/users/12001880/items/S7RYNP8G"],"itemData":{"id":261,"type":"book","abstract":"In this article, we discuss the current pattern of territorial reconfiguration of the Brazilian industry, its current forms, and motivations in order to problematize some of the most significant challenges of the current regional issue. We have brought new evidence of how it keeps deconcentrating in the context of the persistent decline in the industrial participation in the national economy. We resumed the analysis on the micro-regional scale that showed the following results. 1) Relevant industrial agglomerations (RIAs) continue to flourish in all regions of the country. 2) Their preferred place is no longer the polygonal area of Diniz-Crocco (1996). 3) In terms of industrial job creation, the new RIAs for the period 1995-2015 generated more jobs than those established before 1995.","DOI":"10.38116/dp266","language":"en","publisher":"Instituto de Pesquisa Econômica Aplicada","source":"DOI.org (Crossref)","title":"Discussion Paper 266 - THE ROLE OF INDUSTRIAL SECTOR  IN THE BRAZILIAN TERRITORIAL  RECONFIGURATION: NEW  EXPRESSIONS FOR XXI CENTURY  NATIONAL DILEMMAS","URL":"https://repositorio.ipea.gov.br/bitstreams/aa51dc22-73d8-4957-957f-1e9dae3a7141/download","author":[{"family":"Monteiro Neto","given":"Aristides"},{"family":"Silva","given":"Raphael De Oliveira"},{"family":"Severian","given":"Danilo"}],"accessed":{"date-parts":[["2026",1,13]]},"issued":{"date-parts":[["2022",8,11]]}}}],"schema":"https://github.com/citation-style-language/schema/raw/master/csl-citation.json"} </w:instrText>
      </w:r>
      <w:r w:rsidRPr="00562D27">
        <w:fldChar w:fldCharType="separate"/>
      </w:r>
      <w:r w:rsidRPr="000A7400">
        <w:t>Monteiro Neto</w:t>
      </w:r>
      <w:r>
        <w:t xml:space="preserve"> et al.</w:t>
      </w:r>
      <w:r w:rsidRPr="000A7400">
        <w:t xml:space="preserve"> </w:t>
      </w:r>
      <w:r>
        <w:t>(</w:t>
      </w:r>
      <w:r w:rsidRPr="000A7400">
        <w:t>2022)</w:t>
      </w:r>
      <w:r w:rsidRPr="00562D27">
        <w:fldChar w:fldCharType="end"/>
      </w:r>
      <w:r w:rsidRPr="00562D27">
        <w:t>, impõe novos dilemas para o desenvolvimento regional brasileiro.</w:t>
      </w:r>
    </w:p>
    <w:p w14:paraId="45E44AA7" w14:textId="77777777" w:rsidR="00270042" w:rsidRPr="00562D27" w:rsidRDefault="00270042" w:rsidP="00270042">
      <w:pPr>
        <w:pStyle w:val="EstiloJustificadoPrimeiralinha125cm"/>
      </w:pPr>
      <w:r w:rsidRPr="00562D27">
        <w:t xml:space="preserve">Para mensurar o caráter sistêmico desses choques, </w:t>
      </w:r>
      <w:r w:rsidRPr="00562D27">
        <w:fldChar w:fldCharType="begin"/>
      </w:r>
      <w:r w:rsidRPr="00562D27">
        <w:instrText xml:space="preserve"> ADDIN ZOTERO_ITEM CSL_CITATION {"citationID":"57s8JL7u","properties":{"formattedCitation":"(Perobelli; Bastos; Oliveira, 2017)","plainCitation":"(Perobelli; Bastos; Oliveira, 2017)","noteIndex":0},"citationItems":[{"id":311,"uris":["http://zotero.org/users/12001880/items/QKWK8BKM"],"itemData":{"id":311,"type":"article-journal","abstract":"This article aims to evaluate the industrial sector in a different perspective from the common view used when we analyze industrialization/deindustrialization. The goal is to analyze the systemic character of the industrial sector from the input-output method using indicators of direct intensity and indirect plus direct intensity of industry. By this measure, you can make clearer the article contribution, ie, provide a productive integration measure in the industrial sector with other sectors in order to check whether the industry has gained importance as a articulator sector of productive activities.","container-title":"Estudos Econômicos (São Paulo)","DOI":"10.1590/0101-416147151fsj","ISSN":"0101-4161","issue":"1","journalAbbreviation":"Estud. Econ.","language":"pt","page":"125-152","source":"DOI.org (Crossref)","title":"Avaliação sistêmica do setor industrial brasileiro: 1995-2009","title-short":"Avaliação sistêmica do setor industrial brasileiro","volume":"47","author":[{"family":"Perobelli","given":"Fernando Salgueiro"},{"family":"Bastos","given":"Suzana Quinet De Andrade"},{"family":"Oliveira","given":"Juliana Carreiro De"}],"issued":{"date-parts":[["2017",3]]}}}],"schema":"https://github.com/citation-style-language/schema/raw/master/csl-citation.json"} </w:instrText>
      </w:r>
      <w:r w:rsidRPr="00562D27">
        <w:fldChar w:fldCharType="separate"/>
      </w:r>
      <w:r w:rsidRPr="000A7400">
        <w:t>Perobelli</w:t>
      </w:r>
      <w:r>
        <w:t xml:space="preserve"> et al.</w:t>
      </w:r>
      <w:r w:rsidRPr="000A7400">
        <w:t xml:space="preserve"> </w:t>
      </w:r>
      <w:r>
        <w:t>(</w:t>
      </w:r>
      <w:r w:rsidRPr="000A7400">
        <w:t>2017)</w:t>
      </w:r>
      <w:r w:rsidRPr="00562D27">
        <w:fldChar w:fldCharType="end"/>
      </w:r>
      <w:r w:rsidRPr="00562D27">
        <w:t xml:space="preserve"> propõem o uso de indicadores de insumo-produto para capturar a integração produtiva. No caso específico da saída da Ford em 2021, </w:t>
      </w:r>
      <w:r w:rsidRPr="00562D27">
        <w:fldChar w:fldCharType="begin"/>
      </w:r>
      <w:r w:rsidRPr="00562D27">
        <w:instrText xml:space="preserve"> ADDIN ZOTERO_ITEM CSL_CITATION {"citationID":"mkyLos7g","properties":{"formattedCitation":"(Domingues; Magalh\\uc0\\u227{}es; Cardoso, 2020)","plainCitation":"(Domingues; Magalhães; Cardoso, 2020)","noteIndex":0},"citationItems":[{"id":280,"uris":["http://zotero.org/users/12001880/items/WKH6D3S2"],"itemData":{"id":280,"type":"article-journal","language":"pt","source":"Zotero","title":"Impactos de médio e longo prazo do fim da produção doméstica de automóveis da Ford em 202","author":[{"family":"Domingues","given":"Edson Paulo"},{"family":"Magalhães","given":"Aline Souza"},{"family":"Cardoso","given":"Débora Freire"}],"issued":{"date-parts":[["2020"]]}}}],"schema":"https://github.com/citation-style-language/schema/raw/master/csl-citation.json"} </w:instrText>
      </w:r>
      <w:r w:rsidRPr="00562D27">
        <w:fldChar w:fldCharType="separate"/>
      </w:r>
      <w:r w:rsidRPr="000A7400">
        <w:rPr>
          <w:kern w:val="0"/>
        </w:rPr>
        <w:t>Domingues</w:t>
      </w:r>
      <w:r>
        <w:rPr>
          <w:kern w:val="0"/>
        </w:rPr>
        <w:t xml:space="preserve"> et al.</w:t>
      </w:r>
      <w:r w:rsidRPr="000A7400">
        <w:rPr>
          <w:kern w:val="0"/>
        </w:rPr>
        <w:t xml:space="preserve"> </w:t>
      </w:r>
      <w:r>
        <w:rPr>
          <w:kern w:val="0"/>
        </w:rPr>
        <w:t>(</w:t>
      </w:r>
      <w:r w:rsidRPr="000A7400">
        <w:rPr>
          <w:kern w:val="0"/>
        </w:rPr>
        <w:t>2020)</w:t>
      </w:r>
      <w:r w:rsidRPr="00562D27">
        <w:fldChar w:fldCharType="end"/>
      </w:r>
      <w:r w:rsidRPr="00562D27">
        <w:t xml:space="preserve"> discutiram os impactos de médio prazo do fim da produção doméstica. </w:t>
      </w:r>
      <w:r w:rsidRPr="00562D27">
        <w:fldChar w:fldCharType="begin"/>
      </w:r>
      <w:r w:rsidRPr="00562D27">
        <w:instrText xml:space="preserve"> ADDIN ZOTERO_ITEM CSL_CITATION {"citationID":"8fzzrJUK","properties":{"formattedCitation":"(Fernandes; Haddad; Dias, 2021)","plainCitation":"(Fernandes; Haddad; Dias, 2021)","noteIndex":0},"citationItems":[{"id":253,"uris":["http://zotero.org/users/12001880/items/NVUD884L"],"itemData":{"id":253,"type":"article-journal","language":"pt","source":"Zotero","title":"IMPACTOS ECONÔMICOS DA SAÍDA DA FORD DO ESTADO DE SÃO PAULO (NOTA TÉCNICA)","author":[{"family":"Fernandes","given":"Raphael P"},{"family":"Haddad","given":"Eduardo A"},{"family":"Dias","given":"Lucas C C"}],"issued":{"date-parts":[["2021"]]}}}],"schema":"https://github.com/citation-style-language/schema/raw/master/csl-citation.json"} </w:instrText>
      </w:r>
      <w:r w:rsidRPr="00562D27">
        <w:fldChar w:fldCharType="separate"/>
      </w:r>
      <w:r w:rsidRPr="000A7400">
        <w:t>Fernandes</w:t>
      </w:r>
      <w:r>
        <w:t xml:space="preserve"> et al. (</w:t>
      </w:r>
      <w:r w:rsidRPr="000A7400">
        <w:t>2021)</w:t>
      </w:r>
      <w:r w:rsidRPr="00562D27">
        <w:fldChar w:fldCharType="end"/>
      </w:r>
      <w:r w:rsidRPr="00562D27">
        <w:t xml:space="preserve"> utilizaram o método de extração hipotética para avaliar os efeitos no estado de São Paulo, evidenciando perdas significativas no PIB setorial. Em nível local, </w:t>
      </w:r>
      <w:r w:rsidRPr="00562D27">
        <w:fldChar w:fldCharType="begin"/>
      </w:r>
      <w:r w:rsidRPr="00562D27">
        <w:instrText xml:space="preserve"> ADDIN ZOTERO_ITEM CSL_CITATION {"citationID":"UhaSfu5p","properties":{"formattedCitation":"(Henriques; Campos; Santos, 2024)","plainCitation":"(Henriques; Campos; Santos, 2024)","noteIndex":0},"citationItems":[{"id":251,"uris":["http://zotero.org/users/12001880/items/NXJ9W8LQ"],"itemData":{"id":251,"type":"article-journal","abstract":"O presente trabalho teve como objetivo o estudo dos impactos causados pela saída da Ford do Brasil com o foco no emprego da cidade de Camaçari - Bahia (BA). Utilizou-se o método de análise regional diferencial-estrutural, mais conhecido como shift-share. Os resultados demonstraram forte dependência do mercado de trabalho da cidade em relação à montadora. Constatou-se que os trabalhadores estão especializados e concentrados na indústria de transformação, o que sugere dificuldades para se realocarem no mercado de trabalho da região. Tais constatações deram origem a uma discussão relacionada aos incentivos fiscais concedidos pelo governo e a possíveis políticas públicas para redução dos impactos da saída da montadora.","container-title":"Revista Econômica do Nordeste","DOI":"10.61673/ren.2024.1600","ISSN":"2357-9226, 0100-4956","issue":"4","journalAbbreviation":"REN","language":"pt","license":"https://creativecommons.org/licenses/by/4.0","page":"156-178","source":"DOI.org (Crossref)","title":"O FECHAMENTO DA FÁBRICA DA FORD NA BAHIA: UMA ANÁLISE DA ESTRUTURA SETORIAL DO EMPREGO EM CAMAÇARI","title-short":"O FECHAMENTO DA FÁBRICA DA FORD NA BAHIA","volume":"55","author":[{"family":"Henriques","given":"Márcio Júlio Pereira"},{"family":"Campos","given":"Rafael Faria De Abreu"},{"family":"Santos","given":"Marcelo Figueiredo"}],"issued":{"date-parts":[["2024",10,31]]}}}],"schema":"https://github.com/citation-style-language/schema/raw/master/csl-citation.json"} </w:instrText>
      </w:r>
      <w:r w:rsidRPr="00562D27">
        <w:fldChar w:fldCharType="separate"/>
      </w:r>
      <w:r w:rsidRPr="000A7400">
        <w:t>Henriques</w:t>
      </w:r>
      <w:r>
        <w:t xml:space="preserve"> et al.</w:t>
      </w:r>
      <w:r w:rsidRPr="000A7400">
        <w:t xml:space="preserve"> </w:t>
      </w:r>
      <w:r>
        <w:t>(</w:t>
      </w:r>
      <w:r w:rsidRPr="000A7400">
        <w:t>2024)</w:t>
      </w:r>
      <w:r w:rsidRPr="00562D27">
        <w:fldChar w:fldCharType="end"/>
      </w:r>
      <w:r w:rsidRPr="00562D27">
        <w:t xml:space="preserve"> analisaram Camaçari, reforçando que a fragilidade da absorção ocupacional no curto prazo é um desafio crítico. O DIEESE (2021) estimou que o fechamento das três plantas (Camaçari, Taubaté e Horizonte) afetaria cerca de 5.000 empregos diretos e uma vasta rede de fornecedores, agravando o sucateamento industrial. Embora essas abordagens </w:t>
      </w:r>
      <w:r w:rsidRPr="00562D27">
        <w:lastRenderedPageBreak/>
        <w:t>dimensionem encadeamentos, permanece uma lacuna para estimativas causais com microdados que isolem o efeito líquido observado no mercado de trabalho formal.</w:t>
      </w:r>
    </w:p>
    <w:p w14:paraId="6210CE92" w14:textId="77777777" w:rsidR="00270042" w:rsidRPr="00562D27" w:rsidRDefault="00270042" w:rsidP="00270042">
      <w:pPr>
        <w:pStyle w:val="EstiloJustificadoPrimeiralinha125cm"/>
      </w:pPr>
      <w:r w:rsidRPr="00562D27">
        <w:t xml:space="preserve">Na literatura, diversos modelos são usados para isolar efeitos de política pública e mensurar efeitos de choques como o fechamento de fábricas. Entre elas destacam-se o diferenças em diferenças – DD </w:t>
      </w:r>
      <w:r w:rsidRPr="00562D27">
        <w:fldChar w:fldCharType="begin"/>
      </w:r>
      <w:r w:rsidRPr="00562D27">
        <w:instrText xml:space="preserve"> ADDIN ZOTERO_ITEM CSL_CITATION {"citationID":"XuZKmeXO","properties":{"formattedCitation":"(Venkataramani et al., 2020)","plainCitation":"(Venkataramani et al., 2020)","noteIndex":0},"citationItems":[{"id":267,"uris":["http://zotero.org/users/12001880/items/Q2WSLNH5"],"itemData":{"id":267,"type":"article-journal","abstract":"OBJECTIVE To estimate the extent to which automotive assembly plant closures were associated with increasing opioid overdose mortality rates among working-age adults. DESIGN, SETTING, AND PARTICIPANTS A county-level difference-in-differences study was conducted among adults aged 18 to 65 years in 112 manufacturing counties located in 30 commuting zones (primarily in the US South and Midwest) with at least 1 operational automotive assembly plant as of 1999. The study analyzed county-level changes from January 1, 1999, to December 31, 2016, in age-adjusted, county-level opioid overdose mortality rates before vs after automotive assembly plant closures in manufacturing counties affected by plant closures compared with changes in manufacturing counties unaffected by plant closures. Data analyses were performed between April 1, 2018, and July 20, 2019. EXPOSURE Closure of automotive assembly plants in the commuting zone of residence. MAIN OUTCOMES AND MEASURES The primary outcome was the county-level age-adjusted opioid overdose mortality rate. Secondary outcomes included the overall drug overdose mortality rate and prescription vs illicit drug overdose mortality rates.\nRESULTS During the study period, 29 manufacturing counties in 10 commuting zones were exposed to an automotive assembly plant closure, while 83 manufacturing counties in 20 commuting zones remained unexposed. Mean (SD) baseline opioid overdose rates per 100 000 were similar in exposed (0.9 [1.4]) and unexposed (1.0 [2.1]) counties. Automotive assembly plant closures were associated with statistically significant increases in opioid overdose mortality. Five years after a plant closure, mortality rates had increased by 8.6 opioid overdose deaths per 100 000 individuals (95% CI, 2.6-14.6; P = .006) in exposed counties compared with unexposed counties, an 85% higher increase relative to the mortality rate that would have been expected had exposed counties followed the same outcome trends as unexposed counties. In analyses stratified by age, sex, and race/ethnicity, the largest increases in opioid overdose mortality were observed among non-Hispanic white men aged 18 to 34 years (20.1 deaths per 100 000; 95% CI, 8.8-31.3; P = .001) and aged 35 to 65 years (12.8 deaths per 100 000; 95% CI, 5.7-20.0; P = .001). We observed similar patterns of prescription vs illicit drug overdose mortality. Estimates for opioid overdose mortality in nonmanufacturing counties were not statistically significant.\nCONCLUSIONS AND RELEVANCE From 1999 to 2016, automotive assembly plant closures were associated with increases in opioid overdose mortality. These findings highlight the potential importance of eroding economic opportunity as a factor in the US opioid overdose crisis.","container-title":"JAMA Internal Medicine","DOI":"10.1001/jamainternmed.2019.5686","ISSN":"2168-6106","issue":"2","journalAbbreviation":"JAMA Intern Med","language":"en","page":"254","source":"DOI.org (Crossref)","title":"Association Between Automotive Assembly Plant Closures and Opioid Overdose Mortality in the United States: A Difference-in-Differences Analysis","title-short":"Association Between Automotive Assembly Plant Closures and Opioid Overdose Mortality in the United States","volume":"180","author":[{"family":"Venkataramani","given":"Atheendar S."},{"family":"Bair","given":"Elizabeth F."},{"family":"O’Brien","given":"Rourke L."},{"family":"Tsai","given":"Alexander C."}],"issued":{"date-parts":[["2020",2,1]]}}}],"schema":"https://github.com/citation-style-language/schema/raw/master/csl-citation.json"} </w:instrText>
      </w:r>
      <w:r w:rsidRPr="00562D27">
        <w:fldChar w:fldCharType="separate"/>
      </w:r>
      <w:r w:rsidRPr="000A7400">
        <w:t>(Venkataramani et al., 2020)</w:t>
      </w:r>
      <w:r w:rsidRPr="00562D27">
        <w:fldChar w:fldCharType="end"/>
      </w:r>
      <w:r w:rsidRPr="00562D27">
        <w:t xml:space="preserve">, análise Shift-Share (diferencial estrutural) </w:t>
      </w:r>
      <w:r w:rsidRPr="00562D27">
        <w:fldChar w:fldCharType="begin"/>
      </w:r>
      <w:r w:rsidRPr="00562D27">
        <w:instrText xml:space="preserve"> ADDIN ZOTERO_ITEM CSL_CITATION {"citationID":"vnvHTDy2","properties":{"formattedCitation":"(Henriques; Campos; Santos, 2024)","plainCitation":"(Henriques; Campos; Santos, 2024)","noteIndex":0},"citationItems":[{"id":251,"uris":["http://zotero.org/users/12001880/items/NXJ9W8LQ"],"itemData":{"id":251,"type":"article-journal","abstract":"O presente trabalho teve como objetivo o estudo dos impactos causados pela saída da Ford do Brasil com o foco no emprego da cidade de Camaçari - Bahia (BA). Utilizou-se o método de análise regional diferencial-estrutural, mais conhecido como shift-share. Os resultados demonstraram forte dependência do mercado de trabalho da cidade em relação à montadora. Constatou-se que os trabalhadores estão especializados e concentrados na indústria de transformação, o que sugere dificuldades para se realocarem no mercado de trabalho da região. Tais constatações deram origem a uma discussão relacionada aos incentivos fiscais concedidos pelo governo e a possíveis políticas públicas para redução dos impactos da saída da montadora.","container-title":"Revista Econômica do Nordeste","DOI":"10.61673/ren.2024.1600","ISSN":"2357-9226, 0100-4956","issue":"4","journalAbbreviation":"REN","language":"pt","license":"https://creativecommons.org/licenses/by/4.0","page":"156-178","source":"DOI.org (Crossref)","title":"O FECHAMENTO DA FÁBRICA DA FORD NA BAHIA: UMA ANÁLISE DA ESTRUTURA SETORIAL DO EMPREGO EM CAMAÇARI","title-short":"O FECHAMENTO DA FÁBRICA DA FORD NA BAHIA","volume":"55","author":[{"family":"Henriques","given":"Márcio Júlio Pereira"},{"family":"Campos","given":"Rafael Faria De Abreu"},{"family":"Santos","given":"Marcelo Figueiredo"}],"issued":{"date-parts":[["2024",10,31]]}}}],"schema":"https://github.com/citation-style-language/schema/raw/master/csl-citation.json"} </w:instrText>
      </w:r>
      <w:r w:rsidRPr="00562D27">
        <w:fldChar w:fldCharType="separate"/>
      </w:r>
      <w:r w:rsidRPr="000A7400">
        <w:t>(Henriques; Campos; Santos, 2024)</w:t>
      </w:r>
      <w:r w:rsidRPr="00562D27">
        <w:fldChar w:fldCharType="end"/>
      </w:r>
      <w:r w:rsidRPr="00562D27">
        <w:t xml:space="preserve">, controle sintético </w:t>
      </w:r>
      <w:r w:rsidRPr="00562D27">
        <w:fldChar w:fldCharType="begin"/>
      </w:r>
      <w:r w:rsidRPr="00562D27">
        <w:instrText xml:space="preserve"> ADDIN ZOTERO_ITEM CSL_CITATION {"citationID":"hYLzbgdn","properties":{"formattedCitation":"(Jofre-Monseny; S\\uc0\\u225{}nchez-Vidal; Viladecans-Marsal, 2018)","plainCitation":"(Jofre-Monseny; Sánchez-Vidal; Viladecans-Marsal, 2018)","noteIndex":0},"citationItems":[{"id":255,"uris":["http://zotero.org/users/12001880/items/854N6R6G"],"itemData":{"id":255,"type":"article-journal","abstract":"This paper estimates the impact of large plant closures on the local employment in the affected industry. Specifically, we examine the closure of 45 large manufacturing plants in Spain which relocated abroad between 2001 and 2006. We run differences-indifferences specifications in which locations that experience a closure are matched to locations with similar pre-treatment employment levels and trends. The results show that when a plant closes, for each job directly lost in the plant closure, only between 0.6 and 0.7 jobs are actually lost in the local affected industry. These effects are driven by employment expansions in local incumbent firms and, to a lesser extent, by the creation of new firms in the local industry.","container-title":"Journal of Economic Geography","DOI":"10.1093/jeg/lbx026","ISSN":"1468-2702, 1468-2710","issue":"1","language":"en","license":"http://creativecommons.org/licenses/by/4.0/","page":"163-186","source":"DOI.org (Crossref)","title":"Big plant closures and local employment","volume":"18","author":[{"family":"Jofre-Monseny","given":"Jordi"},{"family":"Sánchez-Vidal","given":"Maria"},{"family":"Viladecans-Marsal","given":"Elisabet"}],"issued":{"date-parts":[["2018",1,1]]}}}],"schema":"https://github.com/citation-style-language/schema/raw/master/csl-citation.json"} </w:instrText>
      </w:r>
      <w:r w:rsidRPr="00562D27">
        <w:fldChar w:fldCharType="separate"/>
      </w:r>
      <w:r w:rsidRPr="000A7400">
        <w:rPr>
          <w:kern w:val="0"/>
        </w:rPr>
        <w:t>(Jofre-Monseny; Sánchez-Vidal; Viladecans-Marsal, 2018)</w:t>
      </w:r>
      <w:r w:rsidRPr="00562D27">
        <w:fldChar w:fldCharType="end"/>
      </w:r>
      <w:r w:rsidRPr="00562D27">
        <w:t xml:space="preserve"> e diferenças em diferenças em diferenças – DDD, conhecido como diferenças tripla, que é uma extensão do DiD </w:t>
      </w:r>
      <w:r w:rsidRPr="00562D27">
        <w:fldChar w:fldCharType="begin"/>
      </w:r>
      <w:r w:rsidRPr="00562D27">
        <w:instrText xml:space="preserve"> ADDIN ZOTERO_ITEM CSL_CITATION {"citationID":"ieX7QAvG","properties":{"formattedCitation":"(Demir, 2022)","plainCitation":"(Demir, 2022)","noteIndex":0},"citationItems":[{"id":320,"uris":["http://zotero.org/users/12001880/items/7JWPHZAM"],"itemData":{"id":320,"type":"book","ISBN":"978-3-96973-150-5","language":"en","number-of-pages":"1","publisher":"RWI – Leibniz-Institut für Wirtschaftsforschung","publisher-place":"Essen","source":"K10plus ISBN","title":"Labor Market Frictions and Spillover Effects from Publicly Announced Sectoral Minimum Wages","author":[{"family":"Demir","given":"Gökay"}],"issued":{"date-parts":[["2022"]]}}}],"schema":"https://github.com/citation-style-language/schema/raw/master/csl-citation.json"} </w:instrText>
      </w:r>
      <w:r w:rsidRPr="00562D27">
        <w:fldChar w:fldCharType="separate"/>
      </w:r>
      <w:r w:rsidRPr="000A7400">
        <w:t>(Demir, 2022)</w:t>
      </w:r>
      <w:r w:rsidRPr="00562D27">
        <w:fldChar w:fldCharType="end"/>
      </w:r>
      <w:r w:rsidRPr="00562D27">
        <w:t>. Esses métodos têm sido amplamente aplicados para quantificar impactos de políticas públicas e choques exógenos na indústria e no mercado de trabalho. A escolha do método depende da disponibilidade de dados e do desenho do estudo, por exemplo, se há regiões comparáveis ou séries temporais detalhadas.</w:t>
      </w:r>
    </w:p>
    <w:p w14:paraId="39D19214" w14:textId="77777777" w:rsidR="00270042" w:rsidRPr="00562D27" w:rsidRDefault="00270042" w:rsidP="00270042">
      <w:pPr>
        <w:pStyle w:val="EstiloJustificadoPrimeiralinha125cm"/>
      </w:pPr>
      <w:r w:rsidRPr="00562D27">
        <w:t>O uso de estudos de evento (</w:t>
      </w:r>
      <w:r w:rsidRPr="00562D27">
        <w:rPr>
          <w:i/>
          <w:iCs/>
        </w:rPr>
        <w:t>event studies</w:t>
      </w:r>
      <w:r w:rsidRPr="00562D27">
        <w:t xml:space="preserve">) é uma prática recorrente para investigar a dinâmica temporal de choques e políticas públicas. No entanto, </w:t>
      </w:r>
      <w:r w:rsidRPr="00562D27">
        <w:fldChar w:fldCharType="begin"/>
      </w:r>
      <w:r w:rsidRPr="00562D27">
        <w:instrText xml:space="preserve"> ADDIN ZOTERO_ITEM CSL_CITATION {"citationID":"VYDkvlvD","properties":{"formattedCitation":"(Sun; Abraham, 2021)","plainCitation":"(Sun; Abraham, 2021)","noteIndex":0},"citationItems":[{"id":297,"uris":["http://zotero.org/users/12001880/items/L65VRWLH"],"itemData":{"id":297,"type":"article-journal","abstract":"To estimate the dynamic effects of an absorbing treatment, researchers often use twoway fixed effects regressions that include leads and lags of the treatment. We show that in settings with variation in treatment timing across units, the coefficient on a given lead or lag can be contaminated by effects from other periods, and apparent pretrends can arise solely from treatment effects heterogeneity. We propose an alternative estimator that is free of contamination, and illustrate the relative shortcomings of two-way fixed effects regressions with leads and lags through an empirical application.","container-title":"Journal of Econometrics","DOI":"10.1016/j.jeconom.2020.09.006","ISSN":"03044076","issue":"2","journalAbbreviation":"Journal of Econometrics","language":"la","page":"175-199","source":"DOI.org (Crossref)","title":"Estimating dynamic treatment effects in event studies with heterogeneous treatment effects","volume":"225","author":[{"family":"Sun","given":"Liyang"},{"family":"Abraham","given":"Sarah"}],"issued":{"date-parts":[["2021",12]]}}}],"schema":"https://github.com/citation-style-language/schema/raw/master/csl-citation.json"} </w:instrText>
      </w:r>
      <w:r w:rsidRPr="00562D27">
        <w:fldChar w:fldCharType="separate"/>
      </w:r>
      <w:r w:rsidRPr="000A7400">
        <w:t>Sun</w:t>
      </w:r>
      <w:r>
        <w:t xml:space="preserve"> &amp;</w:t>
      </w:r>
      <w:r w:rsidRPr="000A7400">
        <w:t xml:space="preserve"> Abraham </w:t>
      </w:r>
      <w:r>
        <w:t>(</w:t>
      </w:r>
      <w:r w:rsidRPr="000A7400">
        <w:t>2021)</w:t>
      </w:r>
      <w:r w:rsidRPr="00562D27">
        <w:fldChar w:fldCharType="end"/>
      </w:r>
      <w:r w:rsidRPr="00562D27">
        <w:t xml:space="preserve"> demonstram que, em contextos de adoção escalonada e heterogeneidade de efeitos, as especificações tradicionais podem gerar coeficientes dinâmicos contaminados por comparações implícitas entre grupos (coortes), o que pode resultar em falsas pré-tendências. No presente estudo, o fato de o choque ocorrer em uma data comum para todos os municípios tratados mitiga essa fonte clássica de contaminação. Ainda assim, explicitar essas cautelas metodológicas reforça a transparência da análise e posiciona o estudo de evento como uma evidência complementar robusta.</w:t>
      </w:r>
    </w:p>
    <w:p w14:paraId="37DDD757" w14:textId="77777777" w:rsidR="00270042" w:rsidRPr="00562D27" w:rsidRDefault="00270042" w:rsidP="00270042">
      <w:pPr>
        <w:pStyle w:val="EstiloJustificadoDepoisde0pt"/>
        <w:rPr>
          <w:strike/>
        </w:rPr>
      </w:pPr>
      <w:r w:rsidRPr="00562D27">
        <w:tab/>
        <w:t xml:space="preserve">A síntese das evidências teóricas e empíricas apresentadas revela que, embora a literatura tenha avançado na compreensão dos custos estruturais decorrentes de fechamentos industriais, ainda persiste uma lacuna quanto à mensuração precisa do efeito líquido em contextos de desindustrialização regional brasileira. Diante da centralidade do complexo automotivo para as dinâmicas de Camaçari, Taubaté e Horizonte, torna-se imperativo investigar se os mecanismos de ajuste local e a integração produtiva foram suficientes para mitigar o choque ocupacional severo previsto pelas teorias de encadeamento. </w:t>
      </w:r>
    </w:p>
    <w:p w14:paraId="549B08C9" w14:textId="77777777" w:rsidR="00270042" w:rsidRPr="00562D27" w:rsidRDefault="00270042" w:rsidP="00270042">
      <w:pPr>
        <w:jc w:val="both"/>
        <w:rPr>
          <w:rFonts w:ascii="Arial" w:hAnsi="Arial" w:cs="Arial"/>
        </w:rPr>
      </w:pPr>
    </w:p>
    <w:p w14:paraId="5AACDB3D" w14:textId="77777777" w:rsidR="00270042" w:rsidRPr="00562D27" w:rsidRDefault="00270042" w:rsidP="00270042">
      <w:pPr>
        <w:pStyle w:val="Ttulo2"/>
        <w:jc w:val="both"/>
        <w:rPr>
          <w:rFonts w:ascii="Arial" w:hAnsi="Arial" w:cs="Arial"/>
          <w:color w:val="000000" w:themeColor="text1"/>
          <w:sz w:val="24"/>
          <w:szCs w:val="24"/>
        </w:rPr>
      </w:pPr>
      <w:bookmarkStart w:id="3" w:name="_Toc225542317"/>
      <w:r w:rsidRPr="00562D27">
        <w:rPr>
          <w:rFonts w:ascii="Arial" w:hAnsi="Arial" w:cs="Arial"/>
          <w:color w:val="000000" w:themeColor="text1"/>
          <w:sz w:val="24"/>
          <w:szCs w:val="24"/>
        </w:rPr>
        <w:t>3.3 Metodologia</w:t>
      </w:r>
      <w:bookmarkEnd w:id="3"/>
    </w:p>
    <w:p w14:paraId="3463934B" w14:textId="77777777" w:rsidR="00270042" w:rsidRPr="00562D27" w:rsidRDefault="00270042" w:rsidP="00270042">
      <w:pPr>
        <w:pStyle w:val="Ttulo3"/>
        <w:jc w:val="both"/>
        <w:rPr>
          <w:rFonts w:ascii="Arial" w:hAnsi="Arial" w:cs="Arial"/>
          <w:color w:val="000000" w:themeColor="text1"/>
          <w:sz w:val="24"/>
          <w:szCs w:val="24"/>
        </w:rPr>
      </w:pPr>
      <w:bookmarkStart w:id="4" w:name="_Toc225542318"/>
      <w:r w:rsidRPr="00562D27">
        <w:rPr>
          <w:rFonts w:ascii="Arial" w:hAnsi="Arial" w:cs="Arial"/>
          <w:color w:val="000000" w:themeColor="text1"/>
          <w:sz w:val="24"/>
          <w:szCs w:val="24"/>
        </w:rPr>
        <w:t>3.3.1 Desenho empírico e estratégia de identificação (DDD)</w:t>
      </w:r>
      <w:bookmarkEnd w:id="4"/>
    </w:p>
    <w:p w14:paraId="6B167FCE" w14:textId="77777777" w:rsidR="00270042" w:rsidRPr="00562D27" w:rsidRDefault="00270042" w:rsidP="00270042">
      <w:pPr>
        <w:spacing w:after="0"/>
        <w:jc w:val="both"/>
        <w:rPr>
          <w:rFonts w:ascii="Arial" w:hAnsi="Arial" w:cs="Arial"/>
        </w:rPr>
      </w:pPr>
    </w:p>
    <w:p w14:paraId="593200B0" w14:textId="77777777" w:rsidR="00270042" w:rsidRPr="00562D27" w:rsidRDefault="00270042" w:rsidP="00270042">
      <w:pPr>
        <w:pStyle w:val="EstiloJustificado"/>
      </w:pPr>
      <w:r w:rsidRPr="00562D27">
        <w:tab/>
        <w:t xml:space="preserve">A estratégia de identificação explora variação tripla em painéis no nível município x setor x ano, combinando: (i) dimensão temporal (período pré versus pós-choque), (ii) dimensão espacial (municípios expostos ao choque versus municípios não expostos) e (iii) dimensão setorial (setor diretamente atingido versus demais setores). Essa estrutura corresponde ao estimador de Diferenças </w:t>
      </w:r>
      <w:r w:rsidRPr="00562D27">
        <w:lastRenderedPageBreak/>
        <w:t xml:space="preserve">em Diferenças em Diferenças (DDD), cujo racional consiste em eliminar, por sucessivas diferenças, componentes não observáveis que sejam comuns ao longo do tempo, específicos de localidades e específicos de setores, preservando apenas a variação residual que é simultaneamente pós-choque, no município tratado e no setor tratado </w:t>
      </w:r>
      <w:r w:rsidRPr="00562D27">
        <w:fldChar w:fldCharType="begin"/>
      </w:r>
      <w:r w:rsidRPr="00562D27">
        <w:instrText xml:space="preserve"> ADDIN ZOTERO_ITEM CSL_CITATION {"citationID":"EdR2ThYz","properties":{"formattedCitation":"(Olden; M\\uc0\\u248{}en, 2022)","plainCitation":"(Olden; Møen, 2022)","noteIndex":0},"citationItems":[{"id":269,"uris":["http://zotero.org/users/12001880/items/MRG3B6S9"],"itemData":{"id":269,"type":"article-journal","abstract":"Triple difference has become a widely used estimator in empirical work. A close reading of articles in top economics journals reveals that the use of the estimator to a large extent rests on intuition. The identifying assumptions are neither formally derived nor generally agreed on. We give a complete presentation of the triple difference estimator, and show that even though the estimator can be computed as the difference between two difference-in-differences estimators, it does not require two parallel trend assumptions to have a causal interpretation. The reason is that the difference between two biased difference-in-differences estimators will be unbiased as long as the bias is the same in both estimators. This requires only one parallel trend assumption to hold.","container-title":"The Econometrics Journal","DOI":"10.1093/ectj/utac010","ISSN":"1368-4221, 1368-423X","issue":"3","language":"en","license":"https://creativecommons.org/licenses/by-nc/4.0/","page":"531-553","source":"DOI.org (Crossref)","title":"The triple difference estimator","volume":"25","author":[{"family":"Olden","given":"Andreas"},{"family":"Møen","given":"Jarle"}],"issued":{"date-parts":[["2022",9,14]]}}}],"schema":"https://github.com/citation-style-language/schema/raw/master/csl-citation.json"} </w:instrText>
      </w:r>
      <w:r w:rsidRPr="00562D27">
        <w:fldChar w:fldCharType="separate"/>
      </w:r>
      <w:r w:rsidRPr="000A7400">
        <w:rPr>
          <w:kern w:val="0"/>
        </w:rPr>
        <w:t>(Olden; Møen, 2022)</w:t>
      </w:r>
      <w:r w:rsidRPr="00562D27">
        <w:fldChar w:fldCharType="end"/>
      </w:r>
      <w:r w:rsidRPr="00562D27">
        <w:t>.</w:t>
      </w:r>
    </w:p>
    <w:p w14:paraId="6E514DB4" w14:textId="77777777" w:rsidR="00270042" w:rsidRPr="00562D27" w:rsidRDefault="00270042" w:rsidP="00270042">
      <w:pPr>
        <w:jc w:val="both"/>
        <w:rPr>
          <w:rFonts w:ascii="Arial" w:hAnsi="Arial" w:cs="Arial"/>
        </w:rPr>
      </w:pPr>
      <w:r w:rsidRPr="00562D27">
        <w:rPr>
          <w:rFonts w:ascii="Arial" w:hAnsi="Arial" w:cs="Arial"/>
        </w:rPr>
        <w:tab/>
        <w:t xml:space="preserve">Para acomodar heterogeneidades persistentes e choques agregados com granularidade suficiente, adota-se uma parametrização com efeitos fixos de alta dimensão. Em termos econométricos, tal escolha impõe que a comparação de interessa seja efetuada dentro das células definidas por combinações município-ano, setor-ano e município-setor, reduzindo o risco de viés por variáveis omitidas que evoluem diferentemente por território, por ramo de atividade e por pares território-ano </w:t>
      </w:r>
      <w:r w:rsidRPr="00562D27">
        <w:rPr>
          <w:rFonts w:ascii="Arial" w:hAnsi="Arial" w:cs="Arial"/>
        </w:rPr>
        <w:fldChar w:fldCharType="begin"/>
      </w:r>
      <w:r w:rsidRPr="00562D27">
        <w:rPr>
          <w:rFonts w:ascii="Arial" w:hAnsi="Arial" w:cs="Arial"/>
        </w:rPr>
        <w:instrText xml:space="preserve"> ADDIN ZOTERO_ITEM CSL_CITATION {"citationID":"kYZInvOz","properties":{"formattedCitation":"(Wooldridge, 2010)","plainCitation":"(Wooldridge, 2010)","noteIndex":0},"citationItems":[{"id":299,"uris":["http://zotero.org/users/12001880/items/GP2DI4D4"],"itemData":{"id":299,"type":"article-journal","container-title":"livro","language":"en","publisher":"The MIT Press","publisher-place":"London, England","source":"Zotero","title":"Econometric Analysis of Cross Section and Panel Data","author":[{"family":"Wooldridge","given":"Je¤rey M."}],"issued":{"date-parts":[["2010"]]}}}],"schema":"https://github.com/citation-style-language/schema/raw/master/csl-citation.json"} </w:instrText>
      </w:r>
      <w:r w:rsidRPr="00562D27">
        <w:rPr>
          <w:rFonts w:ascii="Arial" w:hAnsi="Arial" w:cs="Arial"/>
        </w:rPr>
        <w:fldChar w:fldCharType="separate"/>
      </w:r>
      <w:r w:rsidRPr="000A7400">
        <w:rPr>
          <w:rFonts w:ascii="Arial" w:hAnsi="Arial" w:cs="Arial"/>
        </w:rPr>
        <w:t>(Wooldridge, 2010)</w:t>
      </w:r>
      <w:r w:rsidRPr="00562D27">
        <w:rPr>
          <w:rFonts w:ascii="Arial" w:hAnsi="Arial" w:cs="Arial"/>
        </w:rPr>
        <w:fldChar w:fldCharType="end"/>
      </w:r>
      <w:r w:rsidRPr="00562D27">
        <w:rPr>
          <w:rFonts w:ascii="Arial" w:hAnsi="Arial" w:cs="Arial"/>
        </w:rPr>
        <w:t>.</w:t>
      </w:r>
    </w:p>
    <w:p w14:paraId="401EF690" w14:textId="77777777" w:rsidR="00270042" w:rsidRPr="00562D27" w:rsidRDefault="00270042" w:rsidP="00270042">
      <w:pPr>
        <w:jc w:val="both"/>
        <w:rPr>
          <w:rFonts w:ascii="Arial" w:hAnsi="Arial" w:cs="Arial"/>
        </w:rPr>
      </w:pPr>
      <w:r w:rsidRPr="00562D27">
        <w:rPr>
          <w:rFonts w:ascii="Arial" w:hAnsi="Arial" w:cs="Arial"/>
        </w:rPr>
        <w:tab/>
        <w:t xml:space="preserve">A motivação da “terceira diferença” pode ser formalizada como uma estratégia para reduzir viés quando o grupo controle espacial e/ou temporal é imperfeito em face de determinantes omitidos que afetam simultaneamente o resultado de interesse. A estratégia DDD tende a reduzir o viés em relação ao Diferenças em Diferenças padrão quando o determinante omitido relevante afeta de forma semelhante a categoria “tratada” e uma categoria “não tratada” usada como controle adicional, isto é, quando a diferença de sensitividades (elasticidades) entre as categorias é pequena em magnitude </w:t>
      </w:r>
      <w:r w:rsidRPr="00562D27">
        <w:rPr>
          <w:rFonts w:ascii="Arial" w:hAnsi="Arial" w:cs="Arial"/>
        </w:rPr>
        <w:fldChar w:fldCharType="begin"/>
      </w:r>
      <w:r w:rsidRPr="00562D27">
        <w:rPr>
          <w:rFonts w:ascii="Arial" w:hAnsi="Arial" w:cs="Arial"/>
        </w:rPr>
        <w:instrText xml:space="preserve"> ADDIN ZOTERO_ITEM CSL_CITATION {"citationID":"EQsQdGAw","properties":{"formattedCitation":"(Berck; Villas-Boas, 2016)","plainCitation":"(Berck; Villas-Boas, 2016)","noteIndex":0},"citationItems":[{"id":273,"uris":["http://zotero.org/users/12001880/items/NLVCE282"],"itemData":{"id":273,"type":"article-journal","container-title":"Applied Economics Letters","DOI":"10.1080/13504851.2015.1068912","ISSN":"1350-4851, 1466-4291","issue":"4","journalAbbreviation":"Applied Economics Letters","language":"en","page":"239-242","source":"DOI.org (Crossref)","title":"A note on the triple difference in economic models","volume":"23","author":[{"family":"Berck","given":"Peter"},{"family":"Villas-Boas","given":"Sofia B."}],"issued":{"date-parts":[["2016",3,3]]}}}],"schema":"https://github.com/citation-style-language/schema/raw/master/csl-citation.json"} </w:instrText>
      </w:r>
      <w:r w:rsidRPr="00562D27">
        <w:rPr>
          <w:rFonts w:ascii="Arial" w:hAnsi="Arial" w:cs="Arial"/>
        </w:rPr>
        <w:fldChar w:fldCharType="separate"/>
      </w:r>
      <w:r w:rsidRPr="000A7400">
        <w:rPr>
          <w:rFonts w:ascii="Arial" w:hAnsi="Arial" w:cs="Arial"/>
        </w:rPr>
        <w:t>(Berck; Villas-Boas, 2016)</w:t>
      </w:r>
      <w:r w:rsidRPr="00562D27">
        <w:rPr>
          <w:rFonts w:ascii="Arial" w:hAnsi="Arial" w:cs="Arial"/>
        </w:rPr>
        <w:fldChar w:fldCharType="end"/>
      </w:r>
      <w:r w:rsidRPr="00562D27">
        <w:rPr>
          <w:rFonts w:ascii="Arial" w:hAnsi="Arial" w:cs="Arial"/>
        </w:rPr>
        <w:t>. No presente contexto, a comparação entre o complexo automotivo e setores não automotivos dentro do mesmo município e ano funciona como controle adicional para choques locais de demanda e condições macroeconômicas que afetam múltiplos setores, mas que poderiam contaminar a comparação simples entre municípios tratados e não tratados.</w:t>
      </w:r>
    </w:p>
    <w:p w14:paraId="7EE5DC08" w14:textId="77777777" w:rsidR="00270042" w:rsidRPr="00562D27" w:rsidRDefault="00270042" w:rsidP="00270042">
      <w:pPr>
        <w:pStyle w:val="EstiloJustificadoDepoisde0pt"/>
      </w:pPr>
      <w:r w:rsidRPr="00562D27">
        <w:tab/>
        <w:t>A inferência baseia-se em erros-padrão robustos à correlação intraclasse no nível municipal (</w:t>
      </w:r>
      <w:r w:rsidRPr="00562D27">
        <w:rPr>
          <w:i/>
          <w:iCs/>
        </w:rPr>
        <w:t>cluster</w:t>
      </w:r>
      <w:r w:rsidRPr="00562D27">
        <w:t xml:space="preserve">), condizente com a possibilidade de dependência serial e de choques não observados que se propagam ao longo do tempo dentro de cada município </w:t>
      </w:r>
      <w:r w:rsidRPr="00562D27">
        <w:fldChar w:fldCharType="begin"/>
      </w:r>
      <w:r w:rsidRPr="00562D27">
        <w:instrText xml:space="preserve"> ADDIN ZOTERO_ITEM CSL_CITATION {"citationID":"92u0zVu8","properties":{"formattedCitation":"(Wooldridge, 2010)","plainCitation":"(Wooldridge, 2010)","noteIndex":0},"citationItems":[{"id":299,"uris":["http://zotero.org/users/12001880/items/GP2DI4D4"],"itemData":{"id":299,"type":"article-journal","container-title":"livro","language":"en","publisher":"The MIT Press","publisher-place":"London, England","source":"Zotero","title":"Econometric Analysis of Cross Section and Panel Data","author":[{"family":"Wooldridge","given":"Je¤rey M."}],"issued":{"date-parts":[["2010"]]}}}],"schema":"https://github.com/citation-style-language/schema/raw/master/csl-citation.json"} </w:instrText>
      </w:r>
      <w:r w:rsidRPr="00562D27">
        <w:fldChar w:fldCharType="separate"/>
      </w:r>
      <w:r w:rsidRPr="000A7400">
        <w:t>(Wooldridge, 2010)</w:t>
      </w:r>
      <w:r w:rsidRPr="00562D27">
        <w:fldChar w:fldCharType="end"/>
      </w:r>
      <w:r w:rsidRPr="00562D27">
        <w:t>. A variável de resultado é o emprego setorial municipal, transformado por logaritmo com ajuste aditivo unitário, o que (i) preserva observações com emprego nulo e (ii) permite interpretação semielástica dos coeficientes associados a indicadores de tratamento.</w:t>
      </w:r>
    </w:p>
    <w:p w14:paraId="53372A6C" w14:textId="77777777" w:rsidR="00270042" w:rsidRPr="00562D27" w:rsidRDefault="00270042" w:rsidP="00270042">
      <w:pPr>
        <w:spacing w:after="0"/>
        <w:jc w:val="both"/>
        <w:rPr>
          <w:rFonts w:ascii="Arial" w:hAnsi="Arial" w:cs="Arial"/>
          <w:color w:val="000000" w:themeColor="text1"/>
        </w:rPr>
      </w:pPr>
    </w:p>
    <w:p w14:paraId="06635378" w14:textId="77777777" w:rsidR="00270042" w:rsidRPr="00562D27" w:rsidRDefault="00270042" w:rsidP="00270042">
      <w:pPr>
        <w:pStyle w:val="Ttulo4"/>
        <w:jc w:val="both"/>
        <w:rPr>
          <w:rFonts w:ascii="Arial" w:hAnsi="Arial" w:cs="Arial"/>
          <w:color w:val="000000" w:themeColor="text1"/>
        </w:rPr>
      </w:pPr>
      <w:r w:rsidRPr="00562D27">
        <w:rPr>
          <w:rFonts w:ascii="Arial" w:hAnsi="Arial" w:cs="Arial"/>
          <w:color w:val="000000" w:themeColor="text1"/>
        </w:rPr>
        <w:t>3.3.1.1 Implementação operacional: identificador municipal e suporte do painel</w:t>
      </w:r>
    </w:p>
    <w:p w14:paraId="2B85DB17" w14:textId="77777777" w:rsidR="00270042" w:rsidRPr="00562D27" w:rsidRDefault="00270042" w:rsidP="00270042">
      <w:pPr>
        <w:spacing w:after="0"/>
        <w:jc w:val="both"/>
        <w:rPr>
          <w:rFonts w:ascii="Arial" w:hAnsi="Arial" w:cs="Arial"/>
          <w:color w:val="000000" w:themeColor="text1"/>
        </w:rPr>
      </w:pPr>
    </w:p>
    <w:p w14:paraId="4932D98C" w14:textId="77777777" w:rsidR="00270042" w:rsidRPr="00562D27" w:rsidRDefault="00270042" w:rsidP="00270042">
      <w:pPr>
        <w:pStyle w:val="EstiloJustificadoDepoisde0pt"/>
        <w:rPr>
          <w:rFonts w:eastAsiaTheme="minorEastAsia"/>
        </w:rPr>
      </w:pPr>
      <w:r w:rsidRPr="00562D27">
        <w:rPr>
          <w:b/>
          <w:bCs/>
        </w:rPr>
        <w:tab/>
      </w:r>
      <w:r w:rsidRPr="00562D27">
        <w:t xml:space="preserve">A implementação empírica requer cuidados operacionais para evitar distorções na unidade geográfica e na definição do suporte amostral. Primeiro, municípios homônimos em estados distintos podem induzir colapsos espúrios quando a identificação geográfica depende apenas do nome do município, por isso, recomenda-se (e foi adotado no exercício empírico principal) o uso de um identificador municipal único, por exemplo, código IBGE ou, na ausência deste, uma chave composta UF + nome. Segundo a coerência do desfecho </w:t>
      </w:r>
      <m:oMath>
        <m:sSub>
          <m:sSubPr>
            <m:ctrlPr>
              <w:rPr>
                <w:rFonts w:ascii="Cambria Math" w:hAnsi="Cambria Math"/>
              </w:rPr>
            </m:ctrlPr>
          </m:sSubPr>
          <m:e>
            <m:r>
              <w:rPr>
                <w:rFonts w:ascii="Cambria Math" w:hAnsi="Cambria Math"/>
              </w:rPr>
              <m:t>Y</m:t>
            </m:r>
          </m:e>
          <m:sub>
            <m:r>
              <w:rPr>
                <w:rFonts w:ascii="Cambria Math" w:hAnsi="Cambria Math"/>
              </w:rPr>
              <m:t>mst</m:t>
            </m:r>
          </m:sub>
        </m:sSub>
      </m:oMath>
      <w:r w:rsidRPr="00562D27">
        <w:rPr>
          <w:i/>
          <w:iCs/>
          <w:vertAlign w:val="subscript"/>
        </w:rPr>
        <w:t xml:space="preserve"> </w:t>
      </w:r>
      <w:r w:rsidRPr="00562D27">
        <w:t xml:space="preserve">= </w:t>
      </w:r>
      <m:oMath>
        <m:r>
          <w:rPr>
            <w:rFonts w:ascii="Cambria Math" w:hAnsi="Cambria Math"/>
          </w:rPr>
          <w:lastRenderedPageBreak/>
          <m:t>ln</m:t>
        </m:r>
        <m:sSub>
          <m:sSubPr>
            <m:ctrlPr>
              <w:rPr>
                <w:rFonts w:ascii="Cambria Math" w:hAnsi="Cambria Math"/>
              </w:rPr>
            </m:ctrlPr>
          </m:sSubPr>
          <m:e>
            <m:r>
              <w:rPr>
                <w:rFonts w:ascii="Cambria Math" w:hAnsi="Cambria Math"/>
              </w:rPr>
              <m:t>(Emp</m:t>
            </m:r>
          </m:e>
          <m:sub>
            <m:r>
              <w:rPr>
                <w:rFonts w:ascii="Cambria Math" w:hAnsi="Cambria Math"/>
              </w:rPr>
              <m:t>mst</m:t>
            </m:r>
          </m:sub>
        </m:sSub>
        <m:r>
          <w:rPr>
            <w:rFonts w:ascii="Cambria Math" w:eastAsiaTheme="minorEastAsia" w:hAnsi="Cambria Math"/>
          </w:rPr>
          <m:t>+1)</m:t>
        </m:r>
      </m:oMath>
      <w:r w:rsidRPr="00562D27">
        <w:rPr>
          <w:rFonts w:eastAsiaTheme="minorEastAsia"/>
        </w:rPr>
        <w:t xml:space="preserve"> recomenda complementar o painel no nível município x setor x ano, atribuindo </w:t>
      </w:r>
      <m:oMath>
        <m:sSub>
          <m:sSubPr>
            <m:ctrlPr>
              <w:rPr>
                <w:rFonts w:ascii="Cambria Math" w:hAnsi="Cambria Math"/>
              </w:rPr>
            </m:ctrlPr>
          </m:sSubPr>
          <m:e>
            <m:r>
              <w:rPr>
                <w:rFonts w:ascii="Cambria Math" w:hAnsi="Cambria Math"/>
              </w:rPr>
              <m:t>Emp</m:t>
            </m:r>
          </m:e>
          <m:sub>
            <m:r>
              <w:rPr>
                <w:rFonts w:ascii="Cambria Math" w:hAnsi="Cambria Math"/>
              </w:rPr>
              <m:t>mst</m:t>
            </m:r>
          </m:sub>
        </m:sSub>
        <m:r>
          <w:rPr>
            <w:rFonts w:ascii="Cambria Math" w:hAnsi="Cambria Math"/>
          </w:rPr>
          <m:t>=0</m:t>
        </m:r>
      </m:oMath>
      <w:r w:rsidRPr="00562D27">
        <w:rPr>
          <w:rFonts w:eastAsiaTheme="minorEastAsia"/>
        </w:rPr>
        <w:t xml:space="preserve"> para combinações sem vínculos observados no setor/ano. Esse procedimento evita seleção de suporte, isto é, manter apenas células com emprego positivo, e alinha a construção do desfecho à interpretação do logaritmo com ajuste unitário.</w:t>
      </w:r>
    </w:p>
    <w:p w14:paraId="3ED0A1AE" w14:textId="77777777" w:rsidR="00270042" w:rsidRPr="00562D27" w:rsidRDefault="00270042" w:rsidP="00270042">
      <w:pPr>
        <w:spacing w:after="0"/>
        <w:jc w:val="both"/>
        <w:rPr>
          <w:rFonts w:ascii="Arial" w:eastAsiaTheme="minorEastAsia" w:hAnsi="Arial" w:cs="Arial"/>
        </w:rPr>
      </w:pPr>
    </w:p>
    <w:p w14:paraId="64D77789" w14:textId="77777777" w:rsidR="00270042" w:rsidRPr="00562D27" w:rsidRDefault="00270042" w:rsidP="00270042">
      <w:pPr>
        <w:pStyle w:val="Ttulo3"/>
        <w:jc w:val="both"/>
        <w:rPr>
          <w:rFonts w:ascii="Arial" w:eastAsiaTheme="minorEastAsia" w:hAnsi="Arial" w:cs="Arial"/>
          <w:color w:val="000000" w:themeColor="text1"/>
          <w:sz w:val="24"/>
          <w:szCs w:val="24"/>
        </w:rPr>
      </w:pPr>
      <w:bookmarkStart w:id="5" w:name="_Toc225542319"/>
      <w:r w:rsidRPr="00562D27">
        <w:rPr>
          <w:rFonts w:ascii="Arial" w:eastAsiaTheme="minorEastAsia" w:hAnsi="Arial" w:cs="Arial"/>
          <w:color w:val="000000" w:themeColor="text1"/>
          <w:sz w:val="24"/>
          <w:szCs w:val="24"/>
        </w:rPr>
        <w:t>3.3.2 Base de dados</w:t>
      </w:r>
      <w:bookmarkEnd w:id="5"/>
    </w:p>
    <w:p w14:paraId="3911AF1E" w14:textId="77777777" w:rsidR="00270042" w:rsidRPr="00562D27" w:rsidRDefault="00270042" w:rsidP="00270042">
      <w:pPr>
        <w:spacing w:after="0"/>
        <w:jc w:val="both"/>
        <w:rPr>
          <w:rFonts w:ascii="Arial" w:hAnsi="Arial" w:cs="Arial"/>
        </w:rPr>
      </w:pPr>
    </w:p>
    <w:p w14:paraId="7677DE66" w14:textId="77777777" w:rsidR="00270042" w:rsidRDefault="00270042" w:rsidP="00270042">
      <w:pPr>
        <w:pStyle w:val="EstiloJustificadoDepoisde0pt"/>
        <w:rPr>
          <w:rFonts w:eastAsiaTheme="minorEastAsia"/>
        </w:rPr>
      </w:pPr>
      <w:r w:rsidRPr="00562D27">
        <w:tab/>
        <w:t xml:space="preserve">Neste estudo são utilizados os microdados da RAIS (Relação Anual de Informações Sociais), contemplando os vínculos ativos em 31/12 para cada ano, no período de 2014 a 2023, para os estados da Bahia, São Paulo e Ceará. A unidade analítica do painel é construída por agregação dos microdados ao nível município x setor (CNAE) x ano, somando-se vínculos formais ativos no setor </w:t>
      </w:r>
      <m:oMath>
        <m:r>
          <w:rPr>
            <w:rFonts w:ascii="Cambria Math" w:hAnsi="Cambria Math"/>
          </w:rPr>
          <m:t>s</m:t>
        </m:r>
      </m:oMath>
      <w:r w:rsidRPr="00562D27">
        <w:rPr>
          <w:i/>
          <w:iCs/>
        </w:rPr>
        <w:t xml:space="preserve"> </w:t>
      </w:r>
      <w:r w:rsidRPr="00562D27">
        <w:t xml:space="preserve">e município </w:t>
      </w:r>
      <m:oMath>
        <m:r>
          <w:rPr>
            <w:rFonts w:ascii="Cambria Math" w:hAnsi="Cambria Math"/>
          </w:rPr>
          <m:t>m</m:t>
        </m:r>
      </m:oMath>
      <w:r w:rsidRPr="00562D27">
        <w:t xml:space="preserve"> em cada ano </w:t>
      </w:r>
      <m:oMath>
        <m:r>
          <w:rPr>
            <w:rFonts w:ascii="Cambria Math" w:hAnsi="Cambria Math"/>
          </w:rPr>
          <m:t>t</m:t>
        </m:r>
      </m:oMath>
      <w:r w:rsidRPr="00562D27">
        <w:rPr>
          <w:rFonts w:eastAsiaTheme="minorEastAsia"/>
        </w:rPr>
        <w:t>. A variável de interesse é o número de empregos/vínculos no setor automobilístico, definido por grupos CNAE 2.0, e a amostra inclui tanto municípios expostos ao choque, como Camaçari, Taubaté e Horizonte quanto municípios não expostos nos três Estados.</w:t>
      </w:r>
    </w:p>
    <w:p w14:paraId="6F9BDA59" w14:textId="77777777" w:rsidR="00270042" w:rsidRDefault="00270042" w:rsidP="00270042">
      <w:pPr>
        <w:spacing w:after="0"/>
        <w:jc w:val="both"/>
        <w:rPr>
          <w:rFonts w:ascii="Arial" w:eastAsiaTheme="minorEastAsia" w:hAnsi="Arial" w:cs="Arial"/>
        </w:rPr>
      </w:pPr>
    </w:p>
    <w:p w14:paraId="49148CBB" w14:textId="77777777" w:rsidR="00270042" w:rsidRDefault="00270042" w:rsidP="00270042">
      <w:pPr>
        <w:pStyle w:val="Legenda"/>
        <w:keepNext/>
        <w:spacing w:after="240"/>
      </w:pPr>
      <w:bookmarkStart w:id="6" w:name="_Ref225537512"/>
      <w:bookmarkStart w:id="7" w:name="_Toc225538296"/>
      <w:r>
        <w:t xml:space="preserve">Tabela </w:t>
      </w:r>
      <w:r>
        <w:fldChar w:fldCharType="begin"/>
      </w:r>
      <w:r>
        <w:instrText xml:space="preserve"> SEQ Tabela \* ARABIC </w:instrText>
      </w:r>
      <w:r>
        <w:fldChar w:fldCharType="separate"/>
      </w:r>
      <w:r>
        <w:rPr>
          <w:noProof/>
        </w:rPr>
        <w:t>8</w:t>
      </w:r>
      <w:r>
        <w:rPr>
          <w:noProof/>
        </w:rPr>
        <w:fldChar w:fldCharType="end"/>
      </w:r>
      <w:bookmarkEnd w:id="6"/>
      <w:r>
        <w:t xml:space="preserve"> - </w:t>
      </w:r>
      <w:r w:rsidRPr="002E23D5">
        <w:t>Estatística descritiva da base de dados.</w:t>
      </w:r>
      <w:bookmarkEnd w:id="7"/>
    </w:p>
    <w:tbl>
      <w:tblPr>
        <w:tblW w:w="7986" w:type="dxa"/>
        <w:jc w:val="center"/>
        <w:tblCellMar>
          <w:left w:w="70" w:type="dxa"/>
          <w:right w:w="70" w:type="dxa"/>
        </w:tblCellMar>
        <w:tblLook w:val="04A0" w:firstRow="1" w:lastRow="0" w:firstColumn="1" w:lastColumn="0" w:noHBand="0" w:noVBand="1"/>
      </w:tblPr>
      <w:tblGrid>
        <w:gridCol w:w="95"/>
        <w:gridCol w:w="674"/>
        <w:gridCol w:w="1783"/>
        <w:gridCol w:w="1812"/>
        <w:gridCol w:w="875"/>
        <w:gridCol w:w="1008"/>
        <w:gridCol w:w="927"/>
        <w:gridCol w:w="981"/>
      </w:tblGrid>
      <w:tr w:rsidR="00270042" w:rsidRPr="009B48B2" w14:paraId="652B2C2F" w14:textId="77777777" w:rsidTr="00431692">
        <w:trPr>
          <w:trHeight w:val="300"/>
          <w:jc w:val="center"/>
        </w:trPr>
        <w:tc>
          <w:tcPr>
            <w:tcW w:w="769" w:type="dxa"/>
            <w:gridSpan w:val="2"/>
            <w:tcBorders>
              <w:top w:val="nil"/>
              <w:left w:val="nil"/>
              <w:bottom w:val="single" w:sz="4" w:space="0" w:color="auto"/>
              <w:right w:val="nil"/>
            </w:tcBorders>
            <w:noWrap/>
            <w:vAlign w:val="bottom"/>
            <w:hideMark/>
          </w:tcPr>
          <w:p w14:paraId="3467BA46"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Ano</w:t>
            </w:r>
          </w:p>
        </w:tc>
        <w:tc>
          <w:tcPr>
            <w:tcW w:w="1783" w:type="dxa"/>
            <w:tcBorders>
              <w:top w:val="nil"/>
              <w:left w:val="nil"/>
              <w:bottom w:val="single" w:sz="4" w:space="0" w:color="auto"/>
              <w:right w:val="nil"/>
            </w:tcBorders>
            <w:noWrap/>
            <w:vAlign w:val="bottom"/>
            <w:hideMark/>
          </w:tcPr>
          <w:p w14:paraId="0A61EF31"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N° Municípios</w:t>
            </w:r>
          </w:p>
        </w:tc>
        <w:tc>
          <w:tcPr>
            <w:tcW w:w="1812" w:type="dxa"/>
            <w:tcBorders>
              <w:top w:val="nil"/>
              <w:left w:val="nil"/>
              <w:bottom w:val="single" w:sz="4" w:space="0" w:color="auto"/>
              <w:right w:val="nil"/>
            </w:tcBorders>
            <w:noWrap/>
            <w:vAlign w:val="bottom"/>
            <w:hideMark/>
          </w:tcPr>
          <w:p w14:paraId="6A21E385"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Total Emprego</w:t>
            </w:r>
          </w:p>
        </w:tc>
        <w:tc>
          <w:tcPr>
            <w:tcW w:w="809" w:type="dxa"/>
            <w:tcBorders>
              <w:top w:val="nil"/>
              <w:left w:val="nil"/>
              <w:bottom w:val="single" w:sz="4" w:space="0" w:color="auto"/>
              <w:right w:val="nil"/>
            </w:tcBorders>
            <w:noWrap/>
            <w:vAlign w:val="bottom"/>
            <w:hideMark/>
          </w:tcPr>
          <w:p w14:paraId="3122526A"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Média</w:t>
            </w:r>
          </w:p>
        </w:tc>
        <w:tc>
          <w:tcPr>
            <w:tcW w:w="930" w:type="dxa"/>
            <w:tcBorders>
              <w:top w:val="nil"/>
              <w:left w:val="nil"/>
              <w:bottom w:val="single" w:sz="4" w:space="0" w:color="auto"/>
              <w:right w:val="nil"/>
            </w:tcBorders>
            <w:noWrap/>
            <w:vAlign w:val="bottom"/>
            <w:hideMark/>
          </w:tcPr>
          <w:p w14:paraId="0CC071F8"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SD</w:t>
            </w:r>
          </w:p>
        </w:tc>
        <w:tc>
          <w:tcPr>
            <w:tcW w:w="921" w:type="dxa"/>
            <w:tcBorders>
              <w:top w:val="nil"/>
              <w:left w:val="nil"/>
              <w:bottom w:val="single" w:sz="4" w:space="0" w:color="auto"/>
              <w:right w:val="nil"/>
            </w:tcBorders>
            <w:noWrap/>
            <w:vAlign w:val="bottom"/>
            <w:hideMark/>
          </w:tcPr>
          <w:p w14:paraId="4DE0F92E"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Mínimo</w:t>
            </w:r>
          </w:p>
        </w:tc>
        <w:tc>
          <w:tcPr>
            <w:tcW w:w="962" w:type="dxa"/>
            <w:tcBorders>
              <w:top w:val="nil"/>
              <w:left w:val="nil"/>
              <w:bottom w:val="single" w:sz="4" w:space="0" w:color="auto"/>
              <w:right w:val="nil"/>
            </w:tcBorders>
            <w:noWrap/>
            <w:vAlign w:val="bottom"/>
            <w:hideMark/>
          </w:tcPr>
          <w:p w14:paraId="4AC43B7E"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Máximo</w:t>
            </w:r>
          </w:p>
        </w:tc>
      </w:tr>
      <w:tr w:rsidR="00270042" w:rsidRPr="009B48B2" w14:paraId="3BA22CC1" w14:textId="77777777" w:rsidTr="00431692">
        <w:trPr>
          <w:gridBefore w:val="1"/>
          <w:wBefore w:w="142" w:type="dxa"/>
          <w:trHeight w:val="300"/>
          <w:jc w:val="center"/>
        </w:trPr>
        <w:tc>
          <w:tcPr>
            <w:tcW w:w="627" w:type="dxa"/>
            <w:tcBorders>
              <w:top w:val="single" w:sz="4" w:space="0" w:color="auto"/>
              <w:left w:val="nil"/>
              <w:bottom w:val="nil"/>
              <w:right w:val="nil"/>
            </w:tcBorders>
            <w:noWrap/>
            <w:vAlign w:val="bottom"/>
            <w:hideMark/>
          </w:tcPr>
          <w:p w14:paraId="444AF7FE"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2014</w:t>
            </w:r>
          </w:p>
        </w:tc>
        <w:tc>
          <w:tcPr>
            <w:tcW w:w="1783" w:type="dxa"/>
            <w:tcBorders>
              <w:top w:val="single" w:sz="4" w:space="0" w:color="auto"/>
              <w:left w:val="nil"/>
              <w:bottom w:val="nil"/>
              <w:right w:val="nil"/>
            </w:tcBorders>
            <w:noWrap/>
            <w:vAlign w:val="bottom"/>
            <w:hideMark/>
          </w:tcPr>
          <w:p w14:paraId="0B189ADA"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1015</w:t>
            </w:r>
          </w:p>
        </w:tc>
        <w:tc>
          <w:tcPr>
            <w:tcW w:w="1812" w:type="dxa"/>
            <w:tcBorders>
              <w:top w:val="single" w:sz="4" w:space="0" w:color="auto"/>
              <w:left w:val="nil"/>
              <w:bottom w:val="nil"/>
              <w:right w:val="nil"/>
            </w:tcBorders>
            <w:noWrap/>
            <w:vAlign w:val="bottom"/>
            <w:hideMark/>
          </w:tcPr>
          <w:p w14:paraId="49F94CED"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621609</w:t>
            </w:r>
          </w:p>
        </w:tc>
        <w:tc>
          <w:tcPr>
            <w:tcW w:w="809" w:type="dxa"/>
            <w:tcBorders>
              <w:top w:val="single" w:sz="4" w:space="0" w:color="auto"/>
              <w:left w:val="nil"/>
              <w:bottom w:val="nil"/>
              <w:right w:val="nil"/>
            </w:tcBorders>
            <w:noWrap/>
            <w:vAlign w:val="bottom"/>
            <w:hideMark/>
          </w:tcPr>
          <w:p w14:paraId="7C08EE9F"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610,62</w:t>
            </w:r>
          </w:p>
        </w:tc>
        <w:tc>
          <w:tcPr>
            <w:tcW w:w="930" w:type="dxa"/>
            <w:tcBorders>
              <w:top w:val="single" w:sz="4" w:space="0" w:color="auto"/>
              <w:left w:val="nil"/>
              <w:bottom w:val="nil"/>
              <w:right w:val="nil"/>
            </w:tcBorders>
            <w:noWrap/>
            <w:vAlign w:val="bottom"/>
            <w:hideMark/>
          </w:tcPr>
          <w:p w14:paraId="7DB73162"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3961,07</w:t>
            </w:r>
          </w:p>
        </w:tc>
        <w:tc>
          <w:tcPr>
            <w:tcW w:w="921" w:type="dxa"/>
            <w:tcBorders>
              <w:top w:val="single" w:sz="4" w:space="0" w:color="auto"/>
              <w:left w:val="nil"/>
              <w:bottom w:val="nil"/>
              <w:right w:val="nil"/>
            </w:tcBorders>
            <w:noWrap/>
            <w:vAlign w:val="bottom"/>
            <w:hideMark/>
          </w:tcPr>
          <w:p w14:paraId="77EE84E5"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1</w:t>
            </w:r>
          </w:p>
        </w:tc>
        <w:tc>
          <w:tcPr>
            <w:tcW w:w="962" w:type="dxa"/>
            <w:tcBorders>
              <w:top w:val="single" w:sz="4" w:space="0" w:color="auto"/>
              <w:left w:val="nil"/>
              <w:bottom w:val="nil"/>
              <w:right w:val="nil"/>
            </w:tcBorders>
            <w:noWrap/>
            <w:vAlign w:val="bottom"/>
            <w:hideMark/>
          </w:tcPr>
          <w:p w14:paraId="146D2E9E"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103013</w:t>
            </w:r>
          </w:p>
        </w:tc>
      </w:tr>
      <w:tr w:rsidR="00270042" w:rsidRPr="009B48B2" w14:paraId="101E4445" w14:textId="77777777" w:rsidTr="00431692">
        <w:trPr>
          <w:gridBefore w:val="1"/>
          <w:wBefore w:w="142" w:type="dxa"/>
          <w:trHeight w:val="300"/>
          <w:jc w:val="center"/>
        </w:trPr>
        <w:tc>
          <w:tcPr>
            <w:tcW w:w="627" w:type="dxa"/>
            <w:tcBorders>
              <w:top w:val="nil"/>
              <w:left w:val="nil"/>
              <w:bottom w:val="nil"/>
              <w:right w:val="nil"/>
            </w:tcBorders>
            <w:noWrap/>
            <w:vAlign w:val="bottom"/>
            <w:hideMark/>
          </w:tcPr>
          <w:p w14:paraId="579BBB48"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2015</w:t>
            </w:r>
          </w:p>
        </w:tc>
        <w:tc>
          <w:tcPr>
            <w:tcW w:w="1783" w:type="dxa"/>
            <w:tcBorders>
              <w:top w:val="nil"/>
              <w:left w:val="nil"/>
              <w:bottom w:val="nil"/>
              <w:right w:val="nil"/>
            </w:tcBorders>
            <w:noWrap/>
            <w:vAlign w:val="bottom"/>
            <w:hideMark/>
          </w:tcPr>
          <w:p w14:paraId="0C6CAAD3"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1012</w:t>
            </w:r>
          </w:p>
        </w:tc>
        <w:tc>
          <w:tcPr>
            <w:tcW w:w="1812" w:type="dxa"/>
            <w:tcBorders>
              <w:top w:val="nil"/>
              <w:left w:val="nil"/>
              <w:bottom w:val="nil"/>
              <w:right w:val="nil"/>
            </w:tcBorders>
            <w:noWrap/>
            <w:vAlign w:val="bottom"/>
            <w:hideMark/>
          </w:tcPr>
          <w:p w14:paraId="3FE2292F"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571863</w:t>
            </w:r>
          </w:p>
        </w:tc>
        <w:tc>
          <w:tcPr>
            <w:tcW w:w="809" w:type="dxa"/>
            <w:tcBorders>
              <w:top w:val="nil"/>
              <w:left w:val="nil"/>
              <w:bottom w:val="nil"/>
              <w:right w:val="nil"/>
            </w:tcBorders>
            <w:noWrap/>
            <w:vAlign w:val="bottom"/>
            <w:hideMark/>
          </w:tcPr>
          <w:p w14:paraId="6252C351"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562,86</w:t>
            </w:r>
          </w:p>
        </w:tc>
        <w:tc>
          <w:tcPr>
            <w:tcW w:w="930" w:type="dxa"/>
            <w:tcBorders>
              <w:top w:val="nil"/>
              <w:left w:val="nil"/>
              <w:bottom w:val="nil"/>
              <w:right w:val="nil"/>
            </w:tcBorders>
            <w:noWrap/>
            <w:vAlign w:val="bottom"/>
            <w:hideMark/>
          </w:tcPr>
          <w:p w14:paraId="1C1BF310"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3600,38</w:t>
            </w:r>
          </w:p>
        </w:tc>
        <w:tc>
          <w:tcPr>
            <w:tcW w:w="921" w:type="dxa"/>
            <w:tcBorders>
              <w:top w:val="nil"/>
              <w:left w:val="nil"/>
              <w:bottom w:val="nil"/>
              <w:right w:val="nil"/>
            </w:tcBorders>
            <w:noWrap/>
            <w:vAlign w:val="bottom"/>
            <w:hideMark/>
          </w:tcPr>
          <w:p w14:paraId="77487138"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1</w:t>
            </w:r>
          </w:p>
        </w:tc>
        <w:tc>
          <w:tcPr>
            <w:tcW w:w="962" w:type="dxa"/>
            <w:tcBorders>
              <w:top w:val="nil"/>
              <w:left w:val="nil"/>
              <w:bottom w:val="nil"/>
              <w:right w:val="nil"/>
            </w:tcBorders>
            <w:noWrap/>
            <w:vAlign w:val="bottom"/>
            <w:hideMark/>
          </w:tcPr>
          <w:p w14:paraId="312C6B54"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92874</w:t>
            </w:r>
          </w:p>
        </w:tc>
      </w:tr>
      <w:tr w:rsidR="00270042" w:rsidRPr="009B48B2" w14:paraId="7263DD8E" w14:textId="77777777" w:rsidTr="00431692">
        <w:trPr>
          <w:gridBefore w:val="1"/>
          <w:wBefore w:w="142" w:type="dxa"/>
          <w:trHeight w:val="300"/>
          <w:jc w:val="center"/>
        </w:trPr>
        <w:tc>
          <w:tcPr>
            <w:tcW w:w="627" w:type="dxa"/>
            <w:tcBorders>
              <w:top w:val="nil"/>
              <w:left w:val="nil"/>
              <w:bottom w:val="nil"/>
              <w:right w:val="nil"/>
            </w:tcBorders>
            <w:noWrap/>
            <w:vAlign w:val="bottom"/>
            <w:hideMark/>
          </w:tcPr>
          <w:p w14:paraId="742DBADE"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2016</w:t>
            </w:r>
          </w:p>
        </w:tc>
        <w:tc>
          <w:tcPr>
            <w:tcW w:w="1783" w:type="dxa"/>
            <w:tcBorders>
              <w:top w:val="nil"/>
              <w:left w:val="nil"/>
              <w:bottom w:val="nil"/>
              <w:right w:val="nil"/>
            </w:tcBorders>
            <w:noWrap/>
            <w:vAlign w:val="bottom"/>
            <w:hideMark/>
          </w:tcPr>
          <w:p w14:paraId="1966D282"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1031</w:t>
            </w:r>
          </w:p>
        </w:tc>
        <w:tc>
          <w:tcPr>
            <w:tcW w:w="1812" w:type="dxa"/>
            <w:tcBorders>
              <w:top w:val="nil"/>
              <w:left w:val="nil"/>
              <w:bottom w:val="nil"/>
              <w:right w:val="nil"/>
            </w:tcBorders>
            <w:noWrap/>
            <w:vAlign w:val="bottom"/>
            <w:hideMark/>
          </w:tcPr>
          <w:p w14:paraId="18A68272"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536980</w:t>
            </w:r>
          </w:p>
        </w:tc>
        <w:tc>
          <w:tcPr>
            <w:tcW w:w="809" w:type="dxa"/>
            <w:tcBorders>
              <w:top w:val="nil"/>
              <w:left w:val="nil"/>
              <w:bottom w:val="nil"/>
              <w:right w:val="nil"/>
            </w:tcBorders>
            <w:noWrap/>
            <w:vAlign w:val="bottom"/>
            <w:hideMark/>
          </w:tcPr>
          <w:p w14:paraId="46E71240"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519,32</w:t>
            </w:r>
          </w:p>
        </w:tc>
        <w:tc>
          <w:tcPr>
            <w:tcW w:w="930" w:type="dxa"/>
            <w:tcBorders>
              <w:top w:val="nil"/>
              <w:left w:val="nil"/>
              <w:bottom w:val="nil"/>
              <w:right w:val="nil"/>
            </w:tcBorders>
            <w:noWrap/>
            <w:vAlign w:val="bottom"/>
            <w:hideMark/>
          </w:tcPr>
          <w:p w14:paraId="29B3FBFD"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3315,82</w:t>
            </w:r>
          </w:p>
        </w:tc>
        <w:tc>
          <w:tcPr>
            <w:tcW w:w="921" w:type="dxa"/>
            <w:tcBorders>
              <w:top w:val="nil"/>
              <w:left w:val="nil"/>
              <w:bottom w:val="nil"/>
              <w:right w:val="nil"/>
            </w:tcBorders>
            <w:noWrap/>
            <w:vAlign w:val="bottom"/>
            <w:hideMark/>
          </w:tcPr>
          <w:p w14:paraId="78D6F179"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1</w:t>
            </w:r>
          </w:p>
        </w:tc>
        <w:tc>
          <w:tcPr>
            <w:tcW w:w="962" w:type="dxa"/>
            <w:tcBorders>
              <w:top w:val="nil"/>
              <w:left w:val="nil"/>
              <w:bottom w:val="nil"/>
              <w:right w:val="nil"/>
            </w:tcBorders>
            <w:noWrap/>
            <w:vAlign w:val="bottom"/>
            <w:hideMark/>
          </w:tcPr>
          <w:p w14:paraId="68FAA39E"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87253</w:t>
            </w:r>
          </w:p>
        </w:tc>
      </w:tr>
      <w:tr w:rsidR="00270042" w:rsidRPr="009B48B2" w14:paraId="2437126E" w14:textId="77777777" w:rsidTr="00431692">
        <w:trPr>
          <w:gridBefore w:val="1"/>
          <w:wBefore w:w="142" w:type="dxa"/>
          <w:trHeight w:val="300"/>
          <w:jc w:val="center"/>
        </w:trPr>
        <w:tc>
          <w:tcPr>
            <w:tcW w:w="627" w:type="dxa"/>
            <w:tcBorders>
              <w:top w:val="nil"/>
              <w:left w:val="nil"/>
              <w:bottom w:val="nil"/>
              <w:right w:val="nil"/>
            </w:tcBorders>
            <w:noWrap/>
            <w:vAlign w:val="bottom"/>
            <w:hideMark/>
          </w:tcPr>
          <w:p w14:paraId="7C3785C5"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2017</w:t>
            </w:r>
          </w:p>
        </w:tc>
        <w:tc>
          <w:tcPr>
            <w:tcW w:w="1783" w:type="dxa"/>
            <w:tcBorders>
              <w:top w:val="nil"/>
              <w:left w:val="nil"/>
              <w:bottom w:val="nil"/>
              <w:right w:val="nil"/>
            </w:tcBorders>
            <w:noWrap/>
            <w:vAlign w:val="bottom"/>
            <w:hideMark/>
          </w:tcPr>
          <w:p w14:paraId="7913DA10"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1027</w:t>
            </w:r>
          </w:p>
        </w:tc>
        <w:tc>
          <w:tcPr>
            <w:tcW w:w="1812" w:type="dxa"/>
            <w:tcBorders>
              <w:top w:val="nil"/>
              <w:left w:val="nil"/>
              <w:bottom w:val="nil"/>
              <w:right w:val="nil"/>
            </w:tcBorders>
            <w:noWrap/>
            <w:vAlign w:val="bottom"/>
            <w:hideMark/>
          </w:tcPr>
          <w:p w14:paraId="09A18FA0"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536815</w:t>
            </w:r>
          </w:p>
        </w:tc>
        <w:tc>
          <w:tcPr>
            <w:tcW w:w="809" w:type="dxa"/>
            <w:tcBorders>
              <w:top w:val="nil"/>
              <w:left w:val="nil"/>
              <w:bottom w:val="nil"/>
              <w:right w:val="nil"/>
            </w:tcBorders>
            <w:noWrap/>
            <w:vAlign w:val="bottom"/>
            <w:hideMark/>
          </w:tcPr>
          <w:p w14:paraId="160FB1B0"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521,18</w:t>
            </w:r>
          </w:p>
        </w:tc>
        <w:tc>
          <w:tcPr>
            <w:tcW w:w="930" w:type="dxa"/>
            <w:tcBorders>
              <w:top w:val="nil"/>
              <w:left w:val="nil"/>
              <w:bottom w:val="nil"/>
              <w:right w:val="nil"/>
            </w:tcBorders>
            <w:noWrap/>
            <w:vAlign w:val="bottom"/>
            <w:hideMark/>
          </w:tcPr>
          <w:p w14:paraId="73206821"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3332,61</w:t>
            </w:r>
          </w:p>
        </w:tc>
        <w:tc>
          <w:tcPr>
            <w:tcW w:w="921" w:type="dxa"/>
            <w:tcBorders>
              <w:top w:val="nil"/>
              <w:left w:val="nil"/>
              <w:bottom w:val="nil"/>
              <w:right w:val="nil"/>
            </w:tcBorders>
            <w:noWrap/>
            <w:vAlign w:val="bottom"/>
            <w:hideMark/>
          </w:tcPr>
          <w:p w14:paraId="3D47A6DC"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1</w:t>
            </w:r>
          </w:p>
        </w:tc>
        <w:tc>
          <w:tcPr>
            <w:tcW w:w="962" w:type="dxa"/>
            <w:tcBorders>
              <w:top w:val="nil"/>
              <w:left w:val="nil"/>
              <w:bottom w:val="nil"/>
              <w:right w:val="nil"/>
            </w:tcBorders>
            <w:noWrap/>
            <w:vAlign w:val="bottom"/>
            <w:hideMark/>
          </w:tcPr>
          <w:p w14:paraId="00D91CEB"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88335</w:t>
            </w:r>
          </w:p>
        </w:tc>
      </w:tr>
      <w:tr w:rsidR="00270042" w:rsidRPr="009B48B2" w14:paraId="3C239DFD" w14:textId="77777777" w:rsidTr="00431692">
        <w:trPr>
          <w:gridBefore w:val="1"/>
          <w:wBefore w:w="142" w:type="dxa"/>
          <w:trHeight w:val="300"/>
          <w:jc w:val="center"/>
        </w:trPr>
        <w:tc>
          <w:tcPr>
            <w:tcW w:w="627" w:type="dxa"/>
            <w:tcBorders>
              <w:top w:val="nil"/>
              <w:left w:val="nil"/>
              <w:bottom w:val="nil"/>
              <w:right w:val="nil"/>
            </w:tcBorders>
            <w:noWrap/>
            <w:vAlign w:val="bottom"/>
            <w:hideMark/>
          </w:tcPr>
          <w:p w14:paraId="6FCABC22"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2018</w:t>
            </w:r>
          </w:p>
        </w:tc>
        <w:tc>
          <w:tcPr>
            <w:tcW w:w="1783" w:type="dxa"/>
            <w:tcBorders>
              <w:top w:val="nil"/>
              <w:left w:val="nil"/>
              <w:bottom w:val="nil"/>
              <w:right w:val="nil"/>
            </w:tcBorders>
            <w:noWrap/>
            <w:vAlign w:val="bottom"/>
            <w:hideMark/>
          </w:tcPr>
          <w:p w14:paraId="4FA05634"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1010</w:t>
            </w:r>
          </w:p>
        </w:tc>
        <w:tc>
          <w:tcPr>
            <w:tcW w:w="1812" w:type="dxa"/>
            <w:tcBorders>
              <w:top w:val="nil"/>
              <w:left w:val="nil"/>
              <w:bottom w:val="nil"/>
              <w:right w:val="nil"/>
            </w:tcBorders>
            <w:noWrap/>
            <w:vAlign w:val="bottom"/>
            <w:hideMark/>
          </w:tcPr>
          <w:p w14:paraId="5517F60F"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544385</w:t>
            </w:r>
          </w:p>
        </w:tc>
        <w:tc>
          <w:tcPr>
            <w:tcW w:w="809" w:type="dxa"/>
            <w:tcBorders>
              <w:top w:val="nil"/>
              <w:left w:val="nil"/>
              <w:bottom w:val="nil"/>
              <w:right w:val="nil"/>
            </w:tcBorders>
            <w:noWrap/>
            <w:vAlign w:val="bottom"/>
            <w:hideMark/>
          </w:tcPr>
          <w:p w14:paraId="1347903E"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536,87</w:t>
            </w:r>
          </w:p>
        </w:tc>
        <w:tc>
          <w:tcPr>
            <w:tcW w:w="930" w:type="dxa"/>
            <w:tcBorders>
              <w:top w:val="nil"/>
              <w:left w:val="nil"/>
              <w:bottom w:val="nil"/>
              <w:right w:val="nil"/>
            </w:tcBorders>
            <w:noWrap/>
            <w:vAlign w:val="bottom"/>
            <w:hideMark/>
          </w:tcPr>
          <w:p w14:paraId="3B75587D"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3370,26</w:t>
            </w:r>
          </w:p>
        </w:tc>
        <w:tc>
          <w:tcPr>
            <w:tcW w:w="921" w:type="dxa"/>
            <w:tcBorders>
              <w:top w:val="nil"/>
              <w:left w:val="nil"/>
              <w:bottom w:val="nil"/>
              <w:right w:val="nil"/>
            </w:tcBorders>
            <w:noWrap/>
            <w:vAlign w:val="bottom"/>
            <w:hideMark/>
          </w:tcPr>
          <w:p w14:paraId="1FD09592"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1</w:t>
            </w:r>
          </w:p>
        </w:tc>
        <w:tc>
          <w:tcPr>
            <w:tcW w:w="962" w:type="dxa"/>
            <w:tcBorders>
              <w:top w:val="nil"/>
              <w:left w:val="nil"/>
              <w:bottom w:val="nil"/>
              <w:right w:val="nil"/>
            </w:tcBorders>
            <w:noWrap/>
            <w:vAlign w:val="bottom"/>
            <w:hideMark/>
          </w:tcPr>
          <w:p w14:paraId="2006B392"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88158</w:t>
            </w:r>
          </w:p>
        </w:tc>
      </w:tr>
      <w:tr w:rsidR="00270042" w:rsidRPr="009B48B2" w14:paraId="6ACAFBA8" w14:textId="77777777" w:rsidTr="00431692">
        <w:trPr>
          <w:gridBefore w:val="1"/>
          <w:wBefore w:w="142" w:type="dxa"/>
          <w:trHeight w:val="300"/>
          <w:jc w:val="center"/>
        </w:trPr>
        <w:tc>
          <w:tcPr>
            <w:tcW w:w="627" w:type="dxa"/>
            <w:tcBorders>
              <w:top w:val="nil"/>
              <w:left w:val="nil"/>
              <w:bottom w:val="nil"/>
              <w:right w:val="nil"/>
            </w:tcBorders>
            <w:noWrap/>
            <w:vAlign w:val="bottom"/>
            <w:hideMark/>
          </w:tcPr>
          <w:p w14:paraId="3D70C45C"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2019</w:t>
            </w:r>
          </w:p>
        </w:tc>
        <w:tc>
          <w:tcPr>
            <w:tcW w:w="1783" w:type="dxa"/>
            <w:tcBorders>
              <w:top w:val="nil"/>
              <w:left w:val="nil"/>
              <w:bottom w:val="nil"/>
              <w:right w:val="nil"/>
            </w:tcBorders>
            <w:noWrap/>
            <w:vAlign w:val="bottom"/>
            <w:hideMark/>
          </w:tcPr>
          <w:p w14:paraId="2A29C1E8"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1020</w:t>
            </w:r>
          </w:p>
        </w:tc>
        <w:tc>
          <w:tcPr>
            <w:tcW w:w="1812" w:type="dxa"/>
            <w:tcBorders>
              <w:top w:val="nil"/>
              <w:left w:val="nil"/>
              <w:bottom w:val="nil"/>
              <w:right w:val="nil"/>
            </w:tcBorders>
            <w:noWrap/>
            <w:vAlign w:val="bottom"/>
            <w:hideMark/>
          </w:tcPr>
          <w:p w14:paraId="1F00BBDF"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542145</w:t>
            </w:r>
          </w:p>
        </w:tc>
        <w:tc>
          <w:tcPr>
            <w:tcW w:w="809" w:type="dxa"/>
            <w:tcBorders>
              <w:top w:val="nil"/>
              <w:left w:val="nil"/>
              <w:bottom w:val="nil"/>
              <w:right w:val="nil"/>
            </w:tcBorders>
            <w:noWrap/>
            <w:vAlign w:val="bottom"/>
            <w:hideMark/>
          </w:tcPr>
          <w:p w14:paraId="7A3424A3"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529,44</w:t>
            </w:r>
          </w:p>
        </w:tc>
        <w:tc>
          <w:tcPr>
            <w:tcW w:w="930" w:type="dxa"/>
            <w:tcBorders>
              <w:top w:val="nil"/>
              <w:left w:val="nil"/>
              <w:bottom w:val="nil"/>
              <w:right w:val="nil"/>
            </w:tcBorders>
            <w:noWrap/>
            <w:vAlign w:val="bottom"/>
            <w:hideMark/>
          </w:tcPr>
          <w:p w14:paraId="3D6E7E1F"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3214,00</w:t>
            </w:r>
          </w:p>
        </w:tc>
        <w:tc>
          <w:tcPr>
            <w:tcW w:w="921" w:type="dxa"/>
            <w:tcBorders>
              <w:top w:val="nil"/>
              <w:left w:val="nil"/>
              <w:bottom w:val="nil"/>
              <w:right w:val="nil"/>
            </w:tcBorders>
            <w:noWrap/>
            <w:vAlign w:val="bottom"/>
            <w:hideMark/>
          </w:tcPr>
          <w:p w14:paraId="52E93D4F"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1</w:t>
            </w:r>
          </w:p>
        </w:tc>
        <w:tc>
          <w:tcPr>
            <w:tcW w:w="962" w:type="dxa"/>
            <w:tcBorders>
              <w:top w:val="nil"/>
              <w:left w:val="nil"/>
              <w:bottom w:val="nil"/>
              <w:right w:val="nil"/>
            </w:tcBorders>
            <w:noWrap/>
            <w:vAlign w:val="bottom"/>
            <w:hideMark/>
          </w:tcPr>
          <w:p w14:paraId="58E1D591"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83311</w:t>
            </w:r>
          </w:p>
        </w:tc>
      </w:tr>
      <w:tr w:rsidR="00270042" w:rsidRPr="009B48B2" w14:paraId="7B7C27DC" w14:textId="77777777" w:rsidTr="00431692">
        <w:trPr>
          <w:gridBefore w:val="1"/>
          <w:wBefore w:w="142" w:type="dxa"/>
          <w:trHeight w:val="300"/>
          <w:jc w:val="center"/>
        </w:trPr>
        <w:tc>
          <w:tcPr>
            <w:tcW w:w="627" w:type="dxa"/>
            <w:tcBorders>
              <w:top w:val="nil"/>
              <w:left w:val="nil"/>
              <w:bottom w:val="nil"/>
              <w:right w:val="nil"/>
            </w:tcBorders>
            <w:noWrap/>
            <w:vAlign w:val="bottom"/>
            <w:hideMark/>
          </w:tcPr>
          <w:p w14:paraId="08255006"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2020</w:t>
            </w:r>
          </w:p>
        </w:tc>
        <w:tc>
          <w:tcPr>
            <w:tcW w:w="1783" w:type="dxa"/>
            <w:tcBorders>
              <w:top w:val="nil"/>
              <w:left w:val="nil"/>
              <w:bottom w:val="nil"/>
              <w:right w:val="nil"/>
            </w:tcBorders>
            <w:noWrap/>
            <w:vAlign w:val="bottom"/>
            <w:hideMark/>
          </w:tcPr>
          <w:p w14:paraId="1A7BB08D"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1014</w:t>
            </w:r>
          </w:p>
        </w:tc>
        <w:tc>
          <w:tcPr>
            <w:tcW w:w="1812" w:type="dxa"/>
            <w:tcBorders>
              <w:top w:val="nil"/>
              <w:left w:val="nil"/>
              <w:bottom w:val="nil"/>
              <w:right w:val="nil"/>
            </w:tcBorders>
            <w:noWrap/>
            <w:vAlign w:val="bottom"/>
            <w:hideMark/>
          </w:tcPr>
          <w:p w14:paraId="1630D7CF"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522832</w:t>
            </w:r>
          </w:p>
        </w:tc>
        <w:tc>
          <w:tcPr>
            <w:tcW w:w="809" w:type="dxa"/>
            <w:tcBorders>
              <w:top w:val="nil"/>
              <w:left w:val="nil"/>
              <w:bottom w:val="nil"/>
              <w:right w:val="nil"/>
            </w:tcBorders>
            <w:noWrap/>
            <w:vAlign w:val="bottom"/>
            <w:hideMark/>
          </w:tcPr>
          <w:p w14:paraId="6AD3D7B8"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513,59</w:t>
            </w:r>
          </w:p>
        </w:tc>
        <w:tc>
          <w:tcPr>
            <w:tcW w:w="930" w:type="dxa"/>
            <w:tcBorders>
              <w:top w:val="nil"/>
              <w:left w:val="nil"/>
              <w:bottom w:val="nil"/>
              <w:right w:val="nil"/>
            </w:tcBorders>
            <w:noWrap/>
            <w:vAlign w:val="bottom"/>
            <w:hideMark/>
          </w:tcPr>
          <w:p w14:paraId="5C079E89"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3033,37</w:t>
            </w:r>
          </w:p>
        </w:tc>
        <w:tc>
          <w:tcPr>
            <w:tcW w:w="921" w:type="dxa"/>
            <w:tcBorders>
              <w:top w:val="nil"/>
              <w:left w:val="nil"/>
              <w:bottom w:val="nil"/>
              <w:right w:val="nil"/>
            </w:tcBorders>
            <w:noWrap/>
            <w:vAlign w:val="bottom"/>
            <w:hideMark/>
          </w:tcPr>
          <w:p w14:paraId="2B59CECE"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1</w:t>
            </w:r>
          </w:p>
        </w:tc>
        <w:tc>
          <w:tcPr>
            <w:tcW w:w="962" w:type="dxa"/>
            <w:tcBorders>
              <w:top w:val="nil"/>
              <w:left w:val="nil"/>
              <w:bottom w:val="nil"/>
              <w:right w:val="nil"/>
            </w:tcBorders>
            <w:noWrap/>
            <w:vAlign w:val="bottom"/>
            <w:hideMark/>
          </w:tcPr>
          <w:p w14:paraId="2F5F70EE"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77898</w:t>
            </w:r>
          </w:p>
        </w:tc>
      </w:tr>
      <w:tr w:rsidR="00270042" w:rsidRPr="009B48B2" w14:paraId="0D54CCAA" w14:textId="77777777" w:rsidTr="00431692">
        <w:trPr>
          <w:gridBefore w:val="1"/>
          <w:wBefore w:w="142" w:type="dxa"/>
          <w:trHeight w:val="300"/>
          <w:jc w:val="center"/>
        </w:trPr>
        <w:tc>
          <w:tcPr>
            <w:tcW w:w="627" w:type="dxa"/>
            <w:tcBorders>
              <w:top w:val="nil"/>
              <w:left w:val="nil"/>
              <w:bottom w:val="nil"/>
              <w:right w:val="nil"/>
            </w:tcBorders>
            <w:noWrap/>
            <w:vAlign w:val="bottom"/>
            <w:hideMark/>
          </w:tcPr>
          <w:p w14:paraId="6512151C"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2021</w:t>
            </w:r>
          </w:p>
        </w:tc>
        <w:tc>
          <w:tcPr>
            <w:tcW w:w="1783" w:type="dxa"/>
            <w:tcBorders>
              <w:top w:val="nil"/>
              <w:left w:val="nil"/>
              <w:bottom w:val="nil"/>
              <w:right w:val="nil"/>
            </w:tcBorders>
            <w:noWrap/>
            <w:vAlign w:val="bottom"/>
            <w:hideMark/>
          </w:tcPr>
          <w:p w14:paraId="01C0CC7C"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1015</w:t>
            </w:r>
          </w:p>
        </w:tc>
        <w:tc>
          <w:tcPr>
            <w:tcW w:w="1812" w:type="dxa"/>
            <w:tcBorders>
              <w:top w:val="nil"/>
              <w:left w:val="nil"/>
              <w:bottom w:val="nil"/>
              <w:right w:val="nil"/>
            </w:tcBorders>
            <w:noWrap/>
            <w:vAlign w:val="bottom"/>
            <w:hideMark/>
          </w:tcPr>
          <w:p w14:paraId="5C716772"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536987</w:t>
            </w:r>
          </w:p>
        </w:tc>
        <w:tc>
          <w:tcPr>
            <w:tcW w:w="809" w:type="dxa"/>
            <w:tcBorders>
              <w:top w:val="nil"/>
              <w:left w:val="nil"/>
              <w:bottom w:val="nil"/>
              <w:right w:val="nil"/>
            </w:tcBorders>
            <w:noWrap/>
            <w:vAlign w:val="bottom"/>
            <w:hideMark/>
          </w:tcPr>
          <w:p w14:paraId="059A5550"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526,97</w:t>
            </w:r>
          </w:p>
        </w:tc>
        <w:tc>
          <w:tcPr>
            <w:tcW w:w="930" w:type="dxa"/>
            <w:tcBorders>
              <w:top w:val="nil"/>
              <w:left w:val="nil"/>
              <w:bottom w:val="nil"/>
              <w:right w:val="nil"/>
            </w:tcBorders>
            <w:noWrap/>
            <w:vAlign w:val="bottom"/>
            <w:hideMark/>
          </w:tcPr>
          <w:p w14:paraId="0CC7A0D4"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3124,24</w:t>
            </w:r>
          </w:p>
        </w:tc>
        <w:tc>
          <w:tcPr>
            <w:tcW w:w="921" w:type="dxa"/>
            <w:tcBorders>
              <w:top w:val="nil"/>
              <w:left w:val="nil"/>
              <w:bottom w:val="nil"/>
              <w:right w:val="nil"/>
            </w:tcBorders>
            <w:noWrap/>
            <w:vAlign w:val="bottom"/>
            <w:hideMark/>
          </w:tcPr>
          <w:p w14:paraId="6171926C"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1</w:t>
            </w:r>
          </w:p>
        </w:tc>
        <w:tc>
          <w:tcPr>
            <w:tcW w:w="962" w:type="dxa"/>
            <w:tcBorders>
              <w:top w:val="nil"/>
              <w:left w:val="nil"/>
              <w:bottom w:val="nil"/>
              <w:right w:val="nil"/>
            </w:tcBorders>
            <w:noWrap/>
            <w:vAlign w:val="bottom"/>
            <w:hideMark/>
          </w:tcPr>
          <w:p w14:paraId="5D0B15EB"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80596</w:t>
            </w:r>
          </w:p>
        </w:tc>
      </w:tr>
      <w:tr w:rsidR="00270042" w:rsidRPr="009B48B2" w14:paraId="5D8B4704" w14:textId="77777777" w:rsidTr="00431692">
        <w:trPr>
          <w:gridBefore w:val="1"/>
          <w:wBefore w:w="142" w:type="dxa"/>
          <w:trHeight w:val="300"/>
          <w:jc w:val="center"/>
        </w:trPr>
        <w:tc>
          <w:tcPr>
            <w:tcW w:w="627" w:type="dxa"/>
            <w:tcBorders>
              <w:top w:val="nil"/>
              <w:left w:val="nil"/>
              <w:right w:val="nil"/>
            </w:tcBorders>
            <w:noWrap/>
            <w:vAlign w:val="bottom"/>
            <w:hideMark/>
          </w:tcPr>
          <w:p w14:paraId="093C45A4"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2022</w:t>
            </w:r>
          </w:p>
        </w:tc>
        <w:tc>
          <w:tcPr>
            <w:tcW w:w="1783" w:type="dxa"/>
            <w:tcBorders>
              <w:top w:val="nil"/>
              <w:left w:val="nil"/>
              <w:right w:val="nil"/>
            </w:tcBorders>
            <w:noWrap/>
            <w:vAlign w:val="bottom"/>
            <w:hideMark/>
          </w:tcPr>
          <w:p w14:paraId="68485AAD"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1044</w:t>
            </w:r>
          </w:p>
        </w:tc>
        <w:tc>
          <w:tcPr>
            <w:tcW w:w="1812" w:type="dxa"/>
            <w:tcBorders>
              <w:top w:val="nil"/>
              <w:left w:val="nil"/>
              <w:right w:val="nil"/>
            </w:tcBorders>
            <w:noWrap/>
            <w:vAlign w:val="bottom"/>
            <w:hideMark/>
          </w:tcPr>
          <w:p w14:paraId="3ACB7E3B"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572205</w:t>
            </w:r>
          </w:p>
        </w:tc>
        <w:tc>
          <w:tcPr>
            <w:tcW w:w="809" w:type="dxa"/>
            <w:tcBorders>
              <w:top w:val="nil"/>
              <w:left w:val="nil"/>
              <w:right w:val="nil"/>
            </w:tcBorders>
            <w:noWrap/>
            <w:vAlign w:val="bottom"/>
            <w:hideMark/>
          </w:tcPr>
          <w:p w14:paraId="2BB6800A"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546,00</w:t>
            </w:r>
          </w:p>
        </w:tc>
        <w:tc>
          <w:tcPr>
            <w:tcW w:w="930" w:type="dxa"/>
            <w:tcBorders>
              <w:top w:val="nil"/>
              <w:left w:val="nil"/>
              <w:right w:val="nil"/>
            </w:tcBorders>
            <w:noWrap/>
            <w:vAlign w:val="bottom"/>
            <w:hideMark/>
          </w:tcPr>
          <w:p w14:paraId="135ADAF9"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3300,52</w:t>
            </w:r>
          </w:p>
        </w:tc>
        <w:tc>
          <w:tcPr>
            <w:tcW w:w="921" w:type="dxa"/>
            <w:tcBorders>
              <w:top w:val="nil"/>
              <w:left w:val="nil"/>
              <w:right w:val="nil"/>
            </w:tcBorders>
            <w:noWrap/>
            <w:vAlign w:val="bottom"/>
            <w:hideMark/>
          </w:tcPr>
          <w:p w14:paraId="1F8F460B"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1</w:t>
            </w:r>
          </w:p>
        </w:tc>
        <w:tc>
          <w:tcPr>
            <w:tcW w:w="962" w:type="dxa"/>
            <w:tcBorders>
              <w:top w:val="nil"/>
              <w:left w:val="nil"/>
              <w:right w:val="nil"/>
            </w:tcBorders>
            <w:noWrap/>
            <w:vAlign w:val="bottom"/>
            <w:hideMark/>
          </w:tcPr>
          <w:p w14:paraId="567EE7B1"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87581</w:t>
            </w:r>
          </w:p>
        </w:tc>
      </w:tr>
      <w:tr w:rsidR="00270042" w:rsidRPr="009B48B2" w14:paraId="77E350F1" w14:textId="77777777" w:rsidTr="00431692">
        <w:trPr>
          <w:gridBefore w:val="1"/>
          <w:wBefore w:w="142" w:type="dxa"/>
          <w:trHeight w:val="300"/>
          <w:jc w:val="center"/>
        </w:trPr>
        <w:tc>
          <w:tcPr>
            <w:tcW w:w="627" w:type="dxa"/>
            <w:tcBorders>
              <w:top w:val="nil"/>
              <w:left w:val="nil"/>
              <w:bottom w:val="single" w:sz="4" w:space="0" w:color="auto"/>
              <w:right w:val="nil"/>
            </w:tcBorders>
            <w:noWrap/>
            <w:vAlign w:val="bottom"/>
            <w:hideMark/>
          </w:tcPr>
          <w:p w14:paraId="43305CDD"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2023</w:t>
            </w:r>
          </w:p>
        </w:tc>
        <w:tc>
          <w:tcPr>
            <w:tcW w:w="1783" w:type="dxa"/>
            <w:tcBorders>
              <w:top w:val="nil"/>
              <w:left w:val="nil"/>
              <w:bottom w:val="single" w:sz="4" w:space="0" w:color="auto"/>
              <w:right w:val="nil"/>
            </w:tcBorders>
            <w:noWrap/>
            <w:vAlign w:val="bottom"/>
            <w:hideMark/>
          </w:tcPr>
          <w:p w14:paraId="31676027"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1048</w:t>
            </w:r>
          </w:p>
        </w:tc>
        <w:tc>
          <w:tcPr>
            <w:tcW w:w="1812" w:type="dxa"/>
            <w:tcBorders>
              <w:top w:val="nil"/>
              <w:left w:val="nil"/>
              <w:bottom w:val="single" w:sz="4" w:space="0" w:color="auto"/>
              <w:right w:val="nil"/>
            </w:tcBorders>
            <w:noWrap/>
            <w:vAlign w:val="bottom"/>
            <w:hideMark/>
          </w:tcPr>
          <w:p w14:paraId="65E09826"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582937</w:t>
            </w:r>
          </w:p>
        </w:tc>
        <w:tc>
          <w:tcPr>
            <w:tcW w:w="809" w:type="dxa"/>
            <w:tcBorders>
              <w:top w:val="nil"/>
              <w:left w:val="nil"/>
              <w:bottom w:val="single" w:sz="4" w:space="0" w:color="auto"/>
              <w:right w:val="nil"/>
            </w:tcBorders>
            <w:noWrap/>
            <w:vAlign w:val="bottom"/>
            <w:hideMark/>
          </w:tcPr>
          <w:p w14:paraId="7439DDCA"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554,12</w:t>
            </w:r>
          </w:p>
        </w:tc>
        <w:tc>
          <w:tcPr>
            <w:tcW w:w="930" w:type="dxa"/>
            <w:tcBorders>
              <w:top w:val="nil"/>
              <w:left w:val="nil"/>
              <w:bottom w:val="single" w:sz="4" w:space="0" w:color="auto"/>
              <w:right w:val="nil"/>
            </w:tcBorders>
            <w:noWrap/>
            <w:vAlign w:val="bottom"/>
            <w:hideMark/>
          </w:tcPr>
          <w:p w14:paraId="6AFE957A"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3320,83</w:t>
            </w:r>
          </w:p>
        </w:tc>
        <w:tc>
          <w:tcPr>
            <w:tcW w:w="921" w:type="dxa"/>
            <w:tcBorders>
              <w:top w:val="nil"/>
              <w:left w:val="nil"/>
              <w:bottom w:val="single" w:sz="4" w:space="0" w:color="auto"/>
              <w:right w:val="nil"/>
            </w:tcBorders>
            <w:noWrap/>
            <w:vAlign w:val="bottom"/>
            <w:hideMark/>
          </w:tcPr>
          <w:p w14:paraId="43B95657"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1</w:t>
            </w:r>
          </w:p>
        </w:tc>
        <w:tc>
          <w:tcPr>
            <w:tcW w:w="962" w:type="dxa"/>
            <w:tcBorders>
              <w:top w:val="nil"/>
              <w:left w:val="nil"/>
              <w:bottom w:val="single" w:sz="4" w:space="0" w:color="auto"/>
              <w:right w:val="nil"/>
            </w:tcBorders>
            <w:noWrap/>
            <w:vAlign w:val="bottom"/>
            <w:hideMark/>
          </w:tcPr>
          <w:p w14:paraId="38322C89"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88241</w:t>
            </w:r>
          </w:p>
        </w:tc>
      </w:tr>
    </w:tbl>
    <w:p w14:paraId="66A53133" w14:textId="77777777" w:rsidR="00270042" w:rsidRPr="00C746F7" w:rsidRDefault="00270042" w:rsidP="00270042">
      <w:pPr>
        <w:jc w:val="center"/>
        <w:rPr>
          <w:rFonts w:ascii="Arial" w:hAnsi="Arial" w:cs="Arial"/>
        </w:rPr>
      </w:pPr>
      <w:r w:rsidRPr="00C746F7">
        <w:rPr>
          <w:rFonts w:ascii="Arial" w:hAnsi="Arial" w:cs="Arial"/>
        </w:rPr>
        <w:t>Fonte: Elaboração própria com base nos dados da RAIS.</w:t>
      </w:r>
    </w:p>
    <w:p w14:paraId="6A5D50E9" w14:textId="77777777" w:rsidR="00270042" w:rsidRPr="00C746F7" w:rsidRDefault="00270042" w:rsidP="00270042">
      <w:pPr>
        <w:pStyle w:val="EstiloJustificadoPrimeiralinha125cm5"/>
        <w:spacing w:before="240"/>
      </w:pPr>
      <w:r w:rsidRPr="00C746F7">
        <w:t xml:space="preserve">A </w:t>
      </w:r>
      <w:r>
        <w:fldChar w:fldCharType="begin"/>
      </w:r>
      <w:r>
        <w:instrText xml:space="preserve"> REF _Ref225537512 \h </w:instrText>
      </w:r>
      <w:r>
        <w:fldChar w:fldCharType="separate"/>
      </w:r>
      <w:r>
        <w:t xml:space="preserve">tabela </w:t>
      </w:r>
      <w:r>
        <w:rPr>
          <w:noProof/>
        </w:rPr>
        <w:t>8</w:t>
      </w:r>
      <w:r>
        <w:fldChar w:fldCharType="end"/>
      </w:r>
      <w:r w:rsidRPr="00C746F7">
        <w:t xml:space="preserve"> sintetiza a evolução agregada do emprego no recorte setorial analisado (setor automotivo, conforme tabela </w:t>
      </w:r>
      <w:r>
        <w:t>9</w:t>
      </w:r>
      <w:r w:rsidRPr="00C746F7">
        <w:t>) para os três Estados. Observa-se uma queda entre 2014 e 2016, seguida por uma estabilização relativa entre 2017 e 2019. Em 2020, registra-se uma nova retração do emprego total e da média municipal, coerente com o choque macroeconômico associado à pandemia e a interrupção de cadeias produtivas. A partir de 2021, há uma recuperação no agregado, mas essa estatística agregada pode ocultar uma heterogeneidade espacial substantiva. O desvio-padrão e a distância entre o máximo e o mínimo indicam uma distribuição fortemente assimétrica do emprego municipal, sugerindo concentração em polos industriais e maior vulnerabilidade de localidades específicas a choques de fechamento.</w:t>
      </w:r>
    </w:p>
    <w:p w14:paraId="18F5DD41" w14:textId="77777777" w:rsidR="00270042" w:rsidRDefault="00270042" w:rsidP="00270042">
      <w:pPr>
        <w:spacing w:after="0"/>
        <w:jc w:val="both"/>
        <w:rPr>
          <w:rFonts w:ascii="Arial" w:hAnsi="Arial" w:cs="Arial"/>
        </w:rPr>
      </w:pPr>
      <w:r w:rsidRPr="00C746F7">
        <w:rPr>
          <w:rFonts w:ascii="Arial" w:hAnsi="Arial" w:cs="Arial"/>
        </w:rPr>
        <w:lastRenderedPageBreak/>
        <w:tab/>
        <w:t>A seguir, reportam-se estatísticas descritivas para os municípios em que a Ford operava diretamente.</w:t>
      </w:r>
    </w:p>
    <w:p w14:paraId="2B35BB97" w14:textId="77777777" w:rsidR="00270042" w:rsidRDefault="00270042" w:rsidP="00270042">
      <w:pPr>
        <w:spacing w:after="0"/>
        <w:jc w:val="both"/>
        <w:rPr>
          <w:rFonts w:ascii="Arial" w:hAnsi="Arial" w:cs="Arial"/>
        </w:rPr>
      </w:pPr>
    </w:p>
    <w:p w14:paraId="476A5371" w14:textId="77777777" w:rsidR="00270042" w:rsidRDefault="00270042" w:rsidP="00270042">
      <w:pPr>
        <w:pStyle w:val="Legenda"/>
        <w:keepNext/>
        <w:spacing w:after="240"/>
      </w:pPr>
      <w:bookmarkStart w:id="8" w:name="_Ref225537584"/>
      <w:bookmarkStart w:id="9" w:name="_Toc225538297"/>
      <w:r>
        <w:t xml:space="preserve">Tabela </w:t>
      </w:r>
      <w:r>
        <w:fldChar w:fldCharType="begin"/>
      </w:r>
      <w:r>
        <w:instrText xml:space="preserve"> SEQ Tabela \* ARABIC </w:instrText>
      </w:r>
      <w:r>
        <w:fldChar w:fldCharType="separate"/>
      </w:r>
      <w:r>
        <w:rPr>
          <w:noProof/>
        </w:rPr>
        <w:t>9</w:t>
      </w:r>
      <w:r>
        <w:rPr>
          <w:noProof/>
        </w:rPr>
        <w:fldChar w:fldCharType="end"/>
      </w:r>
      <w:bookmarkEnd w:id="8"/>
      <w:r>
        <w:t xml:space="preserve"> - </w:t>
      </w:r>
      <w:r w:rsidRPr="00954B6F">
        <w:t>Estatística descritiva dos municípios em que a Ford estava presente.</w:t>
      </w:r>
      <w:bookmarkEnd w:id="9"/>
    </w:p>
    <w:tbl>
      <w:tblPr>
        <w:tblW w:w="8184" w:type="dxa"/>
        <w:jc w:val="center"/>
        <w:tblCellMar>
          <w:left w:w="70" w:type="dxa"/>
          <w:right w:w="70" w:type="dxa"/>
        </w:tblCellMar>
        <w:tblLook w:val="04A0" w:firstRow="1" w:lastRow="0" w:firstColumn="1" w:lastColumn="0" w:noHBand="0" w:noVBand="1"/>
      </w:tblPr>
      <w:tblGrid>
        <w:gridCol w:w="674"/>
        <w:gridCol w:w="1641"/>
        <w:gridCol w:w="1843"/>
        <w:gridCol w:w="1008"/>
        <w:gridCol w:w="1260"/>
        <w:gridCol w:w="927"/>
        <w:gridCol w:w="981"/>
      </w:tblGrid>
      <w:tr w:rsidR="00270042" w:rsidRPr="009B48B2" w14:paraId="5B235930" w14:textId="77777777" w:rsidTr="00431692">
        <w:trPr>
          <w:trHeight w:val="300"/>
          <w:jc w:val="center"/>
        </w:trPr>
        <w:tc>
          <w:tcPr>
            <w:tcW w:w="627" w:type="dxa"/>
            <w:tcBorders>
              <w:top w:val="nil"/>
              <w:left w:val="nil"/>
              <w:bottom w:val="single" w:sz="4" w:space="0" w:color="auto"/>
              <w:right w:val="nil"/>
            </w:tcBorders>
            <w:noWrap/>
            <w:vAlign w:val="bottom"/>
            <w:hideMark/>
          </w:tcPr>
          <w:p w14:paraId="550FE9BF"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Ano</w:t>
            </w:r>
          </w:p>
        </w:tc>
        <w:tc>
          <w:tcPr>
            <w:tcW w:w="1641" w:type="dxa"/>
            <w:tcBorders>
              <w:top w:val="nil"/>
              <w:left w:val="nil"/>
              <w:bottom w:val="single" w:sz="4" w:space="0" w:color="auto"/>
              <w:right w:val="nil"/>
            </w:tcBorders>
            <w:noWrap/>
            <w:vAlign w:val="bottom"/>
            <w:hideMark/>
          </w:tcPr>
          <w:p w14:paraId="5E871A1A"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N° Municípios</w:t>
            </w:r>
          </w:p>
        </w:tc>
        <w:tc>
          <w:tcPr>
            <w:tcW w:w="1843" w:type="dxa"/>
            <w:tcBorders>
              <w:top w:val="nil"/>
              <w:left w:val="nil"/>
              <w:bottom w:val="single" w:sz="4" w:space="0" w:color="auto"/>
              <w:right w:val="nil"/>
            </w:tcBorders>
            <w:noWrap/>
            <w:vAlign w:val="bottom"/>
            <w:hideMark/>
          </w:tcPr>
          <w:p w14:paraId="00014FDC"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Total Emprego</w:t>
            </w:r>
          </w:p>
        </w:tc>
        <w:tc>
          <w:tcPr>
            <w:tcW w:w="930" w:type="dxa"/>
            <w:tcBorders>
              <w:top w:val="nil"/>
              <w:left w:val="nil"/>
              <w:bottom w:val="single" w:sz="4" w:space="0" w:color="auto"/>
              <w:right w:val="nil"/>
            </w:tcBorders>
            <w:noWrap/>
            <w:vAlign w:val="bottom"/>
            <w:hideMark/>
          </w:tcPr>
          <w:p w14:paraId="4D615A6D"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Média</w:t>
            </w:r>
          </w:p>
        </w:tc>
        <w:tc>
          <w:tcPr>
            <w:tcW w:w="1260" w:type="dxa"/>
            <w:tcBorders>
              <w:top w:val="nil"/>
              <w:left w:val="nil"/>
              <w:bottom w:val="single" w:sz="4" w:space="0" w:color="auto"/>
              <w:right w:val="nil"/>
            </w:tcBorders>
            <w:noWrap/>
            <w:vAlign w:val="bottom"/>
            <w:hideMark/>
          </w:tcPr>
          <w:p w14:paraId="2AD6E795"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SD</w:t>
            </w:r>
          </w:p>
        </w:tc>
        <w:tc>
          <w:tcPr>
            <w:tcW w:w="921" w:type="dxa"/>
            <w:tcBorders>
              <w:top w:val="nil"/>
              <w:left w:val="nil"/>
              <w:bottom w:val="single" w:sz="4" w:space="0" w:color="auto"/>
              <w:right w:val="nil"/>
            </w:tcBorders>
            <w:noWrap/>
            <w:vAlign w:val="bottom"/>
            <w:hideMark/>
          </w:tcPr>
          <w:p w14:paraId="117F1A9F"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Mínimo</w:t>
            </w:r>
          </w:p>
        </w:tc>
        <w:tc>
          <w:tcPr>
            <w:tcW w:w="962" w:type="dxa"/>
            <w:tcBorders>
              <w:top w:val="nil"/>
              <w:left w:val="nil"/>
              <w:bottom w:val="single" w:sz="4" w:space="0" w:color="auto"/>
              <w:right w:val="nil"/>
            </w:tcBorders>
            <w:noWrap/>
            <w:vAlign w:val="bottom"/>
            <w:hideMark/>
          </w:tcPr>
          <w:p w14:paraId="542CF0EB"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Máximo</w:t>
            </w:r>
          </w:p>
        </w:tc>
      </w:tr>
      <w:tr w:rsidR="00270042" w:rsidRPr="009B48B2" w14:paraId="7728B11D" w14:textId="77777777" w:rsidTr="00431692">
        <w:trPr>
          <w:trHeight w:val="300"/>
          <w:jc w:val="center"/>
        </w:trPr>
        <w:tc>
          <w:tcPr>
            <w:tcW w:w="627" w:type="dxa"/>
            <w:tcBorders>
              <w:top w:val="single" w:sz="4" w:space="0" w:color="auto"/>
              <w:left w:val="nil"/>
              <w:bottom w:val="nil"/>
              <w:right w:val="nil"/>
            </w:tcBorders>
            <w:noWrap/>
            <w:vAlign w:val="bottom"/>
            <w:hideMark/>
          </w:tcPr>
          <w:p w14:paraId="76215CE7"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2014</w:t>
            </w:r>
          </w:p>
        </w:tc>
        <w:tc>
          <w:tcPr>
            <w:tcW w:w="1641" w:type="dxa"/>
            <w:tcBorders>
              <w:top w:val="single" w:sz="4" w:space="0" w:color="auto"/>
              <w:left w:val="nil"/>
              <w:bottom w:val="nil"/>
              <w:right w:val="nil"/>
            </w:tcBorders>
            <w:noWrap/>
            <w:vAlign w:val="bottom"/>
            <w:hideMark/>
          </w:tcPr>
          <w:p w14:paraId="78F5FB48"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3</w:t>
            </w:r>
          </w:p>
        </w:tc>
        <w:tc>
          <w:tcPr>
            <w:tcW w:w="1843" w:type="dxa"/>
            <w:tcBorders>
              <w:top w:val="single" w:sz="4" w:space="0" w:color="auto"/>
              <w:left w:val="nil"/>
              <w:bottom w:val="nil"/>
              <w:right w:val="nil"/>
            </w:tcBorders>
            <w:noWrap/>
            <w:vAlign w:val="bottom"/>
            <w:hideMark/>
          </w:tcPr>
          <w:p w14:paraId="0FB5F29E"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19763</w:t>
            </w:r>
          </w:p>
        </w:tc>
        <w:tc>
          <w:tcPr>
            <w:tcW w:w="930" w:type="dxa"/>
            <w:tcBorders>
              <w:top w:val="single" w:sz="4" w:space="0" w:color="auto"/>
              <w:left w:val="nil"/>
              <w:bottom w:val="nil"/>
              <w:right w:val="nil"/>
            </w:tcBorders>
            <w:noWrap/>
            <w:vAlign w:val="bottom"/>
            <w:hideMark/>
          </w:tcPr>
          <w:p w14:paraId="52295BCF"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6587,67</w:t>
            </w:r>
          </w:p>
        </w:tc>
        <w:tc>
          <w:tcPr>
            <w:tcW w:w="1260" w:type="dxa"/>
            <w:tcBorders>
              <w:top w:val="single" w:sz="4" w:space="0" w:color="auto"/>
              <w:left w:val="nil"/>
              <w:bottom w:val="nil"/>
              <w:right w:val="nil"/>
            </w:tcBorders>
            <w:noWrap/>
            <w:vAlign w:val="bottom"/>
            <w:hideMark/>
          </w:tcPr>
          <w:p w14:paraId="17B3E7D2"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5508,12</w:t>
            </w:r>
          </w:p>
        </w:tc>
        <w:tc>
          <w:tcPr>
            <w:tcW w:w="921" w:type="dxa"/>
            <w:tcBorders>
              <w:top w:val="single" w:sz="4" w:space="0" w:color="auto"/>
              <w:left w:val="nil"/>
              <w:bottom w:val="nil"/>
              <w:right w:val="nil"/>
            </w:tcBorders>
            <w:noWrap/>
            <w:vAlign w:val="bottom"/>
            <w:hideMark/>
          </w:tcPr>
          <w:p w14:paraId="6BD13209"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540</w:t>
            </w:r>
          </w:p>
        </w:tc>
        <w:tc>
          <w:tcPr>
            <w:tcW w:w="962" w:type="dxa"/>
            <w:tcBorders>
              <w:top w:val="single" w:sz="4" w:space="0" w:color="auto"/>
              <w:left w:val="nil"/>
              <w:bottom w:val="nil"/>
              <w:right w:val="nil"/>
            </w:tcBorders>
            <w:noWrap/>
            <w:vAlign w:val="bottom"/>
            <w:hideMark/>
          </w:tcPr>
          <w:p w14:paraId="53797FCD"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11317</w:t>
            </w:r>
          </w:p>
        </w:tc>
      </w:tr>
      <w:tr w:rsidR="00270042" w:rsidRPr="009B48B2" w14:paraId="61466AC1" w14:textId="77777777" w:rsidTr="00431692">
        <w:trPr>
          <w:trHeight w:val="300"/>
          <w:jc w:val="center"/>
        </w:trPr>
        <w:tc>
          <w:tcPr>
            <w:tcW w:w="627" w:type="dxa"/>
            <w:tcBorders>
              <w:top w:val="nil"/>
              <w:left w:val="nil"/>
              <w:bottom w:val="nil"/>
              <w:right w:val="nil"/>
            </w:tcBorders>
            <w:noWrap/>
            <w:vAlign w:val="bottom"/>
            <w:hideMark/>
          </w:tcPr>
          <w:p w14:paraId="6F1F96F9"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2015</w:t>
            </w:r>
          </w:p>
        </w:tc>
        <w:tc>
          <w:tcPr>
            <w:tcW w:w="1641" w:type="dxa"/>
            <w:tcBorders>
              <w:top w:val="nil"/>
              <w:left w:val="nil"/>
              <w:bottom w:val="nil"/>
              <w:right w:val="nil"/>
            </w:tcBorders>
            <w:noWrap/>
            <w:vAlign w:val="bottom"/>
            <w:hideMark/>
          </w:tcPr>
          <w:p w14:paraId="29EFCEF6"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3</w:t>
            </w:r>
          </w:p>
        </w:tc>
        <w:tc>
          <w:tcPr>
            <w:tcW w:w="1843" w:type="dxa"/>
            <w:tcBorders>
              <w:top w:val="nil"/>
              <w:left w:val="nil"/>
              <w:bottom w:val="nil"/>
              <w:right w:val="nil"/>
            </w:tcBorders>
            <w:noWrap/>
            <w:vAlign w:val="bottom"/>
            <w:hideMark/>
          </w:tcPr>
          <w:p w14:paraId="6FE37A9F"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19347</w:t>
            </w:r>
          </w:p>
        </w:tc>
        <w:tc>
          <w:tcPr>
            <w:tcW w:w="930" w:type="dxa"/>
            <w:tcBorders>
              <w:top w:val="nil"/>
              <w:left w:val="nil"/>
              <w:bottom w:val="nil"/>
              <w:right w:val="nil"/>
            </w:tcBorders>
            <w:noWrap/>
            <w:vAlign w:val="bottom"/>
            <w:hideMark/>
          </w:tcPr>
          <w:p w14:paraId="04E41C01"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6449,00</w:t>
            </w:r>
          </w:p>
        </w:tc>
        <w:tc>
          <w:tcPr>
            <w:tcW w:w="1260" w:type="dxa"/>
            <w:tcBorders>
              <w:top w:val="nil"/>
              <w:left w:val="nil"/>
              <w:bottom w:val="nil"/>
              <w:right w:val="nil"/>
            </w:tcBorders>
            <w:noWrap/>
            <w:vAlign w:val="bottom"/>
            <w:hideMark/>
          </w:tcPr>
          <w:p w14:paraId="3E12F7C1"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5188,30</w:t>
            </w:r>
          </w:p>
        </w:tc>
        <w:tc>
          <w:tcPr>
            <w:tcW w:w="921" w:type="dxa"/>
            <w:tcBorders>
              <w:top w:val="nil"/>
              <w:left w:val="nil"/>
              <w:bottom w:val="nil"/>
              <w:right w:val="nil"/>
            </w:tcBorders>
            <w:noWrap/>
            <w:vAlign w:val="bottom"/>
            <w:hideMark/>
          </w:tcPr>
          <w:p w14:paraId="78B77316"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513</w:t>
            </w:r>
          </w:p>
        </w:tc>
        <w:tc>
          <w:tcPr>
            <w:tcW w:w="962" w:type="dxa"/>
            <w:tcBorders>
              <w:top w:val="nil"/>
              <w:left w:val="nil"/>
              <w:bottom w:val="nil"/>
              <w:right w:val="nil"/>
            </w:tcBorders>
            <w:noWrap/>
            <w:vAlign w:val="bottom"/>
            <w:hideMark/>
          </w:tcPr>
          <w:p w14:paraId="30C71A3D"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10118</w:t>
            </w:r>
          </w:p>
        </w:tc>
      </w:tr>
      <w:tr w:rsidR="00270042" w:rsidRPr="009B48B2" w14:paraId="50733E85" w14:textId="77777777" w:rsidTr="00431692">
        <w:trPr>
          <w:trHeight w:val="300"/>
          <w:jc w:val="center"/>
        </w:trPr>
        <w:tc>
          <w:tcPr>
            <w:tcW w:w="627" w:type="dxa"/>
            <w:tcBorders>
              <w:top w:val="nil"/>
              <w:left w:val="nil"/>
              <w:bottom w:val="nil"/>
              <w:right w:val="nil"/>
            </w:tcBorders>
            <w:noWrap/>
            <w:vAlign w:val="bottom"/>
            <w:hideMark/>
          </w:tcPr>
          <w:p w14:paraId="657A4AB9"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2016</w:t>
            </w:r>
          </w:p>
        </w:tc>
        <w:tc>
          <w:tcPr>
            <w:tcW w:w="1641" w:type="dxa"/>
            <w:tcBorders>
              <w:top w:val="nil"/>
              <w:left w:val="nil"/>
              <w:bottom w:val="nil"/>
              <w:right w:val="nil"/>
            </w:tcBorders>
            <w:noWrap/>
            <w:vAlign w:val="bottom"/>
            <w:hideMark/>
          </w:tcPr>
          <w:p w14:paraId="1F918888"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3</w:t>
            </w:r>
          </w:p>
        </w:tc>
        <w:tc>
          <w:tcPr>
            <w:tcW w:w="1843" w:type="dxa"/>
            <w:tcBorders>
              <w:top w:val="nil"/>
              <w:left w:val="nil"/>
              <w:bottom w:val="nil"/>
              <w:right w:val="nil"/>
            </w:tcBorders>
            <w:noWrap/>
            <w:vAlign w:val="bottom"/>
            <w:hideMark/>
          </w:tcPr>
          <w:p w14:paraId="2D2F7D68"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17813</w:t>
            </w:r>
          </w:p>
        </w:tc>
        <w:tc>
          <w:tcPr>
            <w:tcW w:w="930" w:type="dxa"/>
            <w:tcBorders>
              <w:top w:val="nil"/>
              <w:left w:val="nil"/>
              <w:bottom w:val="nil"/>
              <w:right w:val="nil"/>
            </w:tcBorders>
            <w:noWrap/>
            <w:vAlign w:val="bottom"/>
            <w:hideMark/>
          </w:tcPr>
          <w:p w14:paraId="11EADADF"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5937,67</w:t>
            </w:r>
          </w:p>
        </w:tc>
        <w:tc>
          <w:tcPr>
            <w:tcW w:w="1260" w:type="dxa"/>
            <w:tcBorders>
              <w:top w:val="nil"/>
              <w:left w:val="nil"/>
              <w:bottom w:val="nil"/>
              <w:right w:val="nil"/>
            </w:tcBorders>
            <w:noWrap/>
            <w:vAlign w:val="bottom"/>
            <w:hideMark/>
          </w:tcPr>
          <w:p w14:paraId="79DB598D"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4881,13</w:t>
            </w:r>
          </w:p>
        </w:tc>
        <w:tc>
          <w:tcPr>
            <w:tcW w:w="921" w:type="dxa"/>
            <w:tcBorders>
              <w:top w:val="nil"/>
              <w:left w:val="nil"/>
              <w:bottom w:val="nil"/>
              <w:right w:val="nil"/>
            </w:tcBorders>
            <w:noWrap/>
            <w:vAlign w:val="bottom"/>
            <w:hideMark/>
          </w:tcPr>
          <w:p w14:paraId="6F076D6E"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505</w:t>
            </w:r>
          </w:p>
        </w:tc>
        <w:tc>
          <w:tcPr>
            <w:tcW w:w="962" w:type="dxa"/>
            <w:tcBorders>
              <w:top w:val="nil"/>
              <w:left w:val="nil"/>
              <w:bottom w:val="nil"/>
              <w:right w:val="nil"/>
            </w:tcBorders>
            <w:noWrap/>
            <w:vAlign w:val="bottom"/>
            <w:hideMark/>
          </w:tcPr>
          <w:p w14:paraId="0AFE14DE"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9954</w:t>
            </w:r>
          </w:p>
        </w:tc>
      </w:tr>
      <w:tr w:rsidR="00270042" w:rsidRPr="009B48B2" w14:paraId="5C6750BA" w14:textId="77777777" w:rsidTr="00431692">
        <w:trPr>
          <w:trHeight w:val="300"/>
          <w:jc w:val="center"/>
        </w:trPr>
        <w:tc>
          <w:tcPr>
            <w:tcW w:w="627" w:type="dxa"/>
            <w:tcBorders>
              <w:top w:val="nil"/>
              <w:left w:val="nil"/>
              <w:bottom w:val="nil"/>
              <w:right w:val="nil"/>
            </w:tcBorders>
            <w:noWrap/>
            <w:vAlign w:val="bottom"/>
            <w:hideMark/>
          </w:tcPr>
          <w:p w14:paraId="70326528"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2017</w:t>
            </w:r>
          </w:p>
        </w:tc>
        <w:tc>
          <w:tcPr>
            <w:tcW w:w="1641" w:type="dxa"/>
            <w:tcBorders>
              <w:top w:val="nil"/>
              <w:left w:val="nil"/>
              <w:bottom w:val="nil"/>
              <w:right w:val="nil"/>
            </w:tcBorders>
            <w:noWrap/>
            <w:vAlign w:val="bottom"/>
            <w:hideMark/>
          </w:tcPr>
          <w:p w14:paraId="585F9E80"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3</w:t>
            </w:r>
          </w:p>
        </w:tc>
        <w:tc>
          <w:tcPr>
            <w:tcW w:w="1843" w:type="dxa"/>
            <w:tcBorders>
              <w:top w:val="nil"/>
              <w:left w:val="nil"/>
              <w:bottom w:val="nil"/>
              <w:right w:val="nil"/>
            </w:tcBorders>
            <w:noWrap/>
            <w:vAlign w:val="bottom"/>
            <w:hideMark/>
          </w:tcPr>
          <w:p w14:paraId="67506EC9"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18421</w:t>
            </w:r>
          </w:p>
        </w:tc>
        <w:tc>
          <w:tcPr>
            <w:tcW w:w="930" w:type="dxa"/>
            <w:tcBorders>
              <w:top w:val="nil"/>
              <w:left w:val="nil"/>
              <w:bottom w:val="nil"/>
              <w:right w:val="nil"/>
            </w:tcBorders>
            <w:noWrap/>
            <w:vAlign w:val="bottom"/>
            <w:hideMark/>
          </w:tcPr>
          <w:p w14:paraId="13B71081"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6140,33</w:t>
            </w:r>
          </w:p>
        </w:tc>
        <w:tc>
          <w:tcPr>
            <w:tcW w:w="1260" w:type="dxa"/>
            <w:tcBorders>
              <w:top w:val="nil"/>
              <w:left w:val="nil"/>
              <w:bottom w:val="nil"/>
              <w:right w:val="nil"/>
            </w:tcBorders>
            <w:noWrap/>
            <w:vAlign w:val="bottom"/>
            <w:hideMark/>
          </w:tcPr>
          <w:p w14:paraId="7100E586"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4985,79</w:t>
            </w:r>
          </w:p>
        </w:tc>
        <w:tc>
          <w:tcPr>
            <w:tcW w:w="921" w:type="dxa"/>
            <w:tcBorders>
              <w:top w:val="nil"/>
              <w:left w:val="nil"/>
              <w:bottom w:val="nil"/>
              <w:right w:val="nil"/>
            </w:tcBorders>
            <w:noWrap/>
            <w:vAlign w:val="bottom"/>
            <w:hideMark/>
          </w:tcPr>
          <w:p w14:paraId="4A723C84"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510</w:t>
            </w:r>
          </w:p>
        </w:tc>
        <w:tc>
          <w:tcPr>
            <w:tcW w:w="962" w:type="dxa"/>
            <w:tcBorders>
              <w:top w:val="nil"/>
              <w:left w:val="nil"/>
              <w:bottom w:val="nil"/>
              <w:right w:val="nil"/>
            </w:tcBorders>
            <w:noWrap/>
            <w:vAlign w:val="bottom"/>
            <w:hideMark/>
          </w:tcPr>
          <w:p w14:paraId="1B887117"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9996</w:t>
            </w:r>
          </w:p>
        </w:tc>
      </w:tr>
      <w:tr w:rsidR="00270042" w:rsidRPr="009B48B2" w14:paraId="2E7E2B00" w14:textId="77777777" w:rsidTr="00431692">
        <w:trPr>
          <w:trHeight w:val="300"/>
          <w:jc w:val="center"/>
        </w:trPr>
        <w:tc>
          <w:tcPr>
            <w:tcW w:w="627" w:type="dxa"/>
            <w:tcBorders>
              <w:top w:val="nil"/>
              <w:left w:val="nil"/>
              <w:bottom w:val="nil"/>
              <w:right w:val="nil"/>
            </w:tcBorders>
            <w:noWrap/>
            <w:vAlign w:val="bottom"/>
            <w:hideMark/>
          </w:tcPr>
          <w:p w14:paraId="0290D374"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2018</w:t>
            </w:r>
          </w:p>
        </w:tc>
        <w:tc>
          <w:tcPr>
            <w:tcW w:w="1641" w:type="dxa"/>
            <w:tcBorders>
              <w:top w:val="nil"/>
              <w:left w:val="nil"/>
              <w:bottom w:val="nil"/>
              <w:right w:val="nil"/>
            </w:tcBorders>
            <w:noWrap/>
            <w:vAlign w:val="bottom"/>
            <w:hideMark/>
          </w:tcPr>
          <w:p w14:paraId="090CC17E"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3</w:t>
            </w:r>
          </w:p>
        </w:tc>
        <w:tc>
          <w:tcPr>
            <w:tcW w:w="1843" w:type="dxa"/>
            <w:tcBorders>
              <w:top w:val="nil"/>
              <w:left w:val="nil"/>
              <w:bottom w:val="nil"/>
              <w:right w:val="nil"/>
            </w:tcBorders>
            <w:noWrap/>
            <w:vAlign w:val="bottom"/>
            <w:hideMark/>
          </w:tcPr>
          <w:p w14:paraId="4967A2AB"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17906</w:t>
            </w:r>
          </w:p>
        </w:tc>
        <w:tc>
          <w:tcPr>
            <w:tcW w:w="930" w:type="dxa"/>
            <w:tcBorders>
              <w:top w:val="nil"/>
              <w:left w:val="nil"/>
              <w:bottom w:val="nil"/>
              <w:right w:val="nil"/>
            </w:tcBorders>
            <w:noWrap/>
            <w:vAlign w:val="bottom"/>
            <w:hideMark/>
          </w:tcPr>
          <w:p w14:paraId="27D844D1"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5968,67</w:t>
            </w:r>
          </w:p>
        </w:tc>
        <w:tc>
          <w:tcPr>
            <w:tcW w:w="1260" w:type="dxa"/>
            <w:tcBorders>
              <w:top w:val="nil"/>
              <w:left w:val="nil"/>
              <w:bottom w:val="nil"/>
              <w:right w:val="nil"/>
            </w:tcBorders>
            <w:noWrap/>
            <w:vAlign w:val="bottom"/>
            <w:hideMark/>
          </w:tcPr>
          <w:p w14:paraId="2ED4D427"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4867,15</w:t>
            </w:r>
          </w:p>
        </w:tc>
        <w:tc>
          <w:tcPr>
            <w:tcW w:w="921" w:type="dxa"/>
            <w:tcBorders>
              <w:top w:val="nil"/>
              <w:left w:val="nil"/>
              <w:bottom w:val="nil"/>
              <w:right w:val="nil"/>
            </w:tcBorders>
            <w:noWrap/>
            <w:vAlign w:val="bottom"/>
            <w:hideMark/>
          </w:tcPr>
          <w:p w14:paraId="35DBA7EC"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507</w:t>
            </w:r>
          </w:p>
        </w:tc>
        <w:tc>
          <w:tcPr>
            <w:tcW w:w="962" w:type="dxa"/>
            <w:tcBorders>
              <w:top w:val="nil"/>
              <w:left w:val="nil"/>
              <w:bottom w:val="nil"/>
              <w:right w:val="nil"/>
            </w:tcBorders>
            <w:noWrap/>
            <w:vAlign w:val="bottom"/>
            <w:hideMark/>
          </w:tcPr>
          <w:p w14:paraId="46C5D4B6"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9847</w:t>
            </w:r>
          </w:p>
        </w:tc>
      </w:tr>
      <w:tr w:rsidR="00270042" w:rsidRPr="009B48B2" w14:paraId="36FF7A81" w14:textId="77777777" w:rsidTr="00431692">
        <w:trPr>
          <w:trHeight w:val="300"/>
          <w:jc w:val="center"/>
        </w:trPr>
        <w:tc>
          <w:tcPr>
            <w:tcW w:w="627" w:type="dxa"/>
            <w:tcBorders>
              <w:top w:val="nil"/>
              <w:left w:val="nil"/>
              <w:bottom w:val="nil"/>
              <w:right w:val="nil"/>
            </w:tcBorders>
            <w:noWrap/>
            <w:vAlign w:val="bottom"/>
            <w:hideMark/>
          </w:tcPr>
          <w:p w14:paraId="39447385"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2019</w:t>
            </w:r>
          </w:p>
        </w:tc>
        <w:tc>
          <w:tcPr>
            <w:tcW w:w="1641" w:type="dxa"/>
            <w:tcBorders>
              <w:top w:val="nil"/>
              <w:left w:val="nil"/>
              <w:bottom w:val="nil"/>
              <w:right w:val="nil"/>
            </w:tcBorders>
            <w:noWrap/>
            <w:vAlign w:val="bottom"/>
            <w:hideMark/>
          </w:tcPr>
          <w:p w14:paraId="12108AF6"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3</w:t>
            </w:r>
          </w:p>
        </w:tc>
        <w:tc>
          <w:tcPr>
            <w:tcW w:w="1843" w:type="dxa"/>
            <w:tcBorders>
              <w:top w:val="nil"/>
              <w:left w:val="nil"/>
              <w:bottom w:val="nil"/>
              <w:right w:val="nil"/>
            </w:tcBorders>
            <w:noWrap/>
            <w:vAlign w:val="bottom"/>
            <w:hideMark/>
          </w:tcPr>
          <w:p w14:paraId="1FAFCA73"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18182</w:t>
            </w:r>
          </w:p>
        </w:tc>
        <w:tc>
          <w:tcPr>
            <w:tcW w:w="930" w:type="dxa"/>
            <w:tcBorders>
              <w:top w:val="nil"/>
              <w:left w:val="nil"/>
              <w:bottom w:val="nil"/>
              <w:right w:val="nil"/>
            </w:tcBorders>
            <w:noWrap/>
            <w:vAlign w:val="bottom"/>
            <w:hideMark/>
          </w:tcPr>
          <w:p w14:paraId="35F65167"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6060,67</w:t>
            </w:r>
          </w:p>
        </w:tc>
        <w:tc>
          <w:tcPr>
            <w:tcW w:w="1260" w:type="dxa"/>
            <w:tcBorders>
              <w:top w:val="nil"/>
              <w:left w:val="nil"/>
              <w:bottom w:val="nil"/>
              <w:right w:val="nil"/>
            </w:tcBorders>
            <w:noWrap/>
            <w:vAlign w:val="bottom"/>
            <w:hideMark/>
          </w:tcPr>
          <w:p w14:paraId="459DBC07"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5024,84</w:t>
            </w:r>
          </w:p>
        </w:tc>
        <w:tc>
          <w:tcPr>
            <w:tcW w:w="921" w:type="dxa"/>
            <w:tcBorders>
              <w:top w:val="nil"/>
              <w:left w:val="nil"/>
              <w:bottom w:val="nil"/>
              <w:right w:val="nil"/>
            </w:tcBorders>
            <w:noWrap/>
            <w:vAlign w:val="bottom"/>
            <w:hideMark/>
          </w:tcPr>
          <w:p w14:paraId="4F4329B1"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496</w:t>
            </w:r>
          </w:p>
        </w:tc>
        <w:tc>
          <w:tcPr>
            <w:tcW w:w="962" w:type="dxa"/>
            <w:tcBorders>
              <w:top w:val="nil"/>
              <w:left w:val="nil"/>
              <w:bottom w:val="nil"/>
              <w:right w:val="nil"/>
            </w:tcBorders>
            <w:noWrap/>
            <w:vAlign w:val="bottom"/>
            <w:hideMark/>
          </w:tcPr>
          <w:p w14:paraId="5EA33A46"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10266</w:t>
            </w:r>
          </w:p>
        </w:tc>
      </w:tr>
      <w:tr w:rsidR="00270042" w:rsidRPr="009B48B2" w14:paraId="01388BC7" w14:textId="77777777" w:rsidTr="00431692">
        <w:trPr>
          <w:trHeight w:val="300"/>
          <w:jc w:val="center"/>
        </w:trPr>
        <w:tc>
          <w:tcPr>
            <w:tcW w:w="627" w:type="dxa"/>
            <w:tcBorders>
              <w:top w:val="nil"/>
              <w:left w:val="nil"/>
              <w:bottom w:val="nil"/>
              <w:right w:val="nil"/>
            </w:tcBorders>
            <w:noWrap/>
            <w:vAlign w:val="bottom"/>
            <w:hideMark/>
          </w:tcPr>
          <w:p w14:paraId="020B6FFF"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2020</w:t>
            </w:r>
          </w:p>
        </w:tc>
        <w:tc>
          <w:tcPr>
            <w:tcW w:w="1641" w:type="dxa"/>
            <w:tcBorders>
              <w:top w:val="nil"/>
              <w:left w:val="nil"/>
              <w:bottom w:val="nil"/>
              <w:right w:val="nil"/>
            </w:tcBorders>
            <w:noWrap/>
            <w:vAlign w:val="bottom"/>
            <w:hideMark/>
          </w:tcPr>
          <w:p w14:paraId="0BD447E8"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3</w:t>
            </w:r>
          </w:p>
        </w:tc>
        <w:tc>
          <w:tcPr>
            <w:tcW w:w="1843" w:type="dxa"/>
            <w:tcBorders>
              <w:top w:val="nil"/>
              <w:left w:val="nil"/>
              <w:bottom w:val="nil"/>
              <w:right w:val="nil"/>
            </w:tcBorders>
            <w:noWrap/>
            <w:vAlign w:val="bottom"/>
            <w:hideMark/>
          </w:tcPr>
          <w:p w14:paraId="69D74096"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16528</w:t>
            </w:r>
          </w:p>
        </w:tc>
        <w:tc>
          <w:tcPr>
            <w:tcW w:w="930" w:type="dxa"/>
            <w:tcBorders>
              <w:top w:val="nil"/>
              <w:left w:val="nil"/>
              <w:bottom w:val="nil"/>
              <w:right w:val="nil"/>
            </w:tcBorders>
            <w:noWrap/>
            <w:vAlign w:val="bottom"/>
            <w:hideMark/>
          </w:tcPr>
          <w:p w14:paraId="01D598E6"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5509,33</w:t>
            </w:r>
          </w:p>
        </w:tc>
        <w:tc>
          <w:tcPr>
            <w:tcW w:w="1260" w:type="dxa"/>
            <w:tcBorders>
              <w:top w:val="nil"/>
              <w:left w:val="nil"/>
              <w:bottom w:val="nil"/>
              <w:right w:val="nil"/>
            </w:tcBorders>
            <w:noWrap/>
            <w:vAlign w:val="bottom"/>
            <w:hideMark/>
          </w:tcPr>
          <w:p w14:paraId="7A574EA6"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4483,88</w:t>
            </w:r>
          </w:p>
        </w:tc>
        <w:tc>
          <w:tcPr>
            <w:tcW w:w="921" w:type="dxa"/>
            <w:tcBorders>
              <w:top w:val="nil"/>
              <w:left w:val="nil"/>
              <w:bottom w:val="nil"/>
              <w:right w:val="nil"/>
            </w:tcBorders>
            <w:noWrap/>
            <w:vAlign w:val="bottom"/>
            <w:hideMark/>
          </w:tcPr>
          <w:p w14:paraId="02711EC3"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550</w:t>
            </w:r>
          </w:p>
        </w:tc>
        <w:tc>
          <w:tcPr>
            <w:tcW w:w="962" w:type="dxa"/>
            <w:tcBorders>
              <w:top w:val="nil"/>
              <w:left w:val="nil"/>
              <w:bottom w:val="nil"/>
              <w:right w:val="nil"/>
            </w:tcBorders>
            <w:noWrap/>
            <w:vAlign w:val="bottom"/>
            <w:hideMark/>
          </w:tcPr>
          <w:p w14:paraId="48B5CAF9"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9277</w:t>
            </w:r>
          </w:p>
        </w:tc>
      </w:tr>
      <w:tr w:rsidR="00270042" w:rsidRPr="009B48B2" w14:paraId="00DA236C" w14:textId="77777777" w:rsidTr="00431692">
        <w:trPr>
          <w:trHeight w:val="300"/>
          <w:jc w:val="center"/>
        </w:trPr>
        <w:tc>
          <w:tcPr>
            <w:tcW w:w="627" w:type="dxa"/>
            <w:tcBorders>
              <w:top w:val="nil"/>
              <w:left w:val="nil"/>
              <w:bottom w:val="nil"/>
              <w:right w:val="nil"/>
            </w:tcBorders>
            <w:noWrap/>
            <w:vAlign w:val="bottom"/>
            <w:hideMark/>
          </w:tcPr>
          <w:p w14:paraId="71570930"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2021</w:t>
            </w:r>
          </w:p>
        </w:tc>
        <w:tc>
          <w:tcPr>
            <w:tcW w:w="1641" w:type="dxa"/>
            <w:tcBorders>
              <w:top w:val="nil"/>
              <w:left w:val="nil"/>
              <w:bottom w:val="nil"/>
              <w:right w:val="nil"/>
            </w:tcBorders>
            <w:noWrap/>
            <w:vAlign w:val="bottom"/>
            <w:hideMark/>
          </w:tcPr>
          <w:p w14:paraId="3308639C"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3</w:t>
            </w:r>
          </w:p>
        </w:tc>
        <w:tc>
          <w:tcPr>
            <w:tcW w:w="1843" w:type="dxa"/>
            <w:tcBorders>
              <w:top w:val="nil"/>
              <w:left w:val="nil"/>
              <w:bottom w:val="nil"/>
              <w:right w:val="nil"/>
            </w:tcBorders>
            <w:noWrap/>
            <w:vAlign w:val="bottom"/>
            <w:hideMark/>
          </w:tcPr>
          <w:p w14:paraId="63E22FB6"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10392</w:t>
            </w:r>
          </w:p>
        </w:tc>
        <w:tc>
          <w:tcPr>
            <w:tcW w:w="930" w:type="dxa"/>
            <w:tcBorders>
              <w:top w:val="nil"/>
              <w:left w:val="nil"/>
              <w:bottom w:val="nil"/>
              <w:right w:val="nil"/>
            </w:tcBorders>
            <w:noWrap/>
            <w:vAlign w:val="bottom"/>
            <w:hideMark/>
          </w:tcPr>
          <w:p w14:paraId="774D435D"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3464,00</w:t>
            </w:r>
          </w:p>
        </w:tc>
        <w:tc>
          <w:tcPr>
            <w:tcW w:w="1260" w:type="dxa"/>
            <w:tcBorders>
              <w:top w:val="nil"/>
              <w:left w:val="nil"/>
              <w:bottom w:val="nil"/>
              <w:right w:val="nil"/>
            </w:tcBorders>
            <w:noWrap/>
            <w:vAlign w:val="bottom"/>
            <w:hideMark/>
          </w:tcPr>
          <w:p w14:paraId="6A1E365A"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4379,36</w:t>
            </w:r>
          </w:p>
        </w:tc>
        <w:tc>
          <w:tcPr>
            <w:tcW w:w="921" w:type="dxa"/>
            <w:tcBorders>
              <w:top w:val="nil"/>
              <w:left w:val="nil"/>
              <w:bottom w:val="nil"/>
              <w:right w:val="nil"/>
            </w:tcBorders>
            <w:noWrap/>
            <w:vAlign w:val="bottom"/>
            <w:hideMark/>
          </w:tcPr>
          <w:p w14:paraId="2418065F"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304</w:t>
            </w:r>
          </w:p>
        </w:tc>
        <w:tc>
          <w:tcPr>
            <w:tcW w:w="962" w:type="dxa"/>
            <w:tcBorders>
              <w:top w:val="nil"/>
              <w:left w:val="nil"/>
              <w:bottom w:val="nil"/>
              <w:right w:val="nil"/>
            </w:tcBorders>
            <w:noWrap/>
            <w:vAlign w:val="bottom"/>
            <w:hideMark/>
          </w:tcPr>
          <w:p w14:paraId="48B91EA9"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8463</w:t>
            </w:r>
          </w:p>
        </w:tc>
      </w:tr>
      <w:tr w:rsidR="00270042" w:rsidRPr="009B48B2" w14:paraId="3EC75E2D" w14:textId="77777777" w:rsidTr="00431692">
        <w:trPr>
          <w:trHeight w:val="300"/>
          <w:jc w:val="center"/>
        </w:trPr>
        <w:tc>
          <w:tcPr>
            <w:tcW w:w="627" w:type="dxa"/>
            <w:tcBorders>
              <w:top w:val="nil"/>
              <w:left w:val="nil"/>
              <w:right w:val="nil"/>
            </w:tcBorders>
            <w:noWrap/>
            <w:vAlign w:val="bottom"/>
            <w:hideMark/>
          </w:tcPr>
          <w:p w14:paraId="4B8D9A89"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2022</w:t>
            </w:r>
          </w:p>
        </w:tc>
        <w:tc>
          <w:tcPr>
            <w:tcW w:w="1641" w:type="dxa"/>
            <w:tcBorders>
              <w:top w:val="nil"/>
              <w:left w:val="nil"/>
              <w:right w:val="nil"/>
            </w:tcBorders>
            <w:noWrap/>
            <w:vAlign w:val="bottom"/>
            <w:hideMark/>
          </w:tcPr>
          <w:p w14:paraId="126E4B5F"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3</w:t>
            </w:r>
          </w:p>
        </w:tc>
        <w:tc>
          <w:tcPr>
            <w:tcW w:w="1843" w:type="dxa"/>
            <w:tcBorders>
              <w:top w:val="nil"/>
              <w:left w:val="nil"/>
              <w:right w:val="nil"/>
            </w:tcBorders>
            <w:noWrap/>
            <w:vAlign w:val="bottom"/>
            <w:hideMark/>
          </w:tcPr>
          <w:p w14:paraId="2C4E3309"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9949</w:t>
            </w:r>
          </w:p>
        </w:tc>
        <w:tc>
          <w:tcPr>
            <w:tcW w:w="930" w:type="dxa"/>
            <w:tcBorders>
              <w:top w:val="nil"/>
              <w:left w:val="nil"/>
              <w:right w:val="nil"/>
            </w:tcBorders>
            <w:noWrap/>
            <w:vAlign w:val="bottom"/>
            <w:hideMark/>
          </w:tcPr>
          <w:p w14:paraId="4F08AA99"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3316,33</w:t>
            </w:r>
          </w:p>
        </w:tc>
        <w:tc>
          <w:tcPr>
            <w:tcW w:w="1260" w:type="dxa"/>
            <w:tcBorders>
              <w:top w:val="nil"/>
              <w:left w:val="nil"/>
              <w:right w:val="nil"/>
            </w:tcBorders>
            <w:noWrap/>
            <w:vAlign w:val="bottom"/>
            <w:hideMark/>
          </w:tcPr>
          <w:p w14:paraId="1A85909E"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5003,05</w:t>
            </w:r>
          </w:p>
        </w:tc>
        <w:tc>
          <w:tcPr>
            <w:tcW w:w="921" w:type="dxa"/>
            <w:tcBorders>
              <w:top w:val="nil"/>
              <w:left w:val="nil"/>
              <w:right w:val="nil"/>
            </w:tcBorders>
            <w:noWrap/>
            <w:vAlign w:val="bottom"/>
            <w:hideMark/>
          </w:tcPr>
          <w:p w14:paraId="1109B97E"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71</w:t>
            </w:r>
          </w:p>
        </w:tc>
        <w:tc>
          <w:tcPr>
            <w:tcW w:w="962" w:type="dxa"/>
            <w:tcBorders>
              <w:top w:val="nil"/>
              <w:left w:val="nil"/>
              <w:right w:val="nil"/>
            </w:tcBorders>
            <w:noWrap/>
            <w:vAlign w:val="bottom"/>
            <w:hideMark/>
          </w:tcPr>
          <w:p w14:paraId="3D1DE42D"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9078</w:t>
            </w:r>
          </w:p>
        </w:tc>
      </w:tr>
      <w:tr w:rsidR="00270042" w:rsidRPr="009B48B2" w14:paraId="50F4D89D" w14:textId="77777777" w:rsidTr="00431692">
        <w:trPr>
          <w:trHeight w:val="300"/>
          <w:jc w:val="center"/>
        </w:trPr>
        <w:tc>
          <w:tcPr>
            <w:tcW w:w="627" w:type="dxa"/>
            <w:tcBorders>
              <w:top w:val="nil"/>
              <w:left w:val="nil"/>
              <w:bottom w:val="single" w:sz="4" w:space="0" w:color="auto"/>
              <w:right w:val="nil"/>
            </w:tcBorders>
            <w:noWrap/>
            <w:vAlign w:val="bottom"/>
            <w:hideMark/>
          </w:tcPr>
          <w:p w14:paraId="0174B74C"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2023</w:t>
            </w:r>
          </w:p>
        </w:tc>
        <w:tc>
          <w:tcPr>
            <w:tcW w:w="1641" w:type="dxa"/>
            <w:tcBorders>
              <w:top w:val="nil"/>
              <w:left w:val="nil"/>
              <w:bottom w:val="single" w:sz="4" w:space="0" w:color="auto"/>
              <w:right w:val="nil"/>
            </w:tcBorders>
            <w:noWrap/>
            <w:vAlign w:val="bottom"/>
            <w:hideMark/>
          </w:tcPr>
          <w:p w14:paraId="75A89501"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3</w:t>
            </w:r>
          </w:p>
        </w:tc>
        <w:tc>
          <w:tcPr>
            <w:tcW w:w="1843" w:type="dxa"/>
            <w:tcBorders>
              <w:top w:val="nil"/>
              <w:left w:val="nil"/>
              <w:bottom w:val="single" w:sz="4" w:space="0" w:color="auto"/>
              <w:right w:val="nil"/>
            </w:tcBorders>
            <w:noWrap/>
            <w:vAlign w:val="bottom"/>
            <w:hideMark/>
          </w:tcPr>
          <w:p w14:paraId="5F69429F"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10090</w:t>
            </w:r>
          </w:p>
        </w:tc>
        <w:tc>
          <w:tcPr>
            <w:tcW w:w="930" w:type="dxa"/>
            <w:tcBorders>
              <w:top w:val="nil"/>
              <w:left w:val="nil"/>
              <w:bottom w:val="single" w:sz="4" w:space="0" w:color="auto"/>
              <w:right w:val="nil"/>
            </w:tcBorders>
            <w:noWrap/>
            <w:vAlign w:val="bottom"/>
            <w:hideMark/>
          </w:tcPr>
          <w:p w14:paraId="642DAB7F"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3363,33</w:t>
            </w:r>
          </w:p>
        </w:tc>
        <w:tc>
          <w:tcPr>
            <w:tcW w:w="1260" w:type="dxa"/>
            <w:tcBorders>
              <w:top w:val="nil"/>
              <w:left w:val="nil"/>
              <w:bottom w:val="single" w:sz="4" w:space="0" w:color="auto"/>
              <w:right w:val="nil"/>
            </w:tcBorders>
            <w:noWrap/>
            <w:vAlign w:val="bottom"/>
            <w:hideMark/>
          </w:tcPr>
          <w:p w14:paraId="471909E4"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5156,17</w:t>
            </w:r>
          </w:p>
        </w:tc>
        <w:tc>
          <w:tcPr>
            <w:tcW w:w="921" w:type="dxa"/>
            <w:tcBorders>
              <w:top w:val="nil"/>
              <w:left w:val="nil"/>
              <w:bottom w:val="single" w:sz="4" w:space="0" w:color="auto"/>
              <w:right w:val="nil"/>
            </w:tcBorders>
            <w:noWrap/>
            <w:vAlign w:val="bottom"/>
            <w:hideMark/>
          </w:tcPr>
          <w:p w14:paraId="269D591B"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63</w:t>
            </w:r>
          </w:p>
        </w:tc>
        <w:tc>
          <w:tcPr>
            <w:tcW w:w="962" w:type="dxa"/>
            <w:tcBorders>
              <w:top w:val="nil"/>
              <w:left w:val="nil"/>
              <w:bottom w:val="single" w:sz="4" w:space="0" w:color="auto"/>
              <w:right w:val="nil"/>
            </w:tcBorders>
            <w:noWrap/>
            <w:vAlign w:val="bottom"/>
            <w:hideMark/>
          </w:tcPr>
          <w:p w14:paraId="7D701C26" w14:textId="77777777" w:rsidR="00270042" w:rsidRPr="009B48B2" w:rsidRDefault="00270042" w:rsidP="00431692">
            <w:pPr>
              <w:spacing w:after="0" w:line="240" w:lineRule="auto"/>
              <w:jc w:val="center"/>
              <w:rPr>
                <w:rFonts w:ascii="Arial" w:eastAsia="Times New Roman" w:hAnsi="Arial" w:cs="Arial"/>
                <w:color w:val="000000"/>
                <w:kern w:val="0"/>
                <w:lang w:eastAsia="pt-BR"/>
                <w14:ligatures w14:val="none"/>
              </w:rPr>
            </w:pPr>
            <w:r w:rsidRPr="009B48B2">
              <w:rPr>
                <w:rFonts w:ascii="Arial" w:eastAsia="Times New Roman" w:hAnsi="Arial" w:cs="Arial"/>
                <w:color w:val="000000"/>
                <w:kern w:val="0"/>
                <w:lang w:eastAsia="pt-BR"/>
                <w14:ligatures w14:val="none"/>
              </w:rPr>
              <w:t>9305</w:t>
            </w:r>
          </w:p>
        </w:tc>
      </w:tr>
    </w:tbl>
    <w:p w14:paraId="5C26CDC9" w14:textId="77777777" w:rsidR="00270042" w:rsidRPr="00C746F7" w:rsidRDefault="00270042" w:rsidP="00270042">
      <w:pPr>
        <w:jc w:val="center"/>
        <w:rPr>
          <w:rFonts w:ascii="Arial" w:hAnsi="Arial" w:cs="Arial"/>
        </w:rPr>
      </w:pPr>
      <w:r w:rsidRPr="00C746F7">
        <w:rPr>
          <w:rFonts w:ascii="Arial" w:hAnsi="Arial" w:cs="Arial"/>
        </w:rPr>
        <w:t>Fonte: Elaboração própria com base nos dados da RAIS.</w:t>
      </w:r>
    </w:p>
    <w:p w14:paraId="57B16E30" w14:textId="77777777" w:rsidR="00270042" w:rsidRDefault="00270042" w:rsidP="00270042">
      <w:pPr>
        <w:spacing w:after="0"/>
        <w:jc w:val="both"/>
        <w:rPr>
          <w:rFonts w:ascii="Arial" w:hAnsi="Arial" w:cs="Arial"/>
        </w:rPr>
      </w:pPr>
    </w:p>
    <w:p w14:paraId="4CDCFCEE" w14:textId="77777777" w:rsidR="00270042" w:rsidRPr="00C746F7" w:rsidRDefault="00270042" w:rsidP="00270042">
      <w:pPr>
        <w:pStyle w:val="EstiloJustificadoPrimeiralinha125cm6"/>
      </w:pPr>
      <w:r w:rsidRPr="00C746F7">
        <w:t xml:space="preserve">A </w:t>
      </w:r>
      <w:r>
        <w:fldChar w:fldCharType="begin"/>
      </w:r>
      <w:r>
        <w:instrText xml:space="preserve"> REF _Ref225537584 \h </w:instrText>
      </w:r>
      <w:r>
        <w:fldChar w:fldCharType="separate"/>
      </w:r>
      <w:r>
        <w:t xml:space="preserve">tabela </w:t>
      </w:r>
      <w:r>
        <w:rPr>
          <w:noProof/>
        </w:rPr>
        <w:t>9</w:t>
      </w:r>
      <w:r>
        <w:fldChar w:fldCharType="end"/>
      </w:r>
      <w:r w:rsidRPr="00C746F7">
        <w:t xml:space="preserve"> caracteriza a evolução do emprego setorial nos municípios tratados, isto é, aqueles em que a Ford esteve presente, evidenciando a magnitude do choque observado a partir de 2021. Nota-se uma redução expressiva do total de vínculos, que recua de 16.</w:t>
      </w:r>
      <w:r>
        <w:t>52</w:t>
      </w:r>
      <w:r w:rsidRPr="00C746F7">
        <w:t>8 em 2020 para 10.392 em 2021, seguida de persistência em patamar inferior ao longo de 2022 (9.949) e 2023 (10.090). Em termos relativos, a variação entre 2020 e 2021 corresponde a aproximadamente 37% do total de vínculos do grupo tratado, o que sugere uma ruptura relevante na trajetória do emprego setorial. Adicionalmente, a presença de um desvio-padrão (SD) elevado em relação à média anual indica heterogeneidade intra-grupo substantiva: embora os municípios compartilhem a condição de tratamento, a distribuição do emprego é marcada por assimetrias entre localidades, como sugerem os intervalos entre mínimo e máximo em cada ano. Assim, diferenças no peso relativo do complexo industrial e na capacidade de absorção por firmas e setores adjacentes podem contribuir para dinâmicas distintas entre Camaçari, Taubaté e Horizonte.</w:t>
      </w:r>
    </w:p>
    <w:p w14:paraId="54E019F7" w14:textId="77777777" w:rsidR="00270042" w:rsidRDefault="00270042" w:rsidP="00270042">
      <w:pPr>
        <w:jc w:val="both"/>
        <w:rPr>
          <w:rFonts w:ascii="Arial" w:hAnsi="Arial" w:cs="Arial"/>
        </w:rPr>
      </w:pPr>
      <w:r w:rsidRPr="00C746F7">
        <w:rPr>
          <w:rFonts w:ascii="Arial" w:hAnsi="Arial" w:cs="Arial"/>
        </w:rPr>
        <w:tab/>
        <w:t>Para definir o setor automotivo, consideram-se as classificações CNAE 2.0 (Classificação Nacional de Atividades Econômicas).</w:t>
      </w:r>
      <w:r>
        <w:rPr>
          <w:rFonts w:ascii="Arial" w:hAnsi="Arial" w:cs="Arial"/>
        </w:rPr>
        <w:t xml:space="preserve"> </w:t>
      </w:r>
      <w:r w:rsidRPr="00C746F7">
        <w:rPr>
          <w:rFonts w:ascii="Arial" w:hAnsi="Arial" w:cs="Arial"/>
        </w:rPr>
        <w:t>A escolha de uma definição setorial ampliada, incluindo fabricação, autopeças, comércio e manutenção, busca capturar, de forma mais realista, o “complexo automotivo” municipal. Essa opção é coerente com a literatura sobre efeitos de fechamento de plantas, que enfatiza que impactos podem se propagar para além do núcleo fabril, afetando cadeias de fornecedores e serviços correlatos</w:t>
      </w:r>
      <w:r>
        <w:rPr>
          <w:rFonts w:ascii="Arial" w:hAnsi="Arial" w:cs="Arial"/>
        </w:rPr>
        <w:t xml:space="preserve"> </w:t>
      </w:r>
      <w:r>
        <w:rPr>
          <w:rFonts w:ascii="Arial" w:hAnsi="Arial" w:cs="Arial"/>
        </w:rPr>
        <w:fldChar w:fldCharType="begin"/>
      </w:r>
      <w:r>
        <w:rPr>
          <w:rFonts w:ascii="Arial" w:hAnsi="Arial" w:cs="Arial"/>
        </w:rPr>
        <w:instrText xml:space="preserve"> ADDIN ZOTERO_ITEM CSL_CITATION {"citationID":"uLdYdwim","properties":{"formattedCitation":"(Beer et al., 2019)","plainCitation":"(Beer et al., 2019)","noteIndex":0},"citationItems":[{"id":282,"uris":["http://zotero.org/users/12001880/items/JKIXDY6U"],"itemData":{"id":282,"type":"article-journal","abstract":"Work on large-scale plant closures has provided a rich vein of scholarship and academic debate. This paper articulates a new set of methods and concepts for understanding how large-scale redundancies associated with the closure of manufacturing plants affects society and the economy at the local, regional and national scales. It posits the need for a more comprehensive exercise in data collection and experimentation with previously unused methods, including the application of discrete-choice experiments in order to understand better the choice and decision-making frameworks adopted by affected workers. The paper argues there is a need to integrate community-wide policy responses into the core of the analyses.","container-title":"Regional Studies, Regional Science","DOI":"10.1080/21681376.2019.1622440","ISSN":"2168-1376","issue":"1","journalAbbreviation":"Regional Studies, Regional Science","language":"en","page":"380-394","source":"DOI.org (Crossref)","title":"The urban and regional impacts of plant closures: new methods and perspectives","title-short":"The urban and regional impacts of plant closures","volume":"6","author":[{"family":"Beer","given":"Andrew"},{"family":"Weller","given":"Sally"},{"family":"Barnes","given":"Tom"},{"family":"Onur","given":"Ilke"},{"family":"Ratcliffe","given":"Julie"},{"family":"Bailey","given":"David"},{"family":"Sotarauta","given":"Markku"}],"issued":{"date-parts":[["2019",1,1]]}}}],"schema":"https://github.com/citation-style-language/schema/raw/master/csl-citation.json"} </w:instrText>
      </w:r>
      <w:r>
        <w:rPr>
          <w:rFonts w:ascii="Arial" w:hAnsi="Arial" w:cs="Arial"/>
        </w:rPr>
        <w:fldChar w:fldCharType="separate"/>
      </w:r>
      <w:r w:rsidRPr="000A7400">
        <w:rPr>
          <w:rFonts w:ascii="Arial" w:hAnsi="Arial" w:cs="Arial"/>
        </w:rPr>
        <w:t>(Beer et al., 2019)</w:t>
      </w:r>
      <w:r>
        <w:rPr>
          <w:rFonts w:ascii="Arial" w:hAnsi="Arial" w:cs="Arial"/>
        </w:rPr>
        <w:fldChar w:fldCharType="end"/>
      </w:r>
      <w:r>
        <w:rPr>
          <w:rFonts w:ascii="Arial" w:hAnsi="Arial" w:cs="Arial"/>
        </w:rPr>
        <w:t xml:space="preserve"> </w:t>
      </w:r>
      <w:r>
        <w:rPr>
          <w:rFonts w:ascii="Arial" w:hAnsi="Arial" w:cs="Arial"/>
        </w:rPr>
        <w:fldChar w:fldCharType="begin"/>
      </w:r>
      <w:r>
        <w:rPr>
          <w:rFonts w:ascii="Arial" w:hAnsi="Arial" w:cs="Arial"/>
        </w:rPr>
        <w:instrText xml:space="preserve"> ADDIN ZOTERO_ITEM CSL_CITATION {"citationID":"wrwKLdTI","properties":{"formattedCitation":"(Chapain; Murie, 2008)","plainCitation":"(Chapain; Murie, 2008)","noteIndex":0},"citationItems":[{"id":263,"uris":["http://zotero.org/users/12001880/items/EZAZR9U6"],"itemData":{"id":263,"type":"article-journal","abstract":"There is a considerable recent literature concerned with the impacts of factory closure. Much of this literature is based on closures in the 1980s and 1990s and on closures affecting heavy industry – coal, steel and shipbuilding. It also tends to focus on employment and labour market impacts assessed through the subsequent experience of workers made redundant following closures and, perhaps justifiably, to assume that the impacts are localized. Because of this much of the discussion of policy implications relates to the workers made redundant and to a very local economy. This paper refers to the closure of the MG Rover factory in Longbridge, Birmingham, UK. This closure attracted considerable media and policy interest. It was regarded as presenting a crisis for government and the local community. The paper responds to arguments in the research literature and explores the spatial and economic impact of the MG Rover closure in more detail. It complements other research which has focused on the experience of those made redundant in 2005 by referring to the loss of employment over a longer time period and identifying a wider impact spatially and socially. The paper draws upon different sources of evidence and concludes with a discussion of implications both for policy and research.","container-title":"Policy Studies","DOI":"10.1080/01442870802159962","ISSN":"0144-2872, 1470-1006","issue":"3","journalAbbreviation":"Policy Studies","language":"en","page":"305-317","source":"DOI.org (Crossref)","title":"The impact of factory closure on local communities and economies: the case of the MG Rover Longbridge closure in Birmingham","title-short":"The impact of factory closure on local communities and economies","volume":"29","author":[{"family":"Chapain","given":"Caroline"},{"family":"Murie","given":"Alan"}],"issued":{"date-parts":[["2008",9]]}}}],"schema":"https://github.com/citation-style-language/schema/raw/master/csl-citation.json"} </w:instrText>
      </w:r>
      <w:r>
        <w:rPr>
          <w:rFonts w:ascii="Arial" w:hAnsi="Arial" w:cs="Arial"/>
        </w:rPr>
        <w:fldChar w:fldCharType="separate"/>
      </w:r>
      <w:r w:rsidRPr="000A7400">
        <w:rPr>
          <w:rFonts w:ascii="Arial" w:hAnsi="Arial" w:cs="Arial"/>
        </w:rPr>
        <w:t>(Chapain; Murie, 2008)</w:t>
      </w:r>
      <w:r>
        <w:rPr>
          <w:rFonts w:ascii="Arial" w:hAnsi="Arial" w:cs="Arial"/>
        </w:rPr>
        <w:fldChar w:fldCharType="end"/>
      </w:r>
      <w:r w:rsidRPr="00C746F7">
        <w:rPr>
          <w:rFonts w:ascii="Arial" w:hAnsi="Arial" w:cs="Arial"/>
        </w:rPr>
        <w:t>. Do ponto de vista empírico, essa definição também contribui para reduzir a incidência de células com emprego nulo, mantendo, ainda assim, coerência substantiva do setor analisado.</w:t>
      </w:r>
    </w:p>
    <w:p w14:paraId="3450FAF6" w14:textId="77777777" w:rsidR="00270042" w:rsidRPr="00C746F7" w:rsidRDefault="00270042" w:rsidP="00270042">
      <w:pPr>
        <w:pStyle w:val="EstiloJustificadoPrimeiralinha125cm7"/>
      </w:pPr>
      <w:r>
        <w:lastRenderedPageBreak/>
        <w:t xml:space="preserve">As informações com as classificações CNAE 2.0 estão na </w:t>
      </w:r>
      <w:r>
        <w:fldChar w:fldCharType="begin"/>
      </w:r>
      <w:r>
        <w:instrText xml:space="preserve"> REF _Ref225537644 \h </w:instrText>
      </w:r>
      <w:r>
        <w:fldChar w:fldCharType="separate"/>
      </w:r>
      <w:r>
        <w:t xml:space="preserve">tabela </w:t>
      </w:r>
      <w:r>
        <w:rPr>
          <w:noProof/>
        </w:rPr>
        <w:t>10</w:t>
      </w:r>
      <w:r>
        <w:fldChar w:fldCharType="end"/>
      </w:r>
      <w:r>
        <w:t>, apresentada na próxima página.</w:t>
      </w:r>
    </w:p>
    <w:p w14:paraId="21B88E3B" w14:textId="77777777" w:rsidR="00270042" w:rsidRDefault="00270042" w:rsidP="00270042">
      <w:pPr>
        <w:spacing w:after="0"/>
        <w:jc w:val="center"/>
        <w:rPr>
          <w:rFonts w:ascii="Arial" w:hAnsi="Arial" w:cs="Arial"/>
        </w:rPr>
      </w:pPr>
    </w:p>
    <w:p w14:paraId="40351F43" w14:textId="77777777" w:rsidR="00270042" w:rsidRPr="0081710D" w:rsidRDefault="00270042" w:rsidP="00270042">
      <w:pPr>
        <w:pStyle w:val="Legenda"/>
        <w:keepNext/>
        <w:spacing w:after="240"/>
      </w:pPr>
      <w:bookmarkStart w:id="10" w:name="_Ref225537644"/>
      <w:bookmarkStart w:id="11" w:name="_Toc225538298"/>
      <w:r>
        <w:t xml:space="preserve">Tabela </w:t>
      </w:r>
      <w:r>
        <w:fldChar w:fldCharType="begin"/>
      </w:r>
      <w:r>
        <w:instrText xml:space="preserve"> SEQ Tabela \* ARABIC </w:instrText>
      </w:r>
      <w:r>
        <w:fldChar w:fldCharType="separate"/>
      </w:r>
      <w:r>
        <w:rPr>
          <w:noProof/>
        </w:rPr>
        <w:t>10</w:t>
      </w:r>
      <w:r>
        <w:rPr>
          <w:noProof/>
        </w:rPr>
        <w:fldChar w:fldCharType="end"/>
      </w:r>
      <w:bookmarkEnd w:id="10"/>
      <w:r>
        <w:t xml:space="preserve"> - </w:t>
      </w:r>
      <w:r w:rsidRPr="00FC47C2">
        <w:t>Estrutura detalhada da CNAE 2.0: códigos e denominações</w:t>
      </w:r>
      <w:r>
        <w:t>.</w:t>
      </w:r>
      <w:bookmarkEnd w:id="11"/>
    </w:p>
    <w:tbl>
      <w:tblPr>
        <w:tblW w:w="8505" w:type="dxa"/>
        <w:tblCellMar>
          <w:left w:w="70" w:type="dxa"/>
          <w:right w:w="70" w:type="dxa"/>
        </w:tblCellMar>
        <w:tblLook w:val="04A0" w:firstRow="1" w:lastRow="0" w:firstColumn="1" w:lastColumn="0" w:noHBand="0" w:noVBand="1"/>
      </w:tblPr>
      <w:tblGrid>
        <w:gridCol w:w="993"/>
        <w:gridCol w:w="7512"/>
      </w:tblGrid>
      <w:tr w:rsidR="00270042" w:rsidRPr="00C746F7" w14:paraId="5C6903B0" w14:textId="77777777" w:rsidTr="00431692">
        <w:trPr>
          <w:trHeight w:val="240"/>
        </w:trPr>
        <w:tc>
          <w:tcPr>
            <w:tcW w:w="993" w:type="dxa"/>
            <w:tcBorders>
              <w:top w:val="nil"/>
              <w:left w:val="nil"/>
              <w:bottom w:val="single" w:sz="4" w:space="0" w:color="auto"/>
              <w:right w:val="nil"/>
            </w:tcBorders>
            <w:vAlign w:val="center"/>
            <w:hideMark/>
          </w:tcPr>
          <w:p w14:paraId="50FD1F29" w14:textId="77777777" w:rsidR="00270042" w:rsidRPr="00C746F7" w:rsidRDefault="00270042" w:rsidP="00431692">
            <w:pPr>
              <w:spacing w:after="0" w:line="240" w:lineRule="auto"/>
              <w:jc w:val="center"/>
              <w:rPr>
                <w:rFonts w:ascii="Arial" w:eastAsia="Times New Roman" w:hAnsi="Arial" w:cs="Arial"/>
                <w:b/>
                <w:bCs/>
                <w:kern w:val="0"/>
                <w:lang w:eastAsia="pt-BR"/>
                <w14:ligatures w14:val="none"/>
              </w:rPr>
            </w:pPr>
            <w:r w:rsidRPr="00C746F7">
              <w:rPr>
                <w:rFonts w:ascii="Arial" w:eastAsia="Times New Roman" w:hAnsi="Arial" w:cs="Arial"/>
                <w:b/>
                <w:bCs/>
                <w:kern w:val="0"/>
                <w:lang w:eastAsia="pt-BR"/>
                <w14:ligatures w14:val="none"/>
              </w:rPr>
              <w:t>CNAE</w:t>
            </w:r>
          </w:p>
        </w:tc>
        <w:tc>
          <w:tcPr>
            <w:tcW w:w="7512" w:type="dxa"/>
            <w:tcBorders>
              <w:top w:val="nil"/>
              <w:left w:val="nil"/>
              <w:bottom w:val="single" w:sz="4" w:space="0" w:color="auto"/>
              <w:right w:val="nil"/>
            </w:tcBorders>
            <w:vAlign w:val="center"/>
            <w:hideMark/>
          </w:tcPr>
          <w:p w14:paraId="19A14F39" w14:textId="77777777" w:rsidR="00270042" w:rsidRPr="00C746F7" w:rsidRDefault="00270042" w:rsidP="00431692">
            <w:pPr>
              <w:spacing w:after="0" w:line="240" w:lineRule="auto"/>
              <w:jc w:val="center"/>
              <w:rPr>
                <w:rFonts w:ascii="Arial" w:eastAsia="Times New Roman" w:hAnsi="Arial" w:cs="Arial"/>
                <w:b/>
                <w:bCs/>
                <w:kern w:val="0"/>
                <w:lang w:eastAsia="pt-BR"/>
                <w14:ligatures w14:val="none"/>
              </w:rPr>
            </w:pPr>
            <w:r w:rsidRPr="00C746F7">
              <w:rPr>
                <w:rFonts w:ascii="Arial" w:eastAsia="Times New Roman" w:hAnsi="Arial" w:cs="Arial"/>
                <w:b/>
                <w:bCs/>
                <w:kern w:val="0"/>
                <w:lang w:eastAsia="pt-BR"/>
                <w14:ligatures w14:val="none"/>
              </w:rPr>
              <w:t>Denominação</w:t>
            </w:r>
          </w:p>
        </w:tc>
      </w:tr>
      <w:tr w:rsidR="00270042" w:rsidRPr="00C746F7" w14:paraId="4D050B9A" w14:textId="77777777" w:rsidTr="00431692">
        <w:trPr>
          <w:trHeight w:val="300"/>
        </w:trPr>
        <w:tc>
          <w:tcPr>
            <w:tcW w:w="993" w:type="dxa"/>
            <w:tcBorders>
              <w:top w:val="single" w:sz="4" w:space="0" w:color="auto"/>
              <w:left w:val="nil"/>
              <w:bottom w:val="nil"/>
              <w:right w:val="nil"/>
            </w:tcBorders>
            <w:vAlign w:val="center"/>
            <w:hideMark/>
          </w:tcPr>
          <w:p w14:paraId="43BF69CD" w14:textId="77777777" w:rsidR="00270042" w:rsidRPr="00C746F7" w:rsidRDefault="00270042" w:rsidP="00431692">
            <w:pPr>
              <w:spacing w:after="0" w:line="240" w:lineRule="auto"/>
              <w:jc w:val="center"/>
              <w:rPr>
                <w:rFonts w:ascii="Arial" w:eastAsia="Times New Roman" w:hAnsi="Arial" w:cs="Arial"/>
                <w:kern w:val="0"/>
                <w:lang w:eastAsia="pt-BR"/>
                <w14:ligatures w14:val="none"/>
              </w:rPr>
            </w:pPr>
            <w:r w:rsidRPr="00C746F7">
              <w:rPr>
                <w:rFonts w:ascii="Arial" w:eastAsia="Times New Roman" w:hAnsi="Arial" w:cs="Arial"/>
                <w:kern w:val="0"/>
                <w:lang w:eastAsia="pt-BR"/>
                <w14:ligatures w14:val="none"/>
              </w:rPr>
              <w:t>29.10-7</w:t>
            </w:r>
          </w:p>
        </w:tc>
        <w:tc>
          <w:tcPr>
            <w:tcW w:w="7512" w:type="dxa"/>
            <w:tcBorders>
              <w:top w:val="single" w:sz="4" w:space="0" w:color="auto"/>
              <w:left w:val="nil"/>
              <w:bottom w:val="nil"/>
              <w:right w:val="nil"/>
            </w:tcBorders>
            <w:vAlign w:val="center"/>
            <w:hideMark/>
          </w:tcPr>
          <w:p w14:paraId="214AC8C6" w14:textId="77777777" w:rsidR="00270042" w:rsidRPr="00C746F7" w:rsidRDefault="00270042" w:rsidP="00431692">
            <w:pPr>
              <w:spacing w:after="0" w:line="240" w:lineRule="auto"/>
              <w:jc w:val="both"/>
              <w:rPr>
                <w:rFonts w:ascii="Arial" w:eastAsia="Times New Roman" w:hAnsi="Arial" w:cs="Arial"/>
                <w:kern w:val="0"/>
                <w:lang w:eastAsia="pt-BR"/>
                <w14:ligatures w14:val="none"/>
              </w:rPr>
            </w:pPr>
            <w:r w:rsidRPr="00C746F7">
              <w:rPr>
                <w:rFonts w:ascii="Arial" w:eastAsia="Times New Roman" w:hAnsi="Arial" w:cs="Arial"/>
                <w:kern w:val="0"/>
                <w:lang w:eastAsia="pt-BR"/>
                <w14:ligatures w14:val="none"/>
              </w:rPr>
              <w:t>Fabricação de automóveis, camionetas e utilitários</w:t>
            </w:r>
          </w:p>
        </w:tc>
      </w:tr>
      <w:tr w:rsidR="00270042" w:rsidRPr="00C746F7" w14:paraId="78792BFC" w14:textId="77777777" w:rsidTr="00431692">
        <w:trPr>
          <w:trHeight w:val="240"/>
        </w:trPr>
        <w:tc>
          <w:tcPr>
            <w:tcW w:w="993" w:type="dxa"/>
            <w:tcBorders>
              <w:top w:val="nil"/>
              <w:left w:val="nil"/>
              <w:bottom w:val="nil"/>
              <w:right w:val="nil"/>
            </w:tcBorders>
            <w:vAlign w:val="center"/>
            <w:hideMark/>
          </w:tcPr>
          <w:p w14:paraId="559AEB36" w14:textId="77777777" w:rsidR="00270042" w:rsidRPr="00C746F7" w:rsidRDefault="00270042" w:rsidP="00431692">
            <w:pPr>
              <w:spacing w:after="0" w:line="240" w:lineRule="auto"/>
              <w:jc w:val="center"/>
              <w:rPr>
                <w:rFonts w:ascii="Arial" w:eastAsia="Times New Roman" w:hAnsi="Arial" w:cs="Arial"/>
                <w:kern w:val="0"/>
                <w:lang w:eastAsia="pt-BR"/>
                <w14:ligatures w14:val="none"/>
              </w:rPr>
            </w:pPr>
            <w:r w:rsidRPr="00C746F7">
              <w:rPr>
                <w:rFonts w:ascii="Arial" w:eastAsia="Times New Roman" w:hAnsi="Arial" w:cs="Arial"/>
                <w:kern w:val="0"/>
                <w:lang w:eastAsia="pt-BR"/>
                <w14:ligatures w14:val="none"/>
              </w:rPr>
              <w:t>29.20-4</w:t>
            </w:r>
          </w:p>
        </w:tc>
        <w:tc>
          <w:tcPr>
            <w:tcW w:w="7512" w:type="dxa"/>
            <w:tcBorders>
              <w:top w:val="nil"/>
              <w:left w:val="nil"/>
              <w:bottom w:val="nil"/>
              <w:right w:val="nil"/>
            </w:tcBorders>
            <w:vAlign w:val="center"/>
            <w:hideMark/>
          </w:tcPr>
          <w:p w14:paraId="333E4F69" w14:textId="77777777" w:rsidR="00270042" w:rsidRPr="00C746F7" w:rsidRDefault="00270042" w:rsidP="00431692">
            <w:pPr>
              <w:spacing w:after="0" w:line="240" w:lineRule="auto"/>
              <w:jc w:val="both"/>
              <w:rPr>
                <w:rFonts w:ascii="Arial" w:eastAsia="Times New Roman" w:hAnsi="Arial" w:cs="Arial"/>
                <w:kern w:val="0"/>
                <w:lang w:eastAsia="pt-BR"/>
                <w14:ligatures w14:val="none"/>
              </w:rPr>
            </w:pPr>
            <w:r w:rsidRPr="00C746F7">
              <w:rPr>
                <w:rFonts w:ascii="Arial" w:eastAsia="Times New Roman" w:hAnsi="Arial" w:cs="Arial"/>
                <w:kern w:val="0"/>
                <w:lang w:eastAsia="pt-BR"/>
                <w14:ligatures w14:val="none"/>
              </w:rPr>
              <w:t>Fabricação de caminhões e ônibus</w:t>
            </w:r>
          </w:p>
        </w:tc>
      </w:tr>
      <w:tr w:rsidR="00270042" w:rsidRPr="00C746F7" w14:paraId="6CEA29EB" w14:textId="77777777" w:rsidTr="00431692">
        <w:trPr>
          <w:trHeight w:val="300"/>
        </w:trPr>
        <w:tc>
          <w:tcPr>
            <w:tcW w:w="993" w:type="dxa"/>
            <w:tcBorders>
              <w:top w:val="nil"/>
              <w:left w:val="nil"/>
              <w:bottom w:val="nil"/>
              <w:right w:val="nil"/>
            </w:tcBorders>
            <w:vAlign w:val="center"/>
            <w:hideMark/>
          </w:tcPr>
          <w:p w14:paraId="5B994F44" w14:textId="77777777" w:rsidR="00270042" w:rsidRPr="00C746F7" w:rsidRDefault="00270042" w:rsidP="00431692">
            <w:pPr>
              <w:spacing w:after="0" w:line="240" w:lineRule="auto"/>
              <w:jc w:val="center"/>
              <w:rPr>
                <w:rFonts w:ascii="Arial" w:eastAsia="Times New Roman" w:hAnsi="Arial" w:cs="Arial"/>
                <w:kern w:val="0"/>
                <w:lang w:eastAsia="pt-BR"/>
                <w14:ligatures w14:val="none"/>
              </w:rPr>
            </w:pPr>
            <w:r w:rsidRPr="00C746F7">
              <w:rPr>
                <w:rFonts w:ascii="Arial" w:eastAsia="Times New Roman" w:hAnsi="Arial" w:cs="Arial"/>
                <w:kern w:val="0"/>
                <w:lang w:eastAsia="pt-BR"/>
                <w14:ligatures w14:val="none"/>
              </w:rPr>
              <w:t>29.30-1</w:t>
            </w:r>
          </w:p>
        </w:tc>
        <w:tc>
          <w:tcPr>
            <w:tcW w:w="7512" w:type="dxa"/>
            <w:tcBorders>
              <w:top w:val="nil"/>
              <w:left w:val="nil"/>
              <w:bottom w:val="nil"/>
              <w:right w:val="nil"/>
            </w:tcBorders>
            <w:vAlign w:val="center"/>
            <w:hideMark/>
          </w:tcPr>
          <w:p w14:paraId="2382D320" w14:textId="77777777" w:rsidR="00270042" w:rsidRPr="00C746F7" w:rsidRDefault="00270042" w:rsidP="00431692">
            <w:pPr>
              <w:spacing w:after="0" w:line="240" w:lineRule="auto"/>
              <w:jc w:val="both"/>
              <w:rPr>
                <w:rFonts w:ascii="Arial" w:eastAsia="Times New Roman" w:hAnsi="Arial" w:cs="Arial"/>
                <w:kern w:val="0"/>
                <w:lang w:eastAsia="pt-BR"/>
                <w14:ligatures w14:val="none"/>
              </w:rPr>
            </w:pPr>
            <w:r w:rsidRPr="00C746F7">
              <w:rPr>
                <w:rFonts w:ascii="Arial" w:eastAsia="Times New Roman" w:hAnsi="Arial" w:cs="Arial"/>
                <w:kern w:val="0"/>
                <w:lang w:eastAsia="pt-BR"/>
                <w14:ligatures w14:val="none"/>
              </w:rPr>
              <w:t>Fabricação de cabines, carrocerias e reboques para veículos automotores</w:t>
            </w:r>
          </w:p>
        </w:tc>
      </w:tr>
      <w:tr w:rsidR="00270042" w:rsidRPr="00C746F7" w14:paraId="2C292465" w14:textId="77777777" w:rsidTr="00431692">
        <w:trPr>
          <w:trHeight w:val="240"/>
        </w:trPr>
        <w:tc>
          <w:tcPr>
            <w:tcW w:w="993" w:type="dxa"/>
            <w:tcBorders>
              <w:top w:val="nil"/>
              <w:left w:val="nil"/>
              <w:bottom w:val="nil"/>
              <w:right w:val="nil"/>
            </w:tcBorders>
            <w:hideMark/>
          </w:tcPr>
          <w:p w14:paraId="6E571E85" w14:textId="77777777" w:rsidR="00270042" w:rsidRPr="00C746F7" w:rsidRDefault="00270042" w:rsidP="00431692">
            <w:pPr>
              <w:spacing w:after="0" w:line="240" w:lineRule="auto"/>
              <w:jc w:val="center"/>
              <w:rPr>
                <w:rFonts w:ascii="Arial" w:eastAsia="Times New Roman" w:hAnsi="Arial" w:cs="Arial"/>
                <w:kern w:val="0"/>
                <w:lang w:eastAsia="pt-BR"/>
                <w14:ligatures w14:val="none"/>
              </w:rPr>
            </w:pPr>
            <w:r w:rsidRPr="00C746F7">
              <w:rPr>
                <w:rFonts w:ascii="Arial" w:eastAsia="Times New Roman" w:hAnsi="Arial" w:cs="Arial"/>
                <w:kern w:val="0"/>
                <w:lang w:eastAsia="pt-BR"/>
                <w14:ligatures w14:val="none"/>
              </w:rPr>
              <w:t>29.41-7</w:t>
            </w:r>
          </w:p>
        </w:tc>
        <w:tc>
          <w:tcPr>
            <w:tcW w:w="7512" w:type="dxa"/>
            <w:tcBorders>
              <w:top w:val="nil"/>
              <w:left w:val="nil"/>
              <w:bottom w:val="nil"/>
              <w:right w:val="nil"/>
            </w:tcBorders>
            <w:hideMark/>
          </w:tcPr>
          <w:p w14:paraId="1F3AC1CA" w14:textId="77777777" w:rsidR="00270042" w:rsidRPr="00C746F7" w:rsidRDefault="00270042" w:rsidP="00431692">
            <w:pPr>
              <w:spacing w:after="0" w:line="240" w:lineRule="auto"/>
              <w:jc w:val="both"/>
              <w:rPr>
                <w:rFonts w:ascii="Arial" w:eastAsia="Times New Roman" w:hAnsi="Arial" w:cs="Arial"/>
                <w:kern w:val="0"/>
                <w:lang w:eastAsia="pt-BR"/>
                <w14:ligatures w14:val="none"/>
              </w:rPr>
            </w:pPr>
            <w:r w:rsidRPr="00C746F7">
              <w:rPr>
                <w:rFonts w:ascii="Arial" w:eastAsia="Times New Roman" w:hAnsi="Arial" w:cs="Arial"/>
                <w:kern w:val="0"/>
                <w:lang w:eastAsia="pt-BR"/>
                <w14:ligatures w14:val="none"/>
              </w:rPr>
              <w:t>Fabricação de peças e acessórios para o sistema motor de veículos automotores</w:t>
            </w:r>
          </w:p>
        </w:tc>
      </w:tr>
      <w:tr w:rsidR="00270042" w:rsidRPr="00C746F7" w14:paraId="2037503C" w14:textId="77777777" w:rsidTr="00431692">
        <w:trPr>
          <w:trHeight w:val="240"/>
        </w:trPr>
        <w:tc>
          <w:tcPr>
            <w:tcW w:w="993" w:type="dxa"/>
            <w:tcBorders>
              <w:top w:val="nil"/>
              <w:left w:val="nil"/>
              <w:bottom w:val="nil"/>
              <w:right w:val="nil"/>
            </w:tcBorders>
            <w:hideMark/>
          </w:tcPr>
          <w:p w14:paraId="41661181" w14:textId="77777777" w:rsidR="00270042" w:rsidRPr="00C746F7" w:rsidRDefault="00270042" w:rsidP="00431692">
            <w:pPr>
              <w:spacing w:after="0" w:line="240" w:lineRule="auto"/>
              <w:jc w:val="center"/>
              <w:rPr>
                <w:rFonts w:ascii="Arial" w:eastAsia="Times New Roman" w:hAnsi="Arial" w:cs="Arial"/>
                <w:kern w:val="0"/>
                <w:lang w:eastAsia="pt-BR"/>
                <w14:ligatures w14:val="none"/>
              </w:rPr>
            </w:pPr>
            <w:r w:rsidRPr="00C746F7">
              <w:rPr>
                <w:rFonts w:ascii="Arial" w:eastAsia="Times New Roman" w:hAnsi="Arial" w:cs="Arial"/>
                <w:kern w:val="0"/>
                <w:lang w:eastAsia="pt-BR"/>
                <w14:ligatures w14:val="none"/>
              </w:rPr>
              <w:t>29.42-5</w:t>
            </w:r>
          </w:p>
        </w:tc>
        <w:tc>
          <w:tcPr>
            <w:tcW w:w="7512" w:type="dxa"/>
            <w:tcBorders>
              <w:top w:val="nil"/>
              <w:left w:val="nil"/>
              <w:bottom w:val="nil"/>
              <w:right w:val="nil"/>
            </w:tcBorders>
            <w:hideMark/>
          </w:tcPr>
          <w:p w14:paraId="03BA6167" w14:textId="77777777" w:rsidR="00270042" w:rsidRPr="00C746F7" w:rsidRDefault="00270042" w:rsidP="00431692">
            <w:pPr>
              <w:spacing w:after="0" w:line="240" w:lineRule="auto"/>
              <w:jc w:val="both"/>
              <w:rPr>
                <w:rFonts w:ascii="Arial" w:eastAsia="Times New Roman" w:hAnsi="Arial" w:cs="Arial"/>
                <w:kern w:val="0"/>
                <w:lang w:eastAsia="pt-BR"/>
                <w14:ligatures w14:val="none"/>
              </w:rPr>
            </w:pPr>
            <w:r w:rsidRPr="00C746F7">
              <w:rPr>
                <w:rFonts w:ascii="Arial" w:eastAsia="Times New Roman" w:hAnsi="Arial" w:cs="Arial"/>
                <w:kern w:val="0"/>
                <w:lang w:eastAsia="pt-BR"/>
                <w14:ligatures w14:val="none"/>
              </w:rPr>
              <w:t>Fabricação de peças e acessórios para os sistemas de marcha e transmissão de veículos automotores</w:t>
            </w:r>
          </w:p>
        </w:tc>
      </w:tr>
      <w:tr w:rsidR="00270042" w:rsidRPr="00C746F7" w14:paraId="4E9E88B2" w14:textId="77777777" w:rsidTr="00431692">
        <w:trPr>
          <w:trHeight w:val="240"/>
        </w:trPr>
        <w:tc>
          <w:tcPr>
            <w:tcW w:w="993" w:type="dxa"/>
            <w:tcBorders>
              <w:top w:val="nil"/>
              <w:left w:val="nil"/>
              <w:bottom w:val="nil"/>
              <w:right w:val="nil"/>
            </w:tcBorders>
            <w:hideMark/>
          </w:tcPr>
          <w:p w14:paraId="050DE0E5" w14:textId="77777777" w:rsidR="00270042" w:rsidRPr="00C746F7" w:rsidRDefault="00270042" w:rsidP="00431692">
            <w:pPr>
              <w:spacing w:after="0" w:line="240" w:lineRule="auto"/>
              <w:jc w:val="center"/>
              <w:rPr>
                <w:rFonts w:ascii="Arial" w:eastAsia="Times New Roman" w:hAnsi="Arial" w:cs="Arial"/>
                <w:kern w:val="0"/>
                <w:lang w:eastAsia="pt-BR"/>
                <w14:ligatures w14:val="none"/>
              </w:rPr>
            </w:pPr>
            <w:r w:rsidRPr="00C746F7">
              <w:rPr>
                <w:rFonts w:ascii="Arial" w:eastAsia="Times New Roman" w:hAnsi="Arial" w:cs="Arial"/>
                <w:kern w:val="0"/>
                <w:lang w:eastAsia="pt-BR"/>
                <w14:ligatures w14:val="none"/>
              </w:rPr>
              <w:t>29.43-3</w:t>
            </w:r>
          </w:p>
        </w:tc>
        <w:tc>
          <w:tcPr>
            <w:tcW w:w="7512" w:type="dxa"/>
            <w:tcBorders>
              <w:top w:val="nil"/>
              <w:left w:val="nil"/>
              <w:bottom w:val="nil"/>
              <w:right w:val="nil"/>
            </w:tcBorders>
            <w:hideMark/>
          </w:tcPr>
          <w:p w14:paraId="00797588" w14:textId="77777777" w:rsidR="00270042" w:rsidRPr="00C746F7" w:rsidRDefault="00270042" w:rsidP="00431692">
            <w:pPr>
              <w:spacing w:after="0" w:line="240" w:lineRule="auto"/>
              <w:jc w:val="both"/>
              <w:rPr>
                <w:rFonts w:ascii="Arial" w:eastAsia="Times New Roman" w:hAnsi="Arial" w:cs="Arial"/>
                <w:kern w:val="0"/>
                <w:lang w:eastAsia="pt-BR"/>
                <w14:ligatures w14:val="none"/>
              </w:rPr>
            </w:pPr>
            <w:r w:rsidRPr="00C746F7">
              <w:rPr>
                <w:rFonts w:ascii="Arial" w:eastAsia="Times New Roman" w:hAnsi="Arial" w:cs="Arial"/>
                <w:kern w:val="0"/>
                <w:lang w:eastAsia="pt-BR"/>
                <w14:ligatures w14:val="none"/>
              </w:rPr>
              <w:t>Fabricação de peças e acessórios para o sistema de freios de veículos automotores</w:t>
            </w:r>
          </w:p>
        </w:tc>
      </w:tr>
      <w:tr w:rsidR="00270042" w:rsidRPr="00C746F7" w14:paraId="22E5618B" w14:textId="77777777" w:rsidTr="00431692">
        <w:trPr>
          <w:trHeight w:val="240"/>
        </w:trPr>
        <w:tc>
          <w:tcPr>
            <w:tcW w:w="993" w:type="dxa"/>
            <w:tcBorders>
              <w:top w:val="nil"/>
              <w:left w:val="nil"/>
              <w:bottom w:val="nil"/>
              <w:right w:val="nil"/>
            </w:tcBorders>
            <w:hideMark/>
          </w:tcPr>
          <w:p w14:paraId="32EEE789" w14:textId="77777777" w:rsidR="00270042" w:rsidRPr="00C746F7" w:rsidRDefault="00270042" w:rsidP="00431692">
            <w:pPr>
              <w:spacing w:after="0" w:line="240" w:lineRule="auto"/>
              <w:jc w:val="center"/>
              <w:rPr>
                <w:rFonts w:ascii="Arial" w:eastAsia="Times New Roman" w:hAnsi="Arial" w:cs="Arial"/>
                <w:kern w:val="0"/>
                <w:lang w:eastAsia="pt-BR"/>
                <w14:ligatures w14:val="none"/>
              </w:rPr>
            </w:pPr>
            <w:r w:rsidRPr="00C746F7">
              <w:rPr>
                <w:rFonts w:ascii="Arial" w:eastAsia="Times New Roman" w:hAnsi="Arial" w:cs="Arial"/>
                <w:kern w:val="0"/>
                <w:lang w:eastAsia="pt-BR"/>
                <w14:ligatures w14:val="none"/>
              </w:rPr>
              <w:t>29.44-1</w:t>
            </w:r>
          </w:p>
        </w:tc>
        <w:tc>
          <w:tcPr>
            <w:tcW w:w="7512" w:type="dxa"/>
            <w:tcBorders>
              <w:top w:val="nil"/>
              <w:left w:val="nil"/>
              <w:bottom w:val="nil"/>
              <w:right w:val="nil"/>
            </w:tcBorders>
            <w:hideMark/>
          </w:tcPr>
          <w:p w14:paraId="12355408" w14:textId="77777777" w:rsidR="00270042" w:rsidRPr="00C746F7" w:rsidRDefault="00270042" w:rsidP="00431692">
            <w:pPr>
              <w:spacing w:after="0" w:line="240" w:lineRule="auto"/>
              <w:jc w:val="both"/>
              <w:rPr>
                <w:rFonts w:ascii="Arial" w:eastAsia="Times New Roman" w:hAnsi="Arial" w:cs="Arial"/>
                <w:kern w:val="0"/>
                <w:lang w:eastAsia="pt-BR"/>
                <w14:ligatures w14:val="none"/>
              </w:rPr>
            </w:pPr>
            <w:r w:rsidRPr="00C746F7">
              <w:rPr>
                <w:rFonts w:ascii="Arial" w:eastAsia="Times New Roman" w:hAnsi="Arial" w:cs="Arial"/>
                <w:kern w:val="0"/>
                <w:lang w:eastAsia="pt-BR"/>
                <w14:ligatures w14:val="none"/>
              </w:rPr>
              <w:t>Fabricação de peças e acessórios para o sistema de direção e suspensão de veículos automotores</w:t>
            </w:r>
          </w:p>
        </w:tc>
      </w:tr>
      <w:tr w:rsidR="00270042" w:rsidRPr="00C746F7" w14:paraId="015DE798" w14:textId="77777777" w:rsidTr="00431692">
        <w:trPr>
          <w:trHeight w:val="240"/>
        </w:trPr>
        <w:tc>
          <w:tcPr>
            <w:tcW w:w="993" w:type="dxa"/>
            <w:tcBorders>
              <w:top w:val="nil"/>
              <w:left w:val="nil"/>
              <w:bottom w:val="nil"/>
              <w:right w:val="nil"/>
            </w:tcBorders>
            <w:hideMark/>
          </w:tcPr>
          <w:p w14:paraId="54DBD288" w14:textId="77777777" w:rsidR="00270042" w:rsidRPr="00C746F7" w:rsidRDefault="00270042" w:rsidP="00431692">
            <w:pPr>
              <w:spacing w:after="0" w:line="240" w:lineRule="auto"/>
              <w:jc w:val="center"/>
              <w:rPr>
                <w:rFonts w:ascii="Arial" w:eastAsia="Times New Roman" w:hAnsi="Arial" w:cs="Arial"/>
                <w:kern w:val="0"/>
                <w:lang w:eastAsia="pt-BR"/>
                <w14:ligatures w14:val="none"/>
              </w:rPr>
            </w:pPr>
            <w:r w:rsidRPr="00C746F7">
              <w:rPr>
                <w:rFonts w:ascii="Arial" w:eastAsia="Times New Roman" w:hAnsi="Arial" w:cs="Arial"/>
                <w:kern w:val="0"/>
                <w:lang w:eastAsia="pt-BR"/>
                <w14:ligatures w14:val="none"/>
              </w:rPr>
              <w:t>29.45-0</w:t>
            </w:r>
          </w:p>
        </w:tc>
        <w:tc>
          <w:tcPr>
            <w:tcW w:w="7512" w:type="dxa"/>
            <w:tcBorders>
              <w:top w:val="nil"/>
              <w:left w:val="nil"/>
              <w:bottom w:val="nil"/>
              <w:right w:val="nil"/>
            </w:tcBorders>
            <w:hideMark/>
          </w:tcPr>
          <w:p w14:paraId="10289EB9" w14:textId="77777777" w:rsidR="00270042" w:rsidRPr="00C746F7" w:rsidRDefault="00270042" w:rsidP="00431692">
            <w:pPr>
              <w:spacing w:after="0" w:line="240" w:lineRule="auto"/>
              <w:jc w:val="both"/>
              <w:rPr>
                <w:rFonts w:ascii="Arial" w:eastAsia="Times New Roman" w:hAnsi="Arial" w:cs="Arial"/>
                <w:kern w:val="0"/>
                <w:lang w:eastAsia="pt-BR"/>
                <w14:ligatures w14:val="none"/>
              </w:rPr>
            </w:pPr>
            <w:r w:rsidRPr="00C746F7">
              <w:rPr>
                <w:rFonts w:ascii="Arial" w:eastAsia="Times New Roman" w:hAnsi="Arial" w:cs="Arial"/>
                <w:kern w:val="0"/>
                <w:lang w:eastAsia="pt-BR"/>
                <w14:ligatures w14:val="none"/>
              </w:rPr>
              <w:t>Fabricação de material elétrico e eletrônico para veículos automotores, exceto baterias</w:t>
            </w:r>
          </w:p>
        </w:tc>
      </w:tr>
      <w:tr w:rsidR="00270042" w:rsidRPr="00C746F7" w14:paraId="1C038518" w14:textId="77777777" w:rsidTr="00431692">
        <w:trPr>
          <w:trHeight w:val="240"/>
        </w:trPr>
        <w:tc>
          <w:tcPr>
            <w:tcW w:w="993" w:type="dxa"/>
            <w:tcBorders>
              <w:top w:val="nil"/>
              <w:left w:val="nil"/>
              <w:bottom w:val="nil"/>
              <w:right w:val="nil"/>
            </w:tcBorders>
            <w:hideMark/>
          </w:tcPr>
          <w:p w14:paraId="0A8A512B" w14:textId="77777777" w:rsidR="00270042" w:rsidRPr="00C746F7" w:rsidRDefault="00270042" w:rsidP="00431692">
            <w:pPr>
              <w:spacing w:after="0" w:line="240" w:lineRule="auto"/>
              <w:jc w:val="center"/>
              <w:rPr>
                <w:rFonts w:ascii="Arial" w:eastAsia="Times New Roman" w:hAnsi="Arial" w:cs="Arial"/>
                <w:kern w:val="0"/>
                <w:lang w:eastAsia="pt-BR"/>
                <w14:ligatures w14:val="none"/>
              </w:rPr>
            </w:pPr>
            <w:r w:rsidRPr="00C746F7">
              <w:rPr>
                <w:rFonts w:ascii="Arial" w:eastAsia="Times New Roman" w:hAnsi="Arial" w:cs="Arial"/>
                <w:kern w:val="0"/>
                <w:lang w:eastAsia="pt-BR"/>
                <w14:ligatures w14:val="none"/>
              </w:rPr>
              <w:t>29.49-2</w:t>
            </w:r>
          </w:p>
        </w:tc>
        <w:tc>
          <w:tcPr>
            <w:tcW w:w="7512" w:type="dxa"/>
            <w:tcBorders>
              <w:top w:val="nil"/>
              <w:left w:val="nil"/>
              <w:bottom w:val="nil"/>
              <w:right w:val="nil"/>
            </w:tcBorders>
            <w:hideMark/>
          </w:tcPr>
          <w:p w14:paraId="775892C5" w14:textId="77777777" w:rsidR="00270042" w:rsidRPr="00C746F7" w:rsidRDefault="00270042" w:rsidP="00431692">
            <w:pPr>
              <w:spacing w:after="0" w:line="240" w:lineRule="auto"/>
              <w:jc w:val="both"/>
              <w:rPr>
                <w:rFonts w:ascii="Arial" w:eastAsia="Times New Roman" w:hAnsi="Arial" w:cs="Arial"/>
                <w:kern w:val="0"/>
                <w:lang w:eastAsia="pt-BR"/>
                <w14:ligatures w14:val="none"/>
              </w:rPr>
            </w:pPr>
            <w:r w:rsidRPr="00C746F7">
              <w:rPr>
                <w:rFonts w:ascii="Arial" w:eastAsia="Times New Roman" w:hAnsi="Arial" w:cs="Arial"/>
                <w:kern w:val="0"/>
                <w:lang w:eastAsia="pt-BR"/>
                <w14:ligatures w14:val="none"/>
              </w:rPr>
              <w:t>Fabricação de peças e acessórios para veículos automotores não especificados anteriormente</w:t>
            </w:r>
          </w:p>
        </w:tc>
      </w:tr>
      <w:tr w:rsidR="00270042" w:rsidRPr="00C746F7" w14:paraId="755EEC63" w14:textId="77777777" w:rsidTr="00431692">
        <w:trPr>
          <w:trHeight w:val="300"/>
        </w:trPr>
        <w:tc>
          <w:tcPr>
            <w:tcW w:w="993" w:type="dxa"/>
            <w:tcBorders>
              <w:top w:val="nil"/>
              <w:left w:val="nil"/>
              <w:bottom w:val="nil"/>
              <w:right w:val="nil"/>
            </w:tcBorders>
            <w:vAlign w:val="center"/>
            <w:hideMark/>
          </w:tcPr>
          <w:p w14:paraId="4E15ACC7" w14:textId="77777777" w:rsidR="00270042" w:rsidRPr="00C746F7" w:rsidRDefault="00270042" w:rsidP="00431692">
            <w:pPr>
              <w:spacing w:after="0" w:line="240" w:lineRule="auto"/>
              <w:jc w:val="center"/>
              <w:rPr>
                <w:rFonts w:ascii="Arial" w:eastAsia="Times New Roman" w:hAnsi="Arial" w:cs="Arial"/>
                <w:kern w:val="0"/>
                <w:lang w:eastAsia="pt-BR"/>
                <w14:ligatures w14:val="none"/>
              </w:rPr>
            </w:pPr>
            <w:r w:rsidRPr="00C746F7">
              <w:rPr>
                <w:rFonts w:ascii="Arial" w:eastAsia="Times New Roman" w:hAnsi="Arial" w:cs="Arial"/>
                <w:kern w:val="0"/>
                <w:lang w:eastAsia="pt-BR"/>
                <w14:ligatures w14:val="none"/>
              </w:rPr>
              <w:t>29.50-6</w:t>
            </w:r>
          </w:p>
        </w:tc>
        <w:tc>
          <w:tcPr>
            <w:tcW w:w="7512" w:type="dxa"/>
            <w:tcBorders>
              <w:top w:val="nil"/>
              <w:left w:val="nil"/>
              <w:bottom w:val="nil"/>
              <w:right w:val="nil"/>
            </w:tcBorders>
            <w:vAlign w:val="center"/>
            <w:hideMark/>
          </w:tcPr>
          <w:p w14:paraId="30923DF0" w14:textId="77777777" w:rsidR="00270042" w:rsidRPr="00C746F7" w:rsidRDefault="00270042" w:rsidP="00431692">
            <w:pPr>
              <w:spacing w:after="0" w:line="240" w:lineRule="auto"/>
              <w:jc w:val="both"/>
              <w:rPr>
                <w:rFonts w:ascii="Arial" w:eastAsia="Times New Roman" w:hAnsi="Arial" w:cs="Arial"/>
                <w:kern w:val="0"/>
                <w:lang w:eastAsia="pt-BR"/>
                <w14:ligatures w14:val="none"/>
              </w:rPr>
            </w:pPr>
            <w:r w:rsidRPr="00C746F7">
              <w:rPr>
                <w:rFonts w:ascii="Arial" w:eastAsia="Times New Roman" w:hAnsi="Arial" w:cs="Arial"/>
                <w:kern w:val="0"/>
                <w:lang w:eastAsia="pt-BR"/>
                <w14:ligatures w14:val="none"/>
              </w:rPr>
              <w:t>Recondicionamento e recuperação de motores para veículos automotores</w:t>
            </w:r>
          </w:p>
        </w:tc>
      </w:tr>
      <w:tr w:rsidR="00270042" w:rsidRPr="00C746F7" w14:paraId="63E190D5" w14:textId="77777777" w:rsidTr="00431692">
        <w:trPr>
          <w:trHeight w:val="240"/>
        </w:trPr>
        <w:tc>
          <w:tcPr>
            <w:tcW w:w="993" w:type="dxa"/>
            <w:tcBorders>
              <w:top w:val="nil"/>
              <w:left w:val="nil"/>
              <w:bottom w:val="nil"/>
              <w:right w:val="nil"/>
            </w:tcBorders>
            <w:vAlign w:val="center"/>
            <w:hideMark/>
          </w:tcPr>
          <w:p w14:paraId="559F87C0" w14:textId="77777777" w:rsidR="00270042" w:rsidRPr="00C746F7" w:rsidRDefault="00270042" w:rsidP="00431692">
            <w:pPr>
              <w:spacing w:after="0" w:line="240" w:lineRule="auto"/>
              <w:jc w:val="center"/>
              <w:rPr>
                <w:rFonts w:ascii="Arial" w:eastAsia="Times New Roman" w:hAnsi="Arial" w:cs="Arial"/>
                <w:kern w:val="0"/>
                <w:lang w:eastAsia="pt-BR"/>
                <w14:ligatures w14:val="none"/>
              </w:rPr>
            </w:pPr>
            <w:r w:rsidRPr="00C746F7">
              <w:rPr>
                <w:rFonts w:ascii="Arial" w:eastAsia="Times New Roman" w:hAnsi="Arial" w:cs="Arial"/>
                <w:kern w:val="0"/>
                <w:lang w:eastAsia="pt-BR"/>
                <w14:ligatures w14:val="none"/>
              </w:rPr>
              <w:t>45.11-1</w:t>
            </w:r>
          </w:p>
        </w:tc>
        <w:tc>
          <w:tcPr>
            <w:tcW w:w="7512" w:type="dxa"/>
            <w:tcBorders>
              <w:top w:val="nil"/>
              <w:left w:val="nil"/>
              <w:bottom w:val="nil"/>
              <w:right w:val="nil"/>
            </w:tcBorders>
            <w:vAlign w:val="center"/>
            <w:hideMark/>
          </w:tcPr>
          <w:p w14:paraId="6427BF44" w14:textId="77777777" w:rsidR="00270042" w:rsidRPr="00C746F7" w:rsidRDefault="00270042" w:rsidP="00431692">
            <w:pPr>
              <w:spacing w:after="0" w:line="240" w:lineRule="auto"/>
              <w:jc w:val="both"/>
              <w:rPr>
                <w:rFonts w:ascii="Arial" w:eastAsia="Times New Roman" w:hAnsi="Arial" w:cs="Arial"/>
                <w:kern w:val="0"/>
                <w:lang w:eastAsia="pt-BR"/>
                <w14:ligatures w14:val="none"/>
              </w:rPr>
            </w:pPr>
            <w:r w:rsidRPr="00C746F7">
              <w:rPr>
                <w:rFonts w:ascii="Arial" w:eastAsia="Times New Roman" w:hAnsi="Arial" w:cs="Arial"/>
                <w:kern w:val="0"/>
                <w:lang w:eastAsia="pt-BR"/>
                <w14:ligatures w14:val="none"/>
              </w:rPr>
              <w:t>Comércio a varejo e por atacado de veículos automotores</w:t>
            </w:r>
          </w:p>
        </w:tc>
      </w:tr>
      <w:tr w:rsidR="00270042" w:rsidRPr="00C746F7" w14:paraId="462186D1" w14:textId="77777777" w:rsidTr="00431692">
        <w:trPr>
          <w:trHeight w:val="300"/>
        </w:trPr>
        <w:tc>
          <w:tcPr>
            <w:tcW w:w="993" w:type="dxa"/>
            <w:tcBorders>
              <w:top w:val="nil"/>
              <w:left w:val="nil"/>
              <w:bottom w:val="nil"/>
              <w:right w:val="nil"/>
            </w:tcBorders>
            <w:vAlign w:val="center"/>
            <w:hideMark/>
          </w:tcPr>
          <w:p w14:paraId="5F7E2241" w14:textId="77777777" w:rsidR="00270042" w:rsidRPr="00C746F7" w:rsidRDefault="00270042" w:rsidP="00431692">
            <w:pPr>
              <w:spacing w:after="0" w:line="240" w:lineRule="auto"/>
              <w:jc w:val="center"/>
              <w:rPr>
                <w:rFonts w:ascii="Arial" w:eastAsia="Times New Roman" w:hAnsi="Arial" w:cs="Arial"/>
                <w:kern w:val="0"/>
                <w:lang w:eastAsia="pt-BR"/>
                <w14:ligatures w14:val="none"/>
              </w:rPr>
            </w:pPr>
            <w:r w:rsidRPr="00C746F7">
              <w:rPr>
                <w:rFonts w:ascii="Arial" w:eastAsia="Times New Roman" w:hAnsi="Arial" w:cs="Arial"/>
                <w:kern w:val="0"/>
                <w:lang w:eastAsia="pt-BR"/>
                <w14:ligatures w14:val="none"/>
              </w:rPr>
              <w:t>45.12-9</w:t>
            </w:r>
          </w:p>
        </w:tc>
        <w:tc>
          <w:tcPr>
            <w:tcW w:w="7512" w:type="dxa"/>
            <w:tcBorders>
              <w:top w:val="nil"/>
              <w:left w:val="nil"/>
              <w:bottom w:val="nil"/>
              <w:right w:val="nil"/>
            </w:tcBorders>
            <w:vAlign w:val="center"/>
            <w:hideMark/>
          </w:tcPr>
          <w:p w14:paraId="04F50084" w14:textId="77777777" w:rsidR="00270042" w:rsidRPr="00C746F7" w:rsidRDefault="00270042" w:rsidP="00431692">
            <w:pPr>
              <w:spacing w:after="0" w:line="240" w:lineRule="auto"/>
              <w:jc w:val="both"/>
              <w:rPr>
                <w:rFonts w:ascii="Arial" w:eastAsia="Times New Roman" w:hAnsi="Arial" w:cs="Arial"/>
                <w:kern w:val="0"/>
                <w:lang w:eastAsia="pt-BR"/>
                <w14:ligatures w14:val="none"/>
              </w:rPr>
            </w:pPr>
            <w:r w:rsidRPr="00C746F7">
              <w:rPr>
                <w:rFonts w:ascii="Arial" w:eastAsia="Times New Roman" w:hAnsi="Arial" w:cs="Arial"/>
                <w:kern w:val="0"/>
                <w:lang w:eastAsia="pt-BR"/>
                <w14:ligatures w14:val="none"/>
              </w:rPr>
              <w:t>Representantes comerciais e agentes do comércio de veículos automotores</w:t>
            </w:r>
          </w:p>
        </w:tc>
      </w:tr>
      <w:tr w:rsidR="00270042" w:rsidRPr="00C746F7" w14:paraId="363C3392" w14:textId="77777777" w:rsidTr="00431692">
        <w:trPr>
          <w:trHeight w:val="293"/>
        </w:trPr>
        <w:tc>
          <w:tcPr>
            <w:tcW w:w="993" w:type="dxa"/>
            <w:tcBorders>
              <w:top w:val="nil"/>
              <w:left w:val="nil"/>
              <w:bottom w:val="nil"/>
              <w:right w:val="nil"/>
            </w:tcBorders>
            <w:vAlign w:val="center"/>
            <w:hideMark/>
          </w:tcPr>
          <w:p w14:paraId="0F3DE8FB" w14:textId="77777777" w:rsidR="00270042" w:rsidRPr="00C746F7" w:rsidRDefault="00270042" w:rsidP="00431692">
            <w:pPr>
              <w:spacing w:after="0" w:line="240" w:lineRule="auto"/>
              <w:jc w:val="center"/>
              <w:rPr>
                <w:rFonts w:ascii="Arial" w:eastAsia="Times New Roman" w:hAnsi="Arial" w:cs="Arial"/>
                <w:kern w:val="0"/>
                <w:lang w:eastAsia="pt-BR"/>
                <w14:ligatures w14:val="none"/>
              </w:rPr>
            </w:pPr>
            <w:r w:rsidRPr="00C746F7">
              <w:rPr>
                <w:rFonts w:ascii="Arial" w:eastAsia="Times New Roman" w:hAnsi="Arial" w:cs="Arial"/>
                <w:kern w:val="0"/>
                <w:lang w:eastAsia="pt-BR"/>
                <w14:ligatures w14:val="none"/>
              </w:rPr>
              <w:t>45.20-0</w:t>
            </w:r>
          </w:p>
        </w:tc>
        <w:tc>
          <w:tcPr>
            <w:tcW w:w="7512" w:type="dxa"/>
            <w:tcBorders>
              <w:top w:val="nil"/>
              <w:left w:val="nil"/>
              <w:bottom w:val="nil"/>
              <w:right w:val="nil"/>
            </w:tcBorders>
            <w:vAlign w:val="center"/>
            <w:hideMark/>
          </w:tcPr>
          <w:p w14:paraId="551F8B9F" w14:textId="77777777" w:rsidR="00270042" w:rsidRPr="00C746F7" w:rsidRDefault="00270042" w:rsidP="00431692">
            <w:pPr>
              <w:spacing w:after="0" w:line="240" w:lineRule="auto"/>
              <w:jc w:val="both"/>
              <w:rPr>
                <w:rFonts w:ascii="Arial" w:eastAsia="Times New Roman" w:hAnsi="Arial" w:cs="Arial"/>
                <w:kern w:val="0"/>
                <w:lang w:eastAsia="pt-BR"/>
                <w14:ligatures w14:val="none"/>
              </w:rPr>
            </w:pPr>
            <w:r w:rsidRPr="00C746F7">
              <w:rPr>
                <w:rFonts w:ascii="Arial" w:eastAsia="Times New Roman" w:hAnsi="Arial" w:cs="Arial"/>
                <w:kern w:val="0"/>
                <w:lang w:eastAsia="pt-BR"/>
                <w14:ligatures w14:val="none"/>
              </w:rPr>
              <w:t>Manutenção e reparação de veículos automotores</w:t>
            </w:r>
          </w:p>
        </w:tc>
      </w:tr>
      <w:tr w:rsidR="00270042" w:rsidRPr="00C746F7" w14:paraId="15D98D78" w14:textId="77777777" w:rsidTr="00431692">
        <w:trPr>
          <w:trHeight w:val="293"/>
        </w:trPr>
        <w:tc>
          <w:tcPr>
            <w:tcW w:w="993" w:type="dxa"/>
            <w:tcBorders>
              <w:top w:val="nil"/>
              <w:left w:val="nil"/>
              <w:bottom w:val="nil"/>
              <w:right w:val="nil"/>
            </w:tcBorders>
            <w:vAlign w:val="center"/>
            <w:hideMark/>
          </w:tcPr>
          <w:p w14:paraId="3E933597" w14:textId="77777777" w:rsidR="00270042" w:rsidRPr="00C746F7" w:rsidRDefault="00270042" w:rsidP="00431692">
            <w:pPr>
              <w:spacing w:after="0" w:line="240" w:lineRule="auto"/>
              <w:jc w:val="center"/>
              <w:rPr>
                <w:rFonts w:ascii="Arial" w:eastAsia="Times New Roman" w:hAnsi="Arial" w:cs="Arial"/>
                <w:kern w:val="0"/>
                <w:lang w:eastAsia="pt-BR"/>
                <w14:ligatures w14:val="none"/>
              </w:rPr>
            </w:pPr>
            <w:r w:rsidRPr="00C746F7">
              <w:rPr>
                <w:rFonts w:ascii="Arial" w:eastAsia="Times New Roman" w:hAnsi="Arial" w:cs="Arial"/>
                <w:kern w:val="0"/>
                <w:lang w:eastAsia="pt-BR"/>
                <w14:ligatures w14:val="none"/>
              </w:rPr>
              <w:t>45.30-7</w:t>
            </w:r>
          </w:p>
        </w:tc>
        <w:tc>
          <w:tcPr>
            <w:tcW w:w="7512" w:type="dxa"/>
            <w:tcBorders>
              <w:top w:val="nil"/>
              <w:left w:val="nil"/>
              <w:bottom w:val="nil"/>
              <w:right w:val="nil"/>
            </w:tcBorders>
            <w:vAlign w:val="center"/>
            <w:hideMark/>
          </w:tcPr>
          <w:p w14:paraId="307BBB9F" w14:textId="77777777" w:rsidR="00270042" w:rsidRPr="00C746F7" w:rsidRDefault="00270042" w:rsidP="00431692">
            <w:pPr>
              <w:spacing w:after="0" w:line="240" w:lineRule="auto"/>
              <w:jc w:val="both"/>
              <w:rPr>
                <w:rFonts w:ascii="Arial" w:eastAsia="Times New Roman" w:hAnsi="Arial" w:cs="Arial"/>
                <w:kern w:val="0"/>
                <w:lang w:eastAsia="pt-BR"/>
                <w14:ligatures w14:val="none"/>
              </w:rPr>
            </w:pPr>
            <w:r w:rsidRPr="00C746F7">
              <w:rPr>
                <w:rFonts w:ascii="Arial" w:eastAsia="Times New Roman" w:hAnsi="Arial" w:cs="Arial"/>
                <w:kern w:val="0"/>
                <w:lang w:eastAsia="pt-BR"/>
                <w14:ligatures w14:val="none"/>
              </w:rPr>
              <w:t>Comércio de peças e acessórios para veículos automotores</w:t>
            </w:r>
          </w:p>
        </w:tc>
      </w:tr>
      <w:tr w:rsidR="00270042" w:rsidRPr="00C746F7" w14:paraId="767C51A5" w14:textId="77777777" w:rsidTr="00431692">
        <w:trPr>
          <w:trHeight w:val="300"/>
        </w:trPr>
        <w:tc>
          <w:tcPr>
            <w:tcW w:w="993" w:type="dxa"/>
            <w:tcBorders>
              <w:top w:val="nil"/>
              <w:left w:val="nil"/>
              <w:bottom w:val="nil"/>
              <w:right w:val="nil"/>
            </w:tcBorders>
            <w:vAlign w:val="center"/>
            <w:hideMark/>
          </w:tcPr>
          <w:p w14:paraId="5614EBBD" w14:textId="77777777" w:rsidR="00270042" w:rsidRPr="00C746F7" w:rsidRDefault="00270042" w:rsidP="00431692">
            <w:pPr>
              <w:spacing w:after="0" w:line="240" w:lineRule="auto"/>
              <w:jc w:val="center"/>
              <w:rPr>
                <w:rFonts w:ascii="Arial" w:eastAsia="Times New Roman" w:hAnsi="Arial" w:cs="Arial"/>
                <w:kern w:val="0"/>
                <w:lang w:eastAsia="pt-BR"/>
                <w14:ligatures w14:val="none"/>
              </w:rPr>
            </w:pPr>
            <w:r w:rsidRPr="00C746F7">
              <w:rPr>
                <w:rFonts w:ascii="Arial" w:eastAsia="Times New Roman" w:hAnsi="Arial" w:cs="Arial"/>
                <w:kern w:val="0"/>
                <w:lang w:eastAsia="pt-BR"/>
                <w14:ligatures w14:val="none"/>
              </w:rPr>
              <w:t>45.41-2</w:t>
            </w:r>
          </w:p>
        </w:tc>
        <w:tc>
          <w:tcPr>
            <w:tcW w:w="7512" w:type="dxa"/>
            <w:tcBorders>
              <w:top w:val="nil"/>
              <w:left w:val="nil"/>
              <w:bottom w:val="nil"/>
              <w:right w:val="nil"/>
            </w:tcBorders>
            <w:vAlign w:val="center"/>
            <w:hideMark/>
          </w:tcPr>
          <w:p w14:paraId="7BA4A5DF" w14:textId="77777777" w:rsidR="00270042" w:rsidRPr="00C746F7" w:rsidRDefault="00270042" w:rsidP="00431692">
            <w:pPr>
              <w:spacing w:after="0" w:line="240" w:lineRule="auto"/>
              <w:jc w:val="both"/>
              <w:rPr>
                <w:rFonts w:ascii="Arial" w:eastAsia="Times New Roman" w:hAnsi="Arial" w:cs="Arial"/>
                <w:kern w:val="0"/>
                <w:lang w:eastAsia="pt-BR"/>
                <w14:ligatures w14:val="none"/>
              </w:rPr>
            </w:pPr>
            <w:r w:rsidRPr="00C746F7">
              <w:rPr>
                <w:rFonts w:ascii="Arial" w:eastAsia="Times New Roman" w:hAnsi="Arial" w:cs="Arial"/>
                <w:kern w:val="0"/>
                <w:lang w:eastAsia="pt-BR"/>
                <w14:ligatures w14:val="none"/>
              </w:rPr>
              <w:t>Comércio por atacado e a varejo de motocicletas, peças e acessórios</w:t>
            </w:r>
          </w:p>
        </w:tc>
      </w:tr>
      <w:tr w:rsidR="00270042" w:rsidRPr="00C746F7" w14:paraId="6F8287BC" w14:textId="77777777" w:rsidTr="00431692">
        <w:trPr>
          <w:trHeight w:val="293"/>
        </w:trPr>
        <w:tc>
          <w:tcPr>
            <w:tcW w:w="993" w:type="dxa"/>
            <w:tcBorders>
              <w:top w:val="nil"/>
              <w:left w:val="nil"/>
              <w:right w:val="nil"/>
            </w:tcBorders>
            <w:hideMark/>
          </w:tcPr>
          <w:p w14:paraId="1A552E0A" w14:textId="77777777" w:rsidR="00270042" w:rsidRPr="00C746F7" w:rsidRDefault="00270042" w:rsidP="00431692">
            <w:pPr>
              <w:spacing w:after="0" w:line="240" w:lineRule="auto"/>
              <w:jc w:val="center"/>
              <w:rPr>
                <w:rFonts w:ascii="Arial" w:eastAsia="Times New Roman" w:hAnsi="Arial" w:cs="Arial"/>
                <w:kern w:val="0"/>
                <w:lang w:eastAsia="pt-BR"/>
                <w14:ligatures w14:val="none"/>
              </w:rPr>
            </w:pPr>
            <w:r w:rsidRPr="00C746F7">
              <w:rPr>
                <w:rFonts w:ascii="Arial" w:eastAsia="Times New Roman" w:hAnsi="Arial" w:cs="Arial"/>
                <w:kern w:val="0"/>
                <w:lang w:eastAsia="pt-BR"/>
                <w14:ligatures w14:val="none"/>
              </w:rPr>
              <w:t>45.42-1</w:t>
            </w:r>
          </w:p>
        </w:tc>
        <w:tc>
          <w:tcPr>
            <w:tcW w:w="7512" w:type="dxa"/>
            <w:tcBorders>
              <w:top w:val="nil"/>
              <w:left w:val="nil"/>
              <w:right w:val="nil"/>
            </w:tcBorders>
            <w:hideMark/>
          </w:tcPr>
          <w:p w14:paraId="50D3FC4A" w14:textId="77777777" w:rsidR="00270042" w:rsidRPr="00C746F7" w:rsidRDefault="00270042" w:rsidP="00431692">
            <w:pPr>
              <w:spacing w:after="0" w:line="240" w:lineRule="auto"/>
              <w:jc w:val="both"/>
              <w:rPr>
                <w:rFonts w:ascii="Arial" w:eastAsia="Times New Roman" w:hAnsi="Arial" w:cs="Arial"/>
                <w:kern w:val="0"/>
                <w:lang w:eastAsia="pt-BR"/>
                <w14:ligatures w14:val="none"/>
              </w:rPr>
            </w:pPr>
            <w:r w:rsidRPr="00C746F7">
              <w:rPr>
                <w:rFonts w:ascii="Arial" w:eastAsia="Times New Roman" w:hAnsi="Arial" w:cs="Arial"/>
                <w:kern w:val="0"/>
                <w:lang w:eastAsia="pt-BR"/>
                <w14:ligatures w14:val="none"/>
              </w:rPr>
              <w:t>Representantes comerciais e agentes do comércio de motocicletas, peças e acessórios</w:t>
            </w:r>
          </w:p>
        </w:tc>
      </w:tr>
      <w:tr w:rsidR="00270042" w:rsidRPr="00C746F7" w14:paraId="527A20F7" w14:textId="77777777" w:rsidTr="00431692">
        <w:trPr>
          <w:trHeight w:val="293"/>
        </w:trPr>
        <w:tc>
          <w:tcPr>
            <w:tcW w:w="993" w:type="dxa"/>
            <w:tcBorders>
              <w:top w:val="nil"/>
              <w:left w:val="nil"/>
              <w:bottom w:val="single" w:sz="4" w:space="0" w:color="auto"/>
              <w:right w:val="nil"/>
            </w:tcBorders>
            <w:vAlign w:val="center"/>
            <w:hideMark/>
          </w:tcPr>
          <w:p w14:paraId="7D9E23DD" w14:textId="77777777" w:rsidR="00270042" w:rsidRPr="00C746F7" w:rsidRDefault="00270042" w:rsidP="00431692">
            <w:pPr>
              <w:spacing w:after="0" w:line="240" w:lineRule="auto"/>
              <w:jc w:val="center"/>
              <w:rPr>
                <w:rFonts w:ascii="Arial" w:eastAsia="Times New Roman" w:hAnsi="Arial" w:cs="Arial"/>
                <w:kern w:val="0"/>
                <w:lang w:eastAsia="pt-BR"/>
                <w14:ligatures w14:val="none"/>
              </w:rPr>
            </w:pPr>
            <w:r w:rsidRPr="00C746F7">
              <w:rPr>
                <w:rFonts w:ascii="Arial" w:eastAsia="Times New Roman" w:hAnsi="Arial" w:cs="Arial"/>
                <w:kern w:val="0"/>
                <w:lang w:eastAsia="pt-BR"/>
                <w14:ligatures w14:val="none"/>
              </w:rPr>
              <w:t>45.43-9</w:t>
            </w:r>
          </w:p>
        </w:tc>
        <w:tc>
          <w:tcPr>
            <w:tcW w:w="7512" w:type="dxa"/>
            <w:tcBorders>
              <w:top w:val="nil"/>
              <w:left w:val="nil"/>
              <w:bottom w:val="single" w:sz="4" w:space="0" w:color="auto"/>
              <w:right w:val="nil"/>
            </w:tcBorders>
            <w:vAlign w:val="center"/>
            <w:hideMark/>
          </w:tcPr>
          <w:p w14:paraId="36D2DD22" w14:textId="77777777" w:rsidR="00270042" w:rsidRPr="00C746F7" w:rsidRDefault="00270042" w:rsidP="00431692">
            <w:pPr>
              <w:spacing w:after="0" w:line="240" w:lineRule="auto"/>
              <w:jc w:val="both"/>
              <w:rPr>
                <w:rFonts w:ascii="Arial" w:eastAsia="Times New Roman" w:hAnsi="Arial" w:cs="Arial"/>
                <w:kern w:val="0"/>
                <w:lang w:eastAsia="pt-BR"/>
                <w14:ligatures w14:val="none"/>
              </w:rPr>
            </w:pPr>
            <w:r w:rsidRPr="00C746F7">
              <w:rPr>
                <w:rFonts w:ascii="Arial" w:eastAsia="Times New Roman" w:hAnsi="Arial" w:cs="Arial"/>
                <w:kern w:val="0"/>
                <w:lang w:eastAsia="pt-BR"/>
                <w14:ligatures w14:val="none"/>
              </w:rPr>
              <w:t>Manutenção e reparação de motocicletas</w:t>
            </w:r>
          </w:p>
        </w:tc>
      </w:tr>
    </w:tbl>
    <w:p w14:paraId="324F85BD" w14:textId="77777777" w:rsidR="00270042" w:rsidRDefault="00270042" w:rsidP="00270042">
      <w:pPr>
        <w:spacing w:after="0"/>
        <w:jc w:val="center"/>
        <w:rPr>
          <w:rFonts w:ascii="Arial" w:hAnsi="Arial" w:cs="Arial"/>
        </w:rPr>
      </w:pPr>
      <w:r w:rsidRPr="00C746F7">
        <w:rPr>
          <w:rFonts w:ascii="Arial" w:hAnsi="Arial" w:cs="Arial"/>
        </w:rPr>
        <w:t>Fonte: Classificação Nacional de Atividades Econômicas (CNAE), IBGE (2026).</w:t>
      </w:r>
    </w:p>
    <w:p w14:paraId="2FCA6D9E" w14:textId="77777777" w:rsidR="00270042" w:rsidRPr="00986FED" w:rsidRDefault="00270042" w:rsidP="00270042">
      <w:pPr>
        <w:spacing w:after="0"/>
        <w:jc w:val="both"/>
        <w:rPr>
          <w:rFonts w:ascii="Arial" w:eastAsiaTheme="minorEastAsia" w:hAnsi="Arial" w:cs="Arial"/>
          <w:color w:val="000000" w:themeColor="text1"/>
        </w:rPr>
      </w:pPr>
    </w:p>
    <w:p w14:paraId="03DC0498" w14:textId="77777777" w:rsidR="00270042" w:rsidRDefault="00270042" w:rsidP="00270042">
      <w:pPr>
        <w:pStyle w:val="Ttulo3"/>
        <w:rPr>
          <w:rFonts w:ascii="Arial" w:hAnsi="Arial" w:cs="Arial"/>
          <w:color w:val="000000" w:themeColor="text1"/>
          <w:sz w:val="24"/>
          <w:szCs w:val="24"/>
        </w:rPr>
      </w:pPr>
      <w:bookmarkStart w:id="12" w:name="_Toc225542320"/>
      <w:r w:rsidRPr="00986FED">
        <w:rPr>
          <w:rFonts w:ascii="Arial" w:hAnsi="Arial" w:cs="Arial"/>
          <w:color w:val="000000" w:themeColor="text1"/>
          <w:sz w:val="24"/>
          <w:szCs w:val="24"/>
        </w:rPr>
        <w:t>3.3.3 Especificação do modelo</w:t>
      </w:r>
      <w:bookmarkEnd w:id="12"/>
    </w:p>
    <w:p w14:paraId="2AA8E58E" w14:textId="77777777" w:rsidR="00270042" w:rsidRDefault="00270042" w:rsidP="00270042">
      <w:pPr>
        <w:spacing w:after="0"/>
        <w:ind w:firstLine="708"/>
        <w:jc w:val="both"/>
        <w:rPr>
          <w:rFonts w:ascii="Arial" w:hAnsi="Arial" w:cs="Arial"/>
        </w:rPr>
      </w:pPr>
    </w:p>
    <w:p w14:paraId="2C7B441D" w14:textId="77777777" w:rsidR="00270042" w:rsidRPr="00C746F7" w:rsidRDefault="00270042" w:rsidP="00270042">
      <w:pPr>
        <w:pStyle w:val="EstiloJustificadoPrimeiralinha125cm"/>
        <w:rPr>
          <w:rFonts w:eastAsiaTheme="minorEastAsia"/>
        </w:rPr>
      </w:pPr>
      <w:r w:rsidRPr="00C746F7">
        <w:t xml:space="preserve">Sejam </w:t>
      </w:r>
      <m:oMath>
        <m:r>
          <w:rPr>
            <w:rFonts w:ascii="Cambria Math" w:hAnsi="Cambria Math"/>
          </w:rPr>
          <m:t>m</m:t>
        </m:r>
      </m:oMath>
      <w:r w:rsidRPr="00C746F7">
        <w:t xml:space="preserve"> o município, </w:t>
      </w:r>
      <m:oMath>
        <m:r>
          <w:rPr>
            <w:rFonts w:ascii="Cambria Math" w:hAnsi="Cambria Math"/>
          </w:rPr>
          <m:t>s</m:t>
        </m:r>
      </m:oMath>
      <w:r w:rsidRPr="00C746F7">
        <w:t xml:space="preserve"> o setor e </w:t>
      </w:r>
      <m:oMath>
        <m:r>
          <w:rPr>
            <w:rFonts w:ascii="Cambria Math" w:hAnsi="Cambria Math"/>
          </w:rPr>
          <m:t>t</m:t>
        </m:r>
      </m:oMath>
      <w:r w:rsidRPr="00C746F7">
        <w:rPr>
          <w:i/>
          <w:iCs/>
        </w:rPr>
        <w:t xml:space="preserve"> </w:t>
      </w:r>
      <w:r w:rsidRPr="00C746F7">
        <w:t xml:space="preserve">o ano. Define-se </w:t>
      </w:r>
      <m:oMath>
        <m:sSub>
          <m:sSubPr>
            <m:ctrlPr>
              <w:rPr>
                <w:rFonts w:ascii="Cambria Math" w:hAnsi="Cambria Math"/>
              </w:rPr>
            </m:ctrlPr>
          </m:sSubPr>
          <m:e>
            <m:r>
              <w:rPr>
                <w:rFonts w:ascii="Cambria Math" w:hAnsi="Cambria Math"/>
              </w:rPr>
              <m:t>Emp</m:t>
            </m:r>
          </m:e>
          <m:sub>
            <m:r>
              <w:rPr>
                <w:rFonts w:ascii="Cambria Math" w:hAnsi="Cambria Math"/>
              </w:rPr>
              <m:t>mst</m:t>
            </m:r>
          </m:sub>
        </m:sSub>
      </m:oMath>
      <w:r w:rsidRPr="00C746F7">
        <w:rPr>
          <w:i/>
          <w:iCs/>
        </w:rPr>
        <w:t xml:space="preserve"> </w:t>
      </w:r>
      <w:r w:rsidRPr="00C746F7">
        <w:t xml:space="preserve">como o número de empregados no município </w:t>
      </w:r>
      <m:oMath>
        <m:r>
          <w:rPr>
            <w:rFonts w:ascii="Cambria Math" w:hAnsi="Cambria Math"/>
          </w:rPr>
          <m:t>m</m:t>
        </m:r>
      </m:oMath>
      <w:r w:rsidRPr="00C746F7">
        <w:rPr>
          <w:i/>
          <w:iCs/>
        </w:rPr>
        <w:t>,</w:t>
      </w:r>
      <w:r w:rsidRPr="00C746F7">
        <w:t xml:space="preserve"> setor </w:t>
      </w:r>
      <m:oMath>
        <m:r>
          <w:rPr>
            <w:rFonts w:ascii="Cambria Math" w:hAnsi="Cambria Math"/>
          </w:rPr>
          <m:t>s</m:t>
        </m:r>
      </m:oMath>
      <w:r w:rsidRPr="00C746F7">
        <w:t xml:space="preserve">, ano </w:t>
      </w:r>
      <m:oMath>
        <m:r>
          <w:rPr>
            <w:rFonts w:ascii="Cambria Math" w:hAnsi="Cambria Math"/>
          </w:rPr>
          <m:t>t</m:t>
        </m:r>
      </m:oMath>
      <w:r w:rsidRPr="00C746F7">
        <w:rPr>
          <w:i/>
          <w:iCs/>
        </w:rPr>
        <w:t xml:space="preserve">. </w:t>
      </w:r>
      <w:r w:rsidRPr="00C746F7">
        <w:t xml:space="preserve">A variável dependente é </w:t>
      </w:r>
      <m:oMath>
        <m:sSub>
          <m:sSubPr>
            <m:ctrlPr>
              <w:rPr>
                <w:rFonts w:ascii="Cambria Math" w:hAnsi="Cambria Math"/>
              </w:rPr>
            </m:ctrlPr>
          </m:sSubPr>
          <m:e>
            <m:r>
              <w:rPr>
                <w:rFonts w:ascii="Cambria Math" w:hAnsi="Cambria Math"/>
              </w:rPr>
              <m:t>Y</m:t>
            </m:r>
          </m:e>
          <m:sub>
            <m:r>
              <w:rPr>
                <w:rFonts w:ascii="Cambria Math" w:hAnsi="Cambria Math"/>
              </w:rPr>
              <m:t>mst</m:t>
            </m:r>
          </m:sub>
        </m:sSub>
      </m:oMath>
      <w:r w:rsidRPr="00C746F7">
        <w:rPr>
          <w:rFonts w:eastAsiaTheme="minorEastAsia"/>
        </w:rPr>
        <w:t>:</w:t>
      </w:r>
    </w:p>
    <w:p w14:paraId="0FF0E9F9" w14:textId="77777777" w:rsidR="00270042" w:rsidRPr="00C746F7" w:rsidRDefault="00270042" w:rsidP="00270042">
      <w:pPr>
        <w:jc w:val="center"/>
        <w:rPr>
          <w:rFonts w:ascii="Arial" w:hAnsi="Arial" w:cs="Arial"/>
        </w:rPr>
      </w:pPr>
      <m:oMath>
        <m:sSub>
          <m:sSubPr>
            <m:ctrlPr>
              <w:rPr>
                <w:rFonts w:ascii="Cambria Math" w:hAnsi="Cambria Math" w:cs="Arial"/>
              </w:rPr>
            </m:ctrlPr>
          </m:sSubPr>
          <m:e>
            <m:r>
              <w:rPr>
                <w:rFonts w:ascii="Cambria Math" w:hAnsi="Cambria Math" w:cs="Arial"/>
              </w:rPr>
              <m:t>Y</m:t>
            </m:r>
          </m:e>
          <m:sub>
            <m:r>
              <w:rPr>
                <w:rFonts w:ascii="Cambria Math" w:hAnsi="Cambria Math" w:cs="Arial"/>
              </w:rPr>
              <m:t>mst</m:t>
            </m:r>
          </m:sub>
        </m:sSub>
      </m:oMath>
      <w:r w:rsidRPr="00C746F7">
        <w:rPr>
          <w:rFonts w:ascii="Arial" w:hAnsi="Arial" w:cs="Arial"/>
          <w:i/>
          <w:iCs/>
          <w:vertAlign w:val="subscript"/>
        </w:rPr>
        <w:t xml:space="preserve"> </w:t>
      </w:r>
      <w:r w:rsidRPr="00C746F7">
        <w:rPr>
          <w:rFonts w:ascii="Arial" w:hAnsi="Arial" w:cs="Arial"/>
        </w:rPr>
        <w:t xml:space="preserve">= </w:t>
      </w:r>
      <m:oMath>
        <m:r>
          <w:rPr>
            <w:rFonts w:ascii="Cambria Math" w:hAnsi="Cambria Math" w:cs="Arial"/>
          </w:rPr>
          <m:t>ln</m:t>
        </m:r>
        <m:sSub>
          <m:sSubPr>
            <m:ctrlPr>
              <w:rPr>
                <w:rFonts w:ascii="Cambria Math" w:hAnsi="Cambria Math" w:cs="Arial"/>
              </w:rPr>
            </m:ctrlPr>
          </m:sSubPr>
          <m:e>
            <m:r>
              <w:rPr>
                <w:rFonts w:ascii="Cambria Math" w:hAnsi="Cambria Math" w:cs="Arial"/>
              </w:rPr>
              <m:t>(Emp</m:t>
            </m:r>
          </m:e>
          <m:sub>
            <m:r>
              <w:rPr>
                <w:rFonts w:ascii="Cambria Math" w:hAnsi="Cambria Math" w:cs="Arial"/>
              </w:rPr>
              <m:t>mst</m:t>
            </m:r>
          </m:sub>
        </m:sSub>
        <m:r>
          <w:rPr>
            <w:rFonts w:ascii="Cambria Math" w:eastAsiaTheme="minorEastAsia" w:hAnsi="Cambria Math" w:cs="Arial"/>
          </w:rPr>
          <m:t>+1)</m:t>
        </m:r>
      </m:oMath>
    </w:p>
    <w:p w14:paraId="284CBC57" w14:textId="77777777" w:rsidR="00270042" w:rsidRPr="00C746F7" w:rsidRDefault="00270042" w:rsidP="00270042">
      <w:pPr>
        <w:pStyle w:val="EstiloJustificadoPrimeiralinha125cm"/>
      </w:pPr>
      <w:r w:rsidRPr="00C746F7">
        <w:t>O termo “</w:t>
      </w:r>
      <m:oMath>
        <m:r>
          <w:rPr>
            <w:rFonts w:ascii="Cambria Math" w:eastAsiaTheme="minorEastAsia" w:hAnsi="Cambria Math"/>
          </w:rPr>
          <m:t>+1</m:t>
        </m:r>
      </m:oMath>
      <w:r w:rsidRPr="00C746F7">
        <w:t>” evita perda amostral por células com emprego zero e mantém a interpretação aproximada em termos percentuais para variações pequenos no logaritmo. Introduzem-se três indicadores binários:</w:t>
      </w:r>
    </w:p>
    <w:p w14:paraId="22E22901" w14:textId="77777777" w:rsidR="00270042" w:rsidRPr="00C746F7" w:rsidRDefault="00270042" w:rsidP="00270042">
      <w:pPr>
        <w:pStyle w:val="EstiloJustificado"/>
      </w:pPr>
      <m:oMath>
        <m:sSub>
          <m:sSubPr>
            <m:ctrlPr>
              <w:rPr>
                <w:rFonts w:ascii="Cambria Math" w:hAnsi="Cambria Math"/>
              </w:rPr>
            </m:ctrlPr>
          </m:sSubPr>
          <m:e>
            <m:r>
              <w:rPr>
                <w:rFonts w:ascii="Cambria Math" w:hAnsi="Cambria Math"/>
              </w:rPr>
              <m:t>D</m:t>
            </m:r>
          </m:e>
          <m:sub>
            <m:r>
              <w:rPr>
                <w:rFonts w:ascii="Cambria Math" w:hAnsi="Cambria Math"/>
              </w:rPr>
              <m:t>m</m:t>
            </m:r>
          </m:sub>
        </m:sSub>
        <m:r>
          <w:rPr>
            <w:rFonts w:ascii="Cambria Math" w:hAnsi="Cambria Math"/>
          </w:rPr>
          <m:t>∈{0,1}</m:t>
        </m:r>
      </m:oMath>
      <w:r w:rsidRPr="00C746F7">
        <w:t xml:space="preserve">: indicador de município tratado, com </w:t>
      </w:r>
      <m:oMath>
        <m:sSub>
          <m:sSubPr>
            <m:ctrlPr>
              <w:rPr>
                <w:rFonts w:ascii="Cambria Math" w:hAnsi="Cambria Math"/>
              </w:rPr>
            </m:ctrlPr>
          </m:sSubPr>
          <m:e>
            <m:r>
              <w:rPr>
                <w:rFonts w:ascii="Cambria Math" w:hAnsi="Cambria Math"/>
              </w:rPr>
              <m:t>D</m:t>
            </m:r>
          </m:e>
          <m:sub>
            <m:r>
              <w:rPr>
                <w:rFonts w:ascii="Cambria Math" w:hAnsi="Cambria Math"/>
              </w:rPr>
              <m:t>m</m:t>
            </m:r>
          </m:sub>
        </m:sSub>
        <m:r>
          <w:rPr>
            <w:rFonts w:ascii="Cambria Math" w:hAnsi="Cambria Math"/>
          </w:rPr>
          <m:t>=1</m:t>
        </m:r>
      </m:oMath>
      <w:r w:rsidRPr="00C746F7">
        <w:rPr>
          <w:rFonts w:eastAsiaTheme="minorEastAsia"/>
        </w:rPr>
        <w:t xml:space="preserve"> </w:t>
      </w:r>
      <w:r w:rsidRPr="00C746F7">
        <w:t xml:space="preserve">se </w:t>
      </w:r>
      <m:oMath>
        <m:r>
          <w:rPr>
            <w:rFonts w:ascii="Cambria Math" w:hAnsi="Cambria Math"/>
          </w:rPr>
          <m:t>m</m:t>
        </m:r>
      </m:oMath>
      <w:r w:rsidRPr="00C746F7">
        <w:rPr>
          <w:rFonts w:eastAsiaTheme="minorEastAsia"/>
        </w:rPr>
        <w:t xml:space="preserve"> </w:t>
      </w:r>
      <w:r w:rsidRPr="00C746F7">
        <w:t>pertence ao conjunto de municípios expostos ao choque;</w:t>
      </w:r>
    </w:p>
    <w:p w14:paraId="594BC535" w14:textId="77777777" w:rsidR="00270042" w:rsidRPr="00C746F7" w:rsidRDefault="00270042" w:rsidP="00270042">
      <w:pPr>
        <w:pStyle w:val="EstiloJustificado"/>
      </w:pPr>
      <m:oMath>
        <m:sSub>
          <m:sSubPr>
            <m:ctrlPr>
              <w:rPr>
                <w:rFonts w:ascii="Cambria Math" w:hAnsi="Cambria Math"/>
              </w:rPr>
            </m:ctrlPr>
          </m:sSubPr>
          <m:e>
            <m:r>
              <w:rPr>
                <w:rFonts w:ascii="Cambria Math" w:hAnsi="Cambria Math"/>
              </w:rPr>
              <m:t>S</m:t>
            </m:r>
          </m:e>
          <m:sub>
            <m:r>
              <w:rPr>
                <w:rFonts w:ascii="Cambria Math" w:hAnsi="Cambria Math"/>
              </w:rPr>
              <m:t>s</m:t>
            </m:r>
          </m:sub>
        </m:sSub>
        <m:r>
          <w:rPr>
            <w:rFonts w:ascii="Cambria Math" w:hAnsi="Cambria Math"/>
          </w:rPr>
          <m:t>∈{0,1}</m:t>
        </m:r>
      </m:oMath>
      <w:r w:rsidRPr="00C746F7">
        <w:t xml:space="preserve">: indicador de setor tratado, com </w:t>
      </w:r>
      <m:oMath>
        <m:sSub>
          <m:sSubPr>
            <m:ctrlPr>
              <w:rPr>
                <w:rFonts w:ascii="Cambria Math" w:hAnsi="Cambria Math"/>
              </w:rPr>
            </m:ctrlPr>
          </m:sSubPr>
          <m:e>
            <m:r>
              <w:rPr>
                <w:rFonts w:ascii="Cambria Math" w:hAnsi="Cambria Math"/>
              </w:rPr>
              <m:t>S</m:t>
            </m:r>
          </m:e>
          <m:sub>
            <m:r>
              <w:rPr>
                <w:rFonts w:ascii="Cambria Math" w:hAnsi="Cambria Math"/>
              </w:rPr>
              <m:t>s</m:t>
            </m:r>
          </m:sub>
        </m:sSub>
        <m:r>
          <w:rPr>
            <w:rFonts w:ascii="Cambria Math" w:hAnsi="Cambria Math"/>
          </w:rPr>
          <m:t>=1</m:t>
        </m:r>
      </m:oMath>
      <w:r w:rsidRPr="00C746F7">
        <w:rPr>
          <w:rFonts w:eastAsiaTheme="minorEastAsia"/>
        </w:rPr>
        <w:t xml:space="preserve"> </w:t>
      </w:r>
      <w:r w:rsidRPr="00C746F7">
        <w:t xml:space="preserve">se </w:t>
      </w:r>
      <m:oMath>
        <m:r>
          <w:rPr>
            <w:rFonts w:ascii="Cambria Math" w:hAnsi="Cambria Math"/>
          </w:rPr>
          <m:t>s</m:t>
        </m:r>
      </m:oMath>
      <w:r w:rsidRPr="00C746F7">
        <w:rPr>
          <w:rFonts w:eastAsiaTheme="minorEastAsia"/>
        </w:rPr>
        <w:t xml:space="preserve"> </w:t>
      </w:r>
      <w:r w:rsidRPr="00C746F7">
        <w:t>corresponde ao setor-alvo;</w:t>
      </w:r>
    </w:p>
    <w:p w14:paraId="4AD964C9" w14:textId="77777777" w:rsidR="00270042" w:rsidRPr="00C746F7" w:rsidRDefault="00270042" w:rsidP="00270042">
      <w:pPr>
        <w:pStyle w:val="EstiloJustificado"/>
      </w:pPr>
      <m:oMath>
        <m:r>
          <w:rPr>
            <w:rFonts w:ascii="Cambria Math" w:hAnsi="Cambria Math"/>
          </w:rPr>
          <m:t>Pos</m:t>
        </m:r>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∈{0,1}</m:t>
        </m:r>
      </m:oMath>
      <w:r w:rsidRPr="00C746F7">
        <w:t xml:space="preserve">: indicador pós-choque, com </w:t>
      </w:r>
      <m:oMath>
        <m:r>
          <w:rPr>
            <w:rFonts w:ascii="Cambria Math" w:hAnsi="Cambria Math"/>
          </w:rPr>
          <m:t>Pos</m:t>
        </m:r>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=1</m:t>
        </m:r>
      </m:oMath>
      <w:r w:rsidRPr="00C746F7">
        <w:rPr>
          <w:rFonts w:eastAsiaTheme="minorEastAsia"/>
        </w:rPr>
        <w:t xml:space="preserve"> </w:t>
      </w:r>
      <w:r w:rsidRPr="00C746F7">
        <w:t xml:space="preserve">se </w:t>
      </w:r>
      <m:oMath>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0</m:t>
            </m:r>
          </m:sub>
        </m:sSub>
      </m:oMath>
      <w:r w:rsidRPr="00C746F7">
        <w:t xml:space="preserve">, onde </w:t>
      </w:r>
      <m:oMath>
        <m:sSub>
          <m:sSubPr>
            <m:ctrlPr>
              <w:rPr>
                <w:rFonts w:ascii="Cambria Math" w:hAnsi="Cambria Math"/>
              </w:rPr>
            </m:ctrlPr>
          </m:sSubPr>
          <m:e>
            <m:r>
              <w:rPr>
                <w:rFonts w:ascii="Cambria Math" w:hAnsi="Cambria Math"/>
              </w:rPr>
              <m:t>T</m:t>
            </m:r>
          </m:e>
          <m:sub>
            <m:r>
              <w:rPr>
                <w:rFonts w:ascii="Cambria Math" w:hAnsi="Cambria Math"/>
              </w:rPr>
              <m:t>0</m:t>
            </m:r>
          </m:sub>
        </m:sSub>
      </m:oMath>
      <w:r w:rsidRPr="00C746F7">
        <w:rPr>
          <w:rFonts w:eastAsiaTheme="minorEastAsia"/>
        </w:rPr>
        <w:t xml:space="preserve"> </w:t>
      </w:r>
      <w:r w:rsidRPr="00C746F7">
        <w:t>é o ano de ocorrência do choque.</w:t>
      </w:r>
    </w:p>
    <w:p w14:paraId="10FC4764" w14:textId="77777777" w:rsidR="00270042" w:rsidRPr="00C746F7" w:rsidRDefault="00270042" w:rsidP="00270042">
      <w:pPr>
        <w:ind w:firstLine="708"/>
        <w:jc w:val="both"/>
        <w:rPr>
          <w:rFonts w:ascii="Arial" w:hAnsi="Arial" w:cs="Arial"/>
        </w:rPr>
      </w:pPr>
      <w:r w:rsidRPr="00C746F7">
        <w:rPr>
          <w:rFonts w:ascii="Arial" w:hAnsi="Arial" w:cs="Arial"/>
        </w:rPr>
        <w:t>O termo central da estratégia de identificação em Diferenças em Diferenças em Diferenças é a interação tripla entre esses indicadores:</w:t>
      </w:r>
    </w:p>
    <w:p w14:paraId="394B8F09" w14:textId="77777777" w:rsidR="00270042" w:rsidRPr="00C746F7" w:rsidRDefault="00270042" w:rsidP="00270042">
      <w:pPr>
        <w:pStyle w:val="EstiloCentralizadoPrimeiralinha125cm"/>
        <w:rPr>
          <w:rFonts w:eastAsiaTheme="minorEastAsia"/>
        </w:rPr>
      </w:pPr>
      <m:oMath>
        <m:r>
          <w:rPr>
            <w:rFonts w:ascii="Cambria Math" w:hAnsi="Cambria Math"/>
          </w:rPr>
          <m:t>D</m:t>
        </m:r>
        <m:sSub>
          <m:sSubPr>
            <m:ctrlPr>
              <w:rPr>
                <w:rFonts w:ascii="Cambria Math" w:hAnsi="Cambria Math"/>
              </w:rPr>
            </m:ctrlPr>
          </m:sSubPr>
          <m:e>
            <m:r>
              <w:rPr>
                <w:rFonts w:ascii="Cambria Math" w:hAnsi="Cambria Math"/>
              </w:rPr>
              <m:t>DD</m:t>
            </m:r>
          </m:e>
          <m:sub>
            <m:r>
              <w:rPr>
                <w:rFonts w:ascii="Cambria Math" w:hAnsi="Cambria Math"/>
              </w:rPr>
              <m:t>mst</m:t>
            </m:r>
          </m:sub>
        </m:sSub>
        <m:r>
          <m:rPr>
            <m:sty m:val="p"/>
          </m:rPr>
          <w:rPr>
            <w:rFonts w:ascii="Cambria Math" w:eastAsiaTheme="minorEastAsia" w:hAnsi="Cambria Math"/>
          </w:rPr>
          <m:t xml:space="preserve">= </m:t>
        </m:r>
        <m:sSub>
          <m:sSubPr>
            <m:ctrlPr>
              <w:rPr>
                <w:rFonts w:ascii="Cambria Math" w:hAnsi="Cambria Math"/>
              </w:rPr>
            </m:ctrlPr>
          </m:sSubPr>
          <m:e>
            <m:r>
              <w:rPr>
                <w:rFonts w:ascii="Cambria Math" w:hAnsi="Cambria Math"/>
              </w:rPr>
              <m:t>D</m:t>
            </m:r>
          </m:e>
          <m:sub>
            <m:r>
              <w:rPr>
                <w:rFonts w:ascii="Cambria Math" w:hAnsi="Cambria Math"/>
              </w:rPr>
              <m:t>m</m:t>
            </m:r>
          </m:sub>
        </m:sSub>
      </m:oMath>
      <w:r w:rsidRPr="00C746F7">
        <w:rPr>
          <w:rFonts w:eastAsiaTheme="minorEastAsia"/>
        </w:rPr>
        <w:t xml:space="preserve"> x </w:t>
      </w:r>
      <m:oMath>
        <m:sSub>
          <m:sSubPr>
            <m:ctrlPr>
              <w:rPr>
                <w:rFonts w:ascii="Cambria Math" w:hAnsi="Cambria Math"/>
              </w:rPr>
            </m:ctrlPr>
          </m:sSubPr>
          <m:e>
            <m:r>
              <w:rPr>
                <w:rFonts w:ascii="Cambria Math" w:hAnsi="Cambria Math"/>
              </w:rPr>
              <m:t>S</m:t>
            </m:r>
          </m:e>
          <m:sub>
            <m:r>
              <w:rPr>
                <w:rFonts w:ascii="Cambria Math" w:hAnsi="Cambria Math"/>
              </w:rPr>
              <m:t>s</m:t>
            </m:r>
          </m:sub>
        </m:sSub>
      </m:oMath>
      <w:r w:rsidRPr="00C746F7">
        <w:rPr>
          <w:rFonts w:eastAsiaTheme="minorEastAsia"/>
        </w:rPr>
        <w:t xml:space="preserve"> x </w:t>
      </w:r>
      <m:oMath>
        <m:r>
          <w:rPr>
            <w:rFonts w:ascii="Cambria Math" w:hAnsi="Cambria Math"/>
          </w:rPr>
          <m:t>Pos</m:t>
        </m:r>
        <m:sSub>
          <m:sSubPr>
            <m:ctrlPr>
              <w:rPr>
                <w:rFonts w:ascii="Cambria Math" w:hAnsi="Cambria Math"/>
              </w:rPr>
            </m:ctrlPr>
          </m:sSubPr>
          <m:e>
            <m:r>
              <w:rPr>
                <w:rFonts w:ascii="Cambria Math" w:hAnsi="Cambria Math"/>
              </w:rPr>
              <m:t>t</m:t>
            </m:r>
          </m:e>
          <m:sub>
            <m:r>
              <w:rPr>
                <w:rFonts w:ascii="Cambria Math" w:hAnsi="Cambria Math"/>
              </w:rPr>
              <m:t>t</m:t>
            </m:r>
          </m:sub>
        </m:sSub>
      </m:oMath>
    </w:p>
    <w:p w14:paraId="22BB1F98" w14:textId="77777777" w:rsidR="00270042" w:rsidRPr="00C746F7" w:rsidRDefault="00270042" w:rsidP="00270042">
      <w:pPr>
        <w:pStyle w:val="EstiloJustificado"/>
        <w:rPr>
          <w:rFonts w:eastAsiaTheme="minorEastAsia"/>
        </w:rPr>
      </w:pPr>
      <w:r w:rsidRPr="00C746F7">
        <w:tab/>
        <w:t xml:space="preserve">O parâmetro </w:t>
      </w:r>
      <m:oMath>
        <m:r>
          <w:rPr>
            <w:rFonts w:ascii="Cambria Math" w:hAnsi="Cambria Math"/>
          </w:rPr>
          <m:t>β</m:t>
        </m:r>
      </m:oMath>
      <w:r w:rsidRPr="00C746F7">
        <w:rPr>
          <w:rFonts w:eastAsiaTheme="minorEastAsia"/>
        </w:rPr>
        <w:t xml:space="preserve"> associado a </w:t>
      </w:r>
      <m:oMath>
        <m:r>
          <w:rPr>
            <w:rFonts w:ascii="Cambria Math" w:hAnsi="Cambria Math"/>
          </w:rPr>
          <m:t>D</m:t>
        </m:r>
        <m:sSub>
          <m:sSubPr>
            <m:ctrlPr>
              <w:rPr>
                <w:rFonts w:ascii="Cambria Math" w:hAnsi="Cambria Math"/>
              </w:rPr>
            </m:ctrlPr>
          </m:sSubPr>
          <m:e>
            <m:r>
              <w:rPr>
                <w:rFonts w:ascii="Cambria Math" w:hAnsi="Cambria Math"/>
              </w:rPr>
              <m:t>DD</m:t>
            </m:r>
          </m:e>
          <m:sub>
            <m:r>
              <w:rPr>
                <w:rFonts w:ascii="Cambria Math" w:hAnsi="Cambria Math"/>
              </w:rPr>
              <m:t>mst</m:t>
            </m:r>
          </m:sub>
        </m:sSub>
      </m:oMath>
      <w:r w:rsidRPr="00C746F7">
        <w:rPr>
          <w:rFonts w:eastAsiaTheme="minorEastAsia"/>
        </w:rPr>
        <w:t xml:space="preserve"> </w:t>
      </w:r>
      <w:r w:rsidRPr="00C746F7">
        <w:t xml:space="preserve"> captura a variação do log-emprego no setor tratado, nos municípios tratados, após o choque, relativamente aos setores não tratados nos mesmos municípios e períodos e aos municípios não tratados, controlando a evolução temporal comum e heterogeneidades estruturais</w:t>
      </w:r>
      <w:r>
        <w:t xml:space="preserve"> </w:t>
      </w:r>
      <w:r>
        <w:fldChar w:fldCharType="begin"/>
      </w:r>
      <w:r>
        <w:instrText xml:space="preserve"> ADDIN ZOTERO_ITEM CSL_CITATION {"citationID":"3bkYDevV","properties":{"formattedCitation":"(Olden; M\\uc0\\u248{}en, 2022)","plainCitation":"(Olden; Møen, 2022)","noteIndex":0},"citationItems":[{"id":269,"uris":["http://zotero.org/users/12001880/items/MRG3B6S9"],"itemData":{"id":269,"type":"article-journal","abstract":"Triple difference has become a widely used estimator in empirical work. A close reading of articles in top economics journals reveals that the use of the estimator to a large extent rests on intuition. The identifying assumptions are neither formally derived nor generally agreed on. We give a complete presentation of the triple difference estimator, and show that even though the estimator can be computed as the difference between two difference-in-differences estimators, it does not require two parallel trend assumptions to have a causal interpretation. The reason is that the difference between two biased difference-in-differences estimators will be unbiased as long as the bias is the same in both estimators. This requires only one parallel trend assumption to hold.","container-title":"The Econometrics Journal","DOI":"10.1093/ectj/utac010","ISSN":"1368-4221, 1368-423X","issue":"3","language":"en","license":"https://creativecommons.org/licenses/by-nc/4.0/","page":"531-553","source":"DOI.org (Crossref)","title":"The triple difference estimator","volume":"25","author":[{"family":"Olden","given":"Andreas"},{"family":"Møen","given":"Jarle"}],"issued":{"date-parts":[["2022",9,14]]}}}],"schema":"https://github.com/citation-style-language/schema/raw/master/csl-citation.json"} </w:instrText>
      </w:r>
      <w:r>
        <w:fldChar w:fldCharType="separate"/>
      </w:r>
      <w:r w:rsidRPr="000A7400">
        <w:rPr>
          <w:kern w:val="0"/>
        </w:rPr>
        <w:t>(Olden; Møen, 2022)</w:t>
      </w:r>
      <w:r>
        <w:fldChar w:fldCharType="end"/>
      </w:r>
      <w:r w:rsidRPr="00C746F7">
        <w:t xml:space="preserve">. O choque econômico analisado (saída da Ford) ocorre em </w:t>
      </w:r>
      <m:oMath>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=2021</m:t>
        </m:r>
      </m:oMath>
      <w:r w:rsidRPr="00C746F7">
        <w:rPr>
          <w:rFonts w:eastAsiaTheme="minorEastAsia"/>
        </w:rPr>
        <w:t xml:space="preserve"> e afeta diretamente os municípios de Camaçari, Taubaté e Horizonte, bem como o setor automotivo. A estratégia DDD combina três dimensões de variação: espacial (municípios tratados versus controles), setorial (setor automobilístico versus demais setores) e temporal (período pré e pós choque).</w:t>
      </w:r>
    </w:p>
    <w:p w14:paraId="7FB7BD17" w14:textId="77777777" w:rsidR="00270042" w:rsidRPr="009D08B9" w:rsidRDefault="00270042" w:rsidP="00270042">
      <w:pPr>
        <w:spacing w:after="0"/>
        <w:jc w:val="both"/>
        <w:rPr>
          <w:rFonts w:ascii="Arial" w:eastAsiaTheme="minorEastAsia" w:hAnsi="Arial" w:cs="Arial"/>
          <w:color w:val="000000" w:themeColor="text1"/>
        </w:rPr>
      </w:pPr>
    </w:p>
    <w:p w14:paraId="46DE285F" w14:textId="77777777" w:rsidR="00270042" w:rsidRDefault="00270042" w:rsidP="00270042">
      <w:pPr>
        <w:pStyle w:val="Ttulo3"/>
        <w:jc w:val="both"/>
        <w:rPr>
          <w:rFonts w:ascii="Arial" w:hAnsi="Arial" w:cs="Arial"/>
          <w:color w:val="000000" w:themeColor="text1"/>
          <w:sz w:val="24"/>
          <w:szCs w:val="24"/>
        </w:rPr>
      </w:pPr>
      <w:bookmarkStart w:id="13" w:name="_Toc225542321"/>
      <w:r w:rsidRPr="009D08B9">
        <w:rPr>
          <w:rFonts w:ascii="Arial" w:hAnsi="Arial" w:cs="Arial"/>
          <w:color w:val="000000" w:themeColor="text1"/>
          <w:sz w:val="24"/>
          <w:szCs w:val="24"/>
        </w:rPr>
        <w:t>3.3.4 Efeitos fixos</w:t>
      </w:r>
      <w:bookmarkEnd w:id="13"/>
    </w:p>
    <w:p w14:paraId="53BF98A8" w14:textId="77777777" w:rsidR="00270042" w:rsidRPr="009B48B2" w:rsidRDefault="00270042" w:rsidP="00270042">
      <w:pPr>
        <w:spacing w:after="0"/>
        <w:rPr>
          <w:rFonts w:ascii="Arial" w:hAnsi="Arial" w:cs="Arial"/>
        </w:rPr>
      </w:pPr>
    </w:p>
    <w:p w14:paraId="78503E31" w14:textId="77777777" w:rsidR="00270042" w:rsidRPr="00C746F7" w:rsidRDefault="00270042" w:rsidP="00270042">
      <w:pPr>
        <w:ind w:firstLine="708"/>
        <w:rPr>
          <w:rFonts w:ascii="Arial" w:hAnsi="Arial" w:cs="Arial"/>
        </w:rPr>
      </w:pPr>
      <w:r w:rsidRPr="009B48B2">
        <w:rPr>
          <w:rFonts w:ascii="Arial" w:hAnsi="Arial" w:cs="Arial"/>
        </w:rPr>
        <w:t>A especificação estrutur</w:t>
      </w:r>
      <w:r w:rsidRPr="00C746F7">
        <w:rPr>
          <w:rFonts w:ascii="Arial" w:hAnsi="Arial" w:cs="Arial"/>
        </w:rPr>
        <w:t>al estimada é:</w:t>
      </w:r>
    </w:p>
    <w:p w14:paraId="396EE3D9" w14:textId="77777777" w:rsidR="00270042" w:rsidRPr="00C746F7" w:rsidRDefault="00270042" w:rsidP="00270042">
      <w:pPr>
        <w:pStyle w:val="EstiloJustificadoPrimeiralinha125cm"/>
      </w:pPr>
      <m:oMathPara>
        <m:oMath>
          <m:sSub>
            <m:sSubPr>
              <m:ctrlPr>
                <w:rPr>
                  <w:rFonts w:ascii="Cambria Math" w:hAnsi="Cambria Math"/>
                </w:rPr>
              </m:ctrlPr>
            </m:sSubPr>
            <m:e>
              <m:r>
                <w:rPr>
                  <w:rFonts w:ascii="Cambria Math" w:hAnsi="Cambria Math"/>
                </w:rPr>
                <m:t>Y</m:t>
              </m:r>
            </m:e>
            <m:sub>
              <m:r>
                <w:rPr>
                  <w:rFonts w:ascii="Cambria Math" w:hAnsi="Cambria Math"/>
                </w:rPr>
                <m:t>mst</m:t>
              </m:r>
            </m:sub>
          </m:sSub>
          <m:r>
            <m:rPr>
              <m:sty m:val="p"/>
            </m:rPr>
            <w:rPr>
              <w:rFonts w:ascii="Cambria Math" w:hAnsi="Cambria Math"/>
            </w:rPr>
            <m:t xml:space="preserve">= </m:t>
          </m:r>
          <m:r>
            <w:rPr>
              <w:rFonts w:ascii="Cambria Math" w:hAnsi="Cambria Math"/>
            </w:rPr>
            <m:t>β</m:t>
          </m:r>
          <m:sSub>
            <m:sSubPr>
              <m:ctrlPr>
                <w:rPr>
                  <w:rFonts w:ascii="Cambria Math" w:hAnsi="Cambria Math"/>
                </w:rPr>
              </m:ctrlPr>
            </m:sSubPr>
            <m:e>
              <m:r>
                <w:rPr>
                  <w:rFonts w:ascii="Cambria Math" w:hAnsi="Cambria Math"/>
                </w:rPr>
                <m:t>DDD</m:t>
              </m:r>
            </m:e>
            <m:sub>
              <m:r>
                <w:rPr>
                  <w:rFonts w:ascii="Cambria Math" w:hAnsi="Cambria Math"/>
                </w:rPr>
                <m:t>mst</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α</m:t>
              </m:r>
            </m:e>
            <m:sub>
              <m:r>
                <w:rPr>
                  <w:rFonts w:ascii="Cambria Math" w:hAnsi="Cambria Math"/>
                </w:rPr>
                <m:t>m</m:t>
              </m:r>
              <m:r>
                <m:rPr>
                  <m:sty m:val="p"/>
                </m:rPr>
                <w:rPr>
                  <w:rFonts w:ascii="Cambria Math" w:hAnsi="Cambria Math"/>
                  <w:vertAlign w:val="subscript"/>
                </w:rPr>
                <m:t>×</m:t>
              </m:r>
              <m:r>
                <w:rPr>
                  <w:rFonts w:ascii="Cambria Math" w:hAnsi="Cambria Math"/>
                </w:rPr>
                <m:t>t</m:t>
              </m:r>
            </m:sub>
          </m:sSub>
          <m:r>
            <m:rPr>
              <m:sty m:val="p"/>
            </m:rPr>
            <w:rPr>
              <w:rFonts w:ascii="Cambria Math" w:eastAsiaTheme="minorEastAsia" w:hAnsi="Cambria Math"/>
            </w:rPr>
            <m:t xml:space="preserve">+ </m:t>
          </m:r>
          <m:sSub>
            <m:sSubPr>
              <m:ctrlPr>
                <w:rPr>
                  <w:rFonts w:ascii="Cambria Math" w:hAnsi="Cambria Math"/>
                </w:rPr>
              </m:ctrlPr>
            </m:sSubPr>
            <m:e>
              <m:r>
                <w:rPr>
                  <w:rFonts w:ascii="Cambria Math" w:hAnsi="Cambria Math"/>
                </w:rPr>
                <m:t>γ</m:t>
              </m:r>
            </m:e>
            <m:sub>
              <m:r>
                <w:rPr>
                  <w:rFonts w:ascii="Cambria Math" w:hAnsi="Cambria Math"/>
                </w:rPr>
                <m:t>s</m:t>
              </m:r>
              <m:r>
                <m:rPr>
                  <m:sty m:val="p"/>
                </m:rPr>
                <w:rPr>
                  <w:rFonts w:ascii="Cambria Math" w:hAnsi="Cambria Math"/>
                  <w:vertAlign w:val="subscript"/>
                </w:rPr>
                <m:t>×</m:t>
              </m:r>
              <m:r>
                <w:rPr>
                  <w:rFonts w:ascii="Cambria Math" w:hAnsi="Cambria Math"/>
                </w:rPr>
                <m:t>t</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δ</m:t>
              </m:r>
            </m:e>
            <m:sub>
              <m:r>
                <w:rPr>
                  <w:rFonts w:ascii="Cambria Math" w:hAnsi="Cambria Math"/>
                  <w:vertAlign w:val="subscript"/>
                </w:rPr>
                <m:t>m</m:t>
              </m:r>
              <m:r>
                <m:rPr>
                  <m:sty m:val="p"/>
                </m:rPr>
                <w:rPr>
                  <w:rFonts w:ascii="Cambria Math" w:hAnsi="Cambria Math"/>
                  <w:vertAlign w:val="subscript"/>
                </w:rPr>
                <m:t>×</m:t>
              </m:r>
              <m:r>
                <w:rPr>
                  <w:rFonts w:ascii="Cambria Math" w:hAnsi="Cambria Math"/>
                </w:rPr>
                <m:t>s</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ε</m:t>
              </m:r>
            </m:e>
            <m:sub>
              <m:r>
                <w:rPr>
                  <w:rFonts w:ascii="Cambria Math" w:hAnsi="Cambria Math"/>
                  <w:vertAlign w:val="subscript"/>
                </w:rPr>
                <m:t>ms</m:t>
              </m:r>
              <m:r>
                <w:rPr>
                  <w:rFonts w:ascii="Cambria Math" w:hAnsi="Cambria Math"/>
                </w:rPr>
                <m:t>t</m:t>
              </m:r>
            </m:sub>
          </m:sSub>
        </m:oMath>
      </m:oMathPara>
    </w:p>
    <w:p w14:paraId="6E27D405" w14:textId="77777777" w:rsidR="00270042" w:rsidRPr="00C746F7" w:rsidRDefault="00270042" w:rsidP="00270042">
      <w:pPr>
        <w:jc w:val="both"/>
        <w:rPr>
          <w:rFonts w:ascii="Arial" w:hAnsi="Arial" w:cs="Arial"/>
        </w:rPr>
      </w:pPr>
      <w:r w:rsidRPr="00C746F7">
        <w:rPr>
          <w:rFonts w:ascii="Arial" w:hAnsi="Arial" w:cs="Arial"/>
        </w:rPr>
        <w:t>Em que:</w:t>
      </w:r>
    </w:p>
    <w:p w14:paraId="08FDBC01" w14:textId="77777777" w:rsidR="00270042" w:rsidRPr="00C746F7" w:rsidRDefault="00270042" w:rsidP="00270042">
      <w:pPr>
        <w:pStyle w:val="EstiloJustificado"/>
      </w:pPr>
      <m:oMath>
        <m:sSub>
          <m:sSubPr>
            <m:ctrlPr>
              <w:rPr>
                <w:rFonts w:ascii="Cambria Math" w:hAnsi="Cambria Math"/>
              </w:rPr>
            </m:ctrlPr>
          </m:sSubPr>
          <m:e>
            <m:r>
              <w:rPr>
                <w:rFonts w:ascii="Cambria Math" w:hAnsi="Cambria Math"/>
              </w:rPr>
              <m:t>α</m:t>
            </m:r>
          </m:e>
          <m:sub>
            <m:r>
              <w:rPr>
                <w:rFonts w:ascii="Cambria Math" w:hAnsi="Cambria Math"/>
              </w:rPr>
              <m:t>m×t</m:t>
            </m:r>
          </m:sub>
        </m:sSub>
      </m:oMath>
      <w:r w:rsidRPr="00C746F7">
        <w:rPr>
          <w:rFonts w:eastAsiaTheme="minorEastAsia"/>
        </w:rPr>
        <w:t xml:space="preserve"> </w:t>
      </w:r>
      <w:r w:rsidRPr="00C746F7">
        <w:t xml:space="preserve">(efeitos fixos município–ano) absorvem quaisquer choques não observados que atinjam um município de forma comum a todos os setores em um dado ano (por exemplo, políticas municipais, mudanças locais de demanda agregada, choques climáticos localizados no ano </w:t>
      </w:r>
      <m:oMath>
        <m:r>
          <w:rPr>
            <w:rFonts w:ascii="Cambria Math" w:hAnsi="Cambria Math"/>
          </w:rPr>
          <m:t>t</m:t>
        </m:r>
      </m:oMath>
      <w:r w:rsidRPr="00C746F7">
        <w:t>);</w:t>
      </w:r>
    </w:p>
    <w:p w14:paraId="09223354" w14:textId="77777777" w:rsidR="00270042" w:rsidRPr="00C746F7" w:rsidRDefault="00270042" w:rsidP="00270042">
      <w:pPr>
        <w:pStyle w:val="EstiloJustificado"/>
      </w:pPr>
      <m:oMath>
        <m:sSub>
          <m:sSubPr>
            <m:ctrlPr>
              <w:rPr>
                <w:rFonts w:ascii="Cambria Math" w:hAnsi="Cambria Math"/>
              </w:rPr>
            </m:ctrlPr>
          </m:sSubPr>
          <m:e>
            <m:r>
              <w:rPr>
                <w:rFonts w:ascii="Cambria Math" w:hAnsi="Cambria Math"/>
              </w:rPr>
              <m:t>γ</m:t>
            </m:r>
          </m:e>
          <m:sub>
            <m:r>
              <w:rPr>
                <w:rFonts w:ascii="Cambria Math" w:hAnsi="Cambria Math"/>
              </w:rPr>
              <m:t>s×t</m:t>
            </m:r>
          </m:sub>
        </m:sSub>
      </m:oMath>
      <w:r w:rsidRPr="00C746F7">
        <w:rPr>
          <w:rFonts w:eastAsiaTheme="minorEastAsia"/>
        </w:rPr>
        <w:t xml:space="preserve"> </w:t>
      </w:r>
      <w:r w:rsidRPr="00C746F7">
        <w:t>(efeitos fixos setor-ano) capturam choques setoriais agregados por ano (por exemplo, ciclos nacionais do setor, variações de preços relativos, reestruturações produtivas setoriais);</w:t>
      </w:r>
    </w:p>
    <w:p w14:paraId="0017E381" w14:textId="77777777" w:rsidR="00270042" w:rsidRPr="00C746F7" w:rsidRDefault="00270042" w:rsidP="00270042">
      <w:pPr>
        <w:pStyle w:val="EstiloJustificado"/>
      </w:pPr>
      <m:oMath>
        <m:sSub>
          <m:sSubPr>
            <m:ctrlPr>
              <w:rPr>
                <w:rFonts w:ascii="Cambria Math" w:hAnsi="Cambria Math"/>
              </w:rPr>
            </m:ctrlPr>
          </m:sSubPr>
          <m:e>
            <m:r>
              <w:rPr>
                <w:rFonts w:ascii="Cambria Math" w:hAnsi="Cambria Math"/>
              </w:rPr>
              <m:t>δ</m:t>
            </m:r>
          </m:e>
          <m:sub>
            <m:r>
              <w:rPr>
                <w:rFonts w:ascii="Cambria Math" w:hAnsi="Cambria Math"/>
              </w:rPr>
              <m:t>m×s</m:t>
            </m:r>
          </m:sub>
        </m:sSub>
      </m:oMath>
      <w:r w:rsidRPr="00C746F7">
        <w:rPr>
          <w:rFonts w:eastAsiaTheme="minorEastAsia"/>
        </w:rPr>
        <w:t xml:space="preserve"> </w:t>
      </w:r>
      <w:r w:rsidRPr="00C746F7">
        <w:t>(efeitos fixos município-setor) controlam heterogeneidade estrutural persistentes (níveis) entre pares município-setor, como especialização produtiva histórica e vantagens comparativas locais estáveis;</w:t>
      </w:r>
    </w:p>
    <w:p w14:paraId="2F7F7201" w14:textId="77777777" w:rsidR="00270042" w:rsidRPr="00C746F7" w:rsidRDefault="00270042" w:rsidP="00270042">
      <w:pPr>
        <w:pStyle w:val="EstiloJustificado"/>
      </w:pPr>
      <m:oMath>
        <m:sSub>
          <m:sSubPr>
            <m:ctrlPr>
              <w:rPr>
                <w:rFonts w:ascii="Cambria Math" w:hAnsi="Cambria Math"/>
              </w:rPr>
            </m:ctrlPr>
          </m:sSubPr>
          <m:e>
            <m:r>
              <w:rPr>
                <w:rFonts w:ascii="Cambria Math" w:hAnsi="Cambria Math"/>
              </w:rPr>
              <m:t>ε</m:t>
            </m:r>
          </m:e>
          <m:sub>
            <m:r>
              <w:rPr>
                <w:rFonts w:ascii="Cambria Math" w:hAnsi="Cambria Math"/>
              </w:rPr>
              <m:t>mst</m:t>
            </m:r>
          </m:sub>
        </m:sSub>
      </m:oMath>
      <w:r w:rsidRPr="00C746F7">
        <w:rPr>
          <w:rFonts w:eastAsiaTheme="minorEastAsia"/>
        </w:rPr>
        <w:t xml:space="preserve"> </w:t>
      </w:r>
      <w:r w:rsidRPr="00C746F7">
        <w:t>é o erro idiossincrático.</w:t>
      </w:r>
    </w:p>
    <w:p w14:paraId="4745554C" w14:textId="77777777" w:rsidR="00270042" w:rsidRPr="00C746F7" w:rsidRDefault="00270042" w:rsidP="00270042">
      <w:pPr>
        <w:ind w:firstLine="708"/>
        <w:jc w:val="both"/>
        <w:rPr>
          <w:rFonts w:ascii="Arial" w:hAnsi="Arial" w:cs="Arial"/>
        </w:rPr>
      </w:pPr>
      <w:r w:rsidRPr="00C746F7">
        <w:rPr>
          <w:rFonts w:ascii="Arial" w:hAnsi="Arial" w:cs="Arial"/>
        </w:rPr>
        <w:lastRenderedPageBreak/>
        <w:t>A inclusão simultânea desses efeitos fixos é particularmente adequada em desenhos DDD com poucas unidades tratadas e visa reduzir viés por confundidores não observados</w:t>
      </w:r>
      <w:r>
        <w:rPr>
          <w:rFonts w:ascii="Arial" w:hAnsi="Arial" w:cs="Arial"/>
        </w:rPr>
        <w:t xml:space="preserve"> </w:t>
      </w:r>
      <w:r>
        <w:rPr>
          <w:rFonts w:ascii="Arial" w:hAnsi="Arial" w:cs="Arial"/>
        </w:rPr>
        <w:fldChar w:fldCharType="begin"/>
      </w:r>
      <w:r>
        <w:rPr>
          <w:rFonts w:ascii="Arial" w:hAnsi="Arial" w:cs="Arial"/>
        </w:rPr>
        <w:instrText xml:space="preserve"> ADDIN ZOTERO_ITEM CSL_CITATION {"citationID":"ztcCUDO4","properties":{"formattedCitation":"(Angrist; Pischke, 2008)","plainCitation":"(Angrist; Pischke, 2008)","noteIndex":0},"citationItems":[{"id":288,"uris":["http://zotero.org/users/12001880/items/3BWTY7HG"],"itemData":{"id":288,"type":"article-journal","language":"en","source":"Zotero","title":"Mostly Harmless Econometrics: An Empiricistís Companion","author":[{"family":"Angrist","given":"Joshua D"},{"family":"Pischke","given":"Jörn-Steffen"}],"issued":{"date-parts":[["2008"]]}}}],"schema":"https://github.com/citation-style-language/schema/raw/master/csl-citation.json"} </w:instrText>
      </w:r>
      <w:r>
        <w:rPr>
          <w:rFonts w:ascii="Arial" w:hAnsi="Arial" w:cs="Arial"/>
        </w:rPr>
        <w:fldChar w:fldCharType="separate"/>
      </w:r>
      <w:r w:rsidRPr="000A7400">
        <w:rPr>
          <w:rFonts w:ascii="Arial" w:hAnsi="Arial" w:cs="Arial"/>
        </w:rPr>
        <w:t>(Angrist; Pischke, 2008)</w:t>
      </w:r>
      <w:r>
        <w:rPr>
          <w:rFonts w:ascii="Arial" w:hAnsi="Arial" w:cs="Arial"/>
        </w:rPr>
        <w:fldChar w:fldCharType="end"/>
      </w:r>
      <w:r>
        <w:rPr>
          <w:rFonts w:ascii="Arial" w:hAnsi="Arial" w:cs="Arial"/>
        </w:rPr>
        <w:t>.</w:t>
      </w:r>
      <w:r w:rsidRPr="00C746F7">
        <w:rPr>
          <w:rFonts w:ascii="Arial" w:hAnsi="Arial" w:cs="Arial"/>
        </w:rPr>
        <w:t xml:space="preserve"> Em modelos lineares de dados em painel, o uso de efeitos fixos é um mecanismo padrão para eliminar heterogeneidade não observada invariante que, no caso correlacionada aos regressores, induziria viés</w:t>
      </w:r>
      <w:r>
        <w:rPr>
          <w:rFonts w:ascii="Arial" w:hAnsi="Arial" w:cs="Arial"/>
        </w:rPr>
        <w:t xml:space="preserve"> </w:t>
      </w:r>
      <w:r>
        <w:rPr>
          <w:rFonts w:ascii="Arial" w:hAnsi="Arial" w:cs="Arial"/>
        </w:rPr>
        <w:fldChar w:fldCharType="begin"/>
      </w:r>
      <w:r>
        <w:rPr>
          <w:rFonts w:ascii="Arial" w:hAnsi="Arial" w:cs="Arial"/>
        </w:rPr>
        <w:instrText xml:space="preserve"> ADDIN ZOTERO_ITEM CSL_CITATION {"citationID":"2ExFg5ea","properties":{"formattedCitation":"(Wooldridge, 2010)","plainCitation":"(Wooldridge, 2010)","noteIndex":0},"citationItems":[{"id":299,"uris":["http://zotero.org/users/12001880/items/GP2DI4D4"],"itemData":{"id":299,"type":"article-journal","container-title":"livro","language":"en","publisher":"The MIT Press","publisher-place":"London, England","source":"Zotero","title":"Econometric Analysis of Cross Section and Panel Data","author":[{"family":"Wooldridge","given":"Je¤rey M."}],"issued":{"date-parts":[["2010"]]}}}],"schema":"https://github.com/citation-style-language/schema/raw/master/csl-citation.json"} </w:instrText>
      </w:r>
      <w:r>
        <w:rPr>
          <w:rFonts w:ascii="Arial" w:hAnsi="Arial" w:cs="Arial"/>
        </w:rPr>
        <w:fldChar w:fldCharType="separate"/>
      </w:r>
      <w:r w:rsidRPr="000A7400">
        <w:rPr>
          <w:rFonts w:ascii="Arial" w:hAnsi="Arial" w:cs="Arial"/>
        </w:rPr>
        <w:t>(Wooldridge, 2010)</w:t>
      </w:r>
      <w:r>
        <w:rPr>
          <w:rFonts w:ascii="Arial" w:hAnsi="Arial" w:cs="Arial"/>
        </w:rPr>
        <w:fldChar w:fldCharType="end"/>
      </w:r>
      <w:r w:rsidRPr="00C746F7">
        <w:rPr>
          <w:rFonts w:ascii="Arial" w:hAnsi="Arial" w:cs="Arial"/>
        </w:rPr>
        <w:t>.</w:t>
      </w:r>
    </w:p>
    <w:p w14:paraId="49E63048" w14:textId="77777777" w:rsidR="00270042" w:rsidRPr="00C746F7" w:rsidRDefault="00270042" w:rsidP="00270042">
      <w:pPr>
        <w:pStyle w:val="EstiloJustificadoPrimeiralinha125cm"/>
        <w:rPr>
          <w:rFonts w:eastAsiaTheme="minorEastAsia"/>
        </w:rPr>
      </w:pPr>
      <w:r w:rsidRPr="00C746F7">
        <w:t xml:space="preserve">Como a variável dependente está em logaritmo, o parâmetro </w:t>
      </w:r>
      <m:oMath>
        <m:r>
          <w:rPr>
            <w:rFonts w:ascii="Cambria Math" w:hAnsi="Cambria Math"/>
          </w:rPr>
          <m:t>β</m:t>
        </m:r>
      </m:oMath>
      <w:r w:rsidRPr="00C746F7">
        <w:rPr>
          <w:rFonts w:eastAsiaTheme="minorEastAsia"/>
        </w:rPr>
        <w:t xml:space="preserve"> pode ser interpretado como efeito percentual aproximado por:</w:t>
      </w:r>
    </w:p>
    <w:p w14:paraId="1ED714AC" w14:textId="77777777" w:rsidR="00270042" w:rsidRPr="00C746F7" w:rsidRDefault="00270042" w:rsidP="00270042">
      <w:pPr>
        <w:pStyle w:val="EstiloJustificadoPrimeiralinha125cm"/>
        <w:rPr>
          <w:rFonts w:eastAsiaTheme="minorEastAsia"/>
        </w:rPr>
      </w:pPr>
      <m:oMathPara>
        <m:oMath>
          <m:r>
            <m:rPr>
              <m:sty m:val="p"/>
            </m:rPr>
            <w:rPr>
              <w:rFonts w:ascii="Cambria Math" w:hAnsi="Cambria Math"/>
            </w:rPr>
            <m:t>%Δ</m:t>
          </m:r>
          <m:r>
            <w:rPr>
              <w:rFonts w:ascii="Cambria Math" w:hAnsi="Cambria Math"/>
            </w:rPr>
            <m:t>Emp</m:t>
          </m:r>
          <m:r>
            <m:rPr>
              <m:sty m:val="p"/>
            </m:rPr>
            <w:rPr>
              <w:rFonts w:ascii="Cambria Math" w:hAnsi="Cambria Math"/>
            </w:rPr>
            <m:t>=100⋅</m:t>
          </m:r>
          <m:d>
            <m:dPr>
              <m:sepChr m:val="−"/>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β</m:t>
                  </m:r>
                </m:sup>
              </m:sSup>
            </m:e>
            <m:e>
              <m:r>
                <m:rPr>
                  <m:sty m:val="p"/>
                </m:rPr>
                <w:rPr>
                  <w:rFonts w:ascii="Cambria Math" w:hAnsi="Cambria Math"/>
                </w:rPr>
                <m:t>1</m:t>
              </m:r>
            </m:e>
          </m:d>
        </m:oMath>
      </m:oMathPara>
    </w:p>
    <w:p w14:paraId="3C40CE25" w14:textId="77777777" w:rsidR="00270042" w:rsidRPr="00C746F7" w:rsidRDefault="00270042" w:rsidP="00270042">
      <w:pPr>
        <w:spacing w:after="0"/>
        <w:ind w:firstLine="708"/>
        <w:jc w:val="both"/>
        <w:rPr>
          <w:rFonts w:ascii="Arial" w:hAnsi="Arial" w:cs="Arial"/>
        </w:rPr>
      </w:pPr>
      <w:r w:rsidRPr="00C746F7">
        <w:rPr>
          <w:rFonts w:ascii="Arial" w:hAnsi="Arial" w:cs="Arial"/>
        </w:rPr>
        <w:t>Essa transformação torna a magnitude do impacto economicamente interpretável. O modelo é estimado por Mínimos Quadrados Ordinários com absorção de efeitos fixos. A inferência estatística utiliza erros-padrão robustos agrupados no nível do município, permitindo correção arbitrária do termo de erro ao longo do tempo dentro de cada unidade geográfica</w:t>
      </w:r>
      <w:r>
        <w:rPr>
          <w:rFonts w:ascii="Arial" w:hAnsi="Arial" w:cs="Arial"/>
        </w:rPr>
        <w:t xml:space="preserve"> </w:t>
      </w:r>
      <w:r>
        <w:rPr>
          <w:rFonts w:ascii="Arial" w:hAnsi="Arial" w:cs="Arial"/>
        </w:rPr>
        <w:fldChar w:fldCharType="begin"/>
      </w:r>
      <w:r>
        <w:rPr>
          <w:rFonts w:ascii="Arial" w:hAnsi="Arial" w:cs="Arial"/>
        </w:rPr>
        <w:instrText xml:space="preserve"> ADDIN ZOTERO_ITEM CSL_CITATION {"citationID":"TvKGRbaw","properties":{"formattedCitation":"(Bertrand; Duflo; Mullainathan, 2004)","plainCitation":"(Bertrand; Duflo; Mullainathan, 2004)","noteIndex":0},"citationItems":[{"id":330,"uris":["http://zotero.org/users/12001880/items/UJX55KIN"],"itemData":{"id":330,"type":"article-journal","language":"en","source":"Zotero","title":"HOW MUCH SHOULD WE TRUST DIFFERENCES-IN-DIFFERENCES ESTIMATES?","author":[{"family":"Bertrand","given":"Marianne"},{"family":"Duflo","given":"Esther"},{"family":"Mullainathan","given":"Sendhil"}],"issued":{"date-parts":[["2004"]]}}}],"schema":"https://github.com/citation-style-language/schema/raw/master/csl-citation.json"} </w:instrText>
      </w:r>
      <w:r>
        <w:rPr>
          <w:rFonts w:ascii="Arial" w:hAnsi="Arial" w:cs="Arial"/>
        </w:rPr>
        <w:fldChar w:fldCharType="separate"/>
      </w:r>
      <w:r w:rsidRPr="000A7400">
        <w:rPr>
          <w:rFonts w:ascii="Arial" w:hAnsi="Arial" w:cs="Arial"/>
        </w:rPr>
        <w:t>(Bertrand; Duflo; Mullainathan, 2004)</w:t>
      </w:r>
      <w:r>
        <w:rPr>
          <w:rFonts w:ascii="Arial" w:hAnsi="Arial" w:cs="Arial"/>
        </w:rPr>
        <w:fldChar w:fldCharType="end"/>
      </w:r>
      <w:r>
        <w:rPr>
          <w:rFonts w:ascii="Arial" w:hAnsi="Arial" w:cs="Arial"/>
        </w:rPr>
        <w:t xml:space="preserve"> </w:t>
      </w:r>
      <w:r>
        <w:rPr>
          <w:rFonts w:ascii="Arial" w:hAnsi="Arial" w:cs="Arial"/>
        </w:rPr>
        <w:fldChar w:fldCharType="begin"/>
      </w:r>
      <w:r>
        <w:rPr>
          <w:rFonts w:ascii="Arial" w:hAnsi="Arial" w:cs="Arial"/>
        </w:rPr>
        <w:instrText xml:space="preserve"> ADDIN ZOTERO_ITEM CSL_CITATION {"citationID":"lU9ANhPs","properties":{"formattedCitation":"(Colin Cameron; Miller, 2015)","plainCitation":"(Colin Cameron; Miller, 2015)","dontUpdate":true,"noteIndex":0},"citationItems":[{"id":333,"uris":["http://zotero.org/users/12001880/items/LSALJSSY"],"itemData":{"id":333,"type":"article-journal","abstract":"We consider statistical inference for regression when data are grouped into clusters, with regression model errors independent across clusters but correlated within clusters. Examples include data on individuals with clustering on village or region or other category such as industry, and state-year differences-in-differences studies with clustering on state. In such settings, default standard errors can greatly overstate estimator precision. Instead, if the number of clusters is large, statistical inference after OLS should be based on cluster-robust standard errors. We outline the basic method as well as many complications that can arise in practice. These include cluster-speciﬁc ﬁxed effects, few clusters, multiway clustering, and estimators other than OLS.","container-title":"Journal of Human Resources","DOI":"10.3368/jhr.50.2.317","ISSN":"0022-166X, 1548-8004","issue":"2","journalAbbreviation":"J. Human Resources","language":"en","page":"317-372","source":"DOI.org (Crossref)","title":"A Practitioner’s Guide to Cluster-Robust Inference","volume":"50","author":[{"family":"Colin Cameron","given":"A."},{"family":"Miller","given":"Douglas L."}],"issued":{"date-parts":[["2015"]]}}}],"schema":"https://github.com/citation-style-language/schema/raw/master/csl-citation.json"} </w:instrText>
      </w:r>
      <w:r>
        <w:rPr>
          <w:rFonts w:ascii="Arial" w:hAnsi="Arial" w:cs="Arial"/>
        </w:rPr>
        <w:fldChar w:fldCharType="separate"/>
      </w:r>
      <w:r w:rsidRPr="007567AC">
        <w:rPr>
          <w:rFonts w:ascii="Arial" w:hAnsi="Arial" w:cs="Arial"/>
        </w:rPr>
        <w:t>Cameron; Miller, 2015)</w:t>
      </w:r>
      <w:r>
        <w:rPr>
          <w:rFonts w:ascii="Arial" w:hAnsi="Arial" w:cs="Arial"/>
        </w:rPr>
        <w:fldChar w:fldCharType="end"/>
      </w:r>
      <w:r w:rsidRPr="00C746F7">
        <w:rPr>
          <w:rFonts w:ascii="Arial" w:hAnsi="Arial" w:cs="Arial"/>
        </w:rPr>
        <w:t>. A baixa cardinalidade do grupo tratado (apenas três municípios) motiva complementar a evidência com exercícios de placebo temporal e espacial como checagens adicionais de robustez.</w:t>
      </w:r>
    </w:p>
    <w:p w14:paraId="1D313C1B" w14:textId="77777777" w:rsidR="00270042" w:rsidRPr="00C746F7" w:rsidRDefault="00270042" w:rsidP="00270042">
      <w:pPr>
        <w:spacing w:after="0"/>
        <w:jc w:val="both"/>
        <w:rPr>
          <w:rFonts w:ascii="Arial" w:hAnsi="Arial" w:cs="Arial"/>
        </w:rPr>
      </w:pPr>
    </w:p>
    <w:p w14:paraId="04DBA969" w14:textId="77777777" w:rsidR="00270042" w:rsidRDefault="00270042" w:rsidP="00270042">
      <w:pPr>
        <w:pStyle w:val="Ttulo3"/>
        <w:rPr>
          <w:rFonts w:ascii="Arial" w:hAnsi="Arial" w:cs="Arial"/>
          <w:color w:val="000000" w:themeColor="text1"/>
          <w:sz w:val="24"/>
          <w:szCs w:val="24"/>
        </w:rPr>
      </w:pPr>
      <w:bookmarkStart w:id="14" w:name="_Toc225542322"/>
      <w:r w:rsidRPr="004B4E29">
        <w:rPr>
          <w:rFonts w:ascii="Arial" w:hAnsi="Arial" w:cs="Arial"/>
          <w:color w:val="000000" w:themeColor="text1"/>
          <w:sz w:val="24"/>
          <w:szCs w:val="24"/>
        </w:rPr>
        <w:t>3.3.5 Dinâmica do tratamento: estudo de evento (</w:t>
      </w:r>
      <w:r w:rsidRPr="004B4E29">
        <w:rPr>
          <w:rFonts w:ascii="Arial" w:hAnsi="Arial" w:cs="Arial"/>
          <w:i/>
          <w:iCs/>
          <w:color w:val="000000" w:themeColor="text1"/>
          <w:sz w:val="24"/>
          <w:szCs w:val="24"/>
        </w:rPr>
        <w:t>event study</w:t>
      </w:r>
      <w:r w:rsidRPr="004B4E29">
        <w:rPr>
          <w:rFonts w:ascii="Arial" w:hAnsi="Arial" w:cs="Arial"/>
          <w:color w:val="000000" w:themeColor="text1"/>
          <w:sz w:val="24"/>
          <w:szCs w:val="24"/>
        </w:rPr>
        <w:t>)</w:t>
      </w:r>
      <w:bookmarkEnd w:id="14"/>
    </w:p>
    <w:p w14:paraId="79FECD33" w14:textId="77777777" w:rsidR="00270042" w:rsidRDefault="00270042" w:rsidP="00270042">
      <w:pPr>
        <w:spacing w:after="0"/>
      </w:pPr>
    </w:p>
    <w:p w14:paraId="3F13163D" w14:textId="77777777" w:rsidR="00270042" w:rsidRPr="00C746F7" w:rsidRDefault="00270042" w:rsidP="00270042">
      <w:pPr>
        <w:pStyle w:val="EstiloJustificadoPrimeiralinha125cm"/>
        <w:rPr>
          <w:w w:val="105"/>
        </w:rPr>
      </w:pPr>
      <w:r w:rsidRPr="00C746F7">
        <w:t>Para caracterizar a evolução temporal do efeito, define-se uma interação entre o indicador “município tratado</w:t>
      </w:r>
      <w:r w:rsidRPr="00C746F7">
        <w:rPr>
          <w:w w:val="105"/>
        </w:rPr>
        <w:t xml:space="preserve">×setor tratato” e </w:t>
      </w:r>
      <w:r w:rsidRPr="00C746F7">
        <w:rPr>
          <w:i/>
          <w:iCs/>
          <w:w w:val="105"/>
        </w:rPr>
        <w:t>dummies</w:t>
      </w:r>
      <w:r w:rsidRPr="00C746F7">
        <w:rPr>
          <w:w w:val="105"/>
        </w:rPr>
        <w:t xml:space="preserve"> anuais, normalizando o ano-base pré-choque </w:t>
      </w:r>
      <m:oMath>
        <m:sSub>
          <m:sSubPr>
            <m:ctrlPr>
              <w:rPr>
                <w:rFonts w:ascii="Cambria Math" w:hAnsi="Cambria Math"/>
                <w:w w:val="105"/>
              </w:rPr>
            </m:ctrlPr>
          </m:sSubPr>
          <m:e>
            <m:r>
              <w:rPr>
                <w:rFonts w:ascii="Cambria Math" w:hAnsi="Cambria Math"/>
                <w:w w:val="105"/>
              </w:rPr>
              <m:t>T</m:t>
            </m:r>
          </m:e>
          <m:sub>
            <m:r>
              <w:rPr>
                <w:rFonts w:ascii="Cambria Math" w:hAnsi="Cambria Math"/>
                <w:w w:val="105"/>
              </w:rPr>
              <m:t>ref</m:t>
            </m:r>
          </m:sub>
        </m:sSub>
        <m:r>
          <w:rPr>
            <w:rFonts w:ascii="Cambria Math" w:hAnsi="Cambria Math"/>
            <w:w w:val="105"/>
          </w:rPr>
          <m:t>=</m:t>
        </m:r>
        <m:sSub>
          <m:sSubPr>
            <m:ctrlPr>
              <w:rPr>
                <w:rFonts w:ascii="Cambria Math" w:hAnsi="Cambria Math"/>
                <w:w w:val="105"/>
              </w:rPr>
            </m:ctrlPr>
          </m:sSubPr>
          <m:e>
            <m:r>
              <w:rPr>
                <w:rFonts w:ascii="Cambria Math" w:hAnsi="Cambria Math"/>
                <w:w w:val="105"/>
              </w:rPr>
              <m:t>T</m:t>
            </m:r>
          </m:e>
          <m:sub>
            <m:r>
              <w:rPr>
                <w:rFonts w:ascii="Cambria Math" w:hAnsi="Cambria Math"/>
                <w:w w:val="105"/>
              </w:rPr>
              <m:t>0</m:t>
            </m:r>
          </m:sub>
        </m:sSub>
        <m:r>
          <w:rPr>
            <w:rFonts w:ascii="Cambria Math" w:hAnsi="Cambria Math"/>
            <w:w w:val="105"/>
          </w:rPr>
          <m:t>-1</m:t>
        </m:r>
      </m:oMath>
      <w:r w:rsidRPr="00C746F7">
        <w:rPr>
          <w:w w:val="105"/>
        </w:rPr>
        <w:t xml:space="preserve">. Seja </w:t>
      </w:r>
      <m:oMath>
        <m:sSub>
          <m:sSubPr>
            <m:ctrlPr>
              <w:rPr>
                <w:rFonts w:ascii="Cambria Math" w:hAnsi="Cambria Math"/>
                <w:w w:val="105"/>
              </w:rPr>
            </m:ctrlPr>
          </m:sSubPr>
          <m:e>
            <m:r>
              <w:rPr>
                <w:rFonts w:ascii="Cambria Math" w:hAnsi="Cambria Math"/>
                <w:w w:val="105"/>
              </w:rPr>
              <m:t>G</m:t>
            </m:r>
          </m:e>
          <m:sub>
            <m:r>
              <w:rPr>
                <w:rFonts w:ascii="Cambria Math" w:hAnsi="Cambria Math"/>
                <w:w w:val="105"/>
              </w:rPr>
              <m:t>ms</m:t>
            </m:r>
          </m:sub>
        </m:sSub>
        <m:r>
          <w:rPr>
            <w:rFonts w:ascii="Cambria Math" w:hAnsi="Cambria Math"/>
            <w:w w:val="105"/>
          </w:rPr>
          <m:t>=</m:t>
        </m:r>
        <m:sSub>
          <m:sSubPr>
            <m:ctrlPr>
              <w:rPr>
                <w:rFonts w:ascii="Cambria Math" w:hAnsi="Cambria Math"/>
                <w:w w:val="105"/>
              </w:rPr>
            </m:ctrlPr>
          </m:sSubPr>
          <m:e>
            <m:r>
              <w:rPr>
                <w:rFonts w:ascii="Cambria Math" w:hAnsi="Cambria Math"/>
                <w:w w:val="105"/>
              </w:rPr>
              <m:t>D</m:t>
            </m:r>
          </m:e>
          <m:sub>
            <m:r>
              <w:rPr>
                <w:rFonts w:ascii="Cambria Math" w:hAnsi="Cambria Math"/>
                <w:w w:val="105"/>
              </w:rPr>
              <m:t>m</m:t>
            </m:r>
          </m:sub>
        </m:sSub>
        <m:r>
          <w:rPr>
            <w:rFonts w:ascii="Cambria Math" w:hAnsi="Cambria Math"/>
            <w:w w:val="105"/>
          </w:rPr>
          <m:t>×</m:t>
        </m:r>
        <m:sSub>
          <m:sSubPr>
            <m:ctrlPr>
              <w:rPr>
                <w:rFonts w:ascii="Cambria Math" w:hAnsi="Cambria Math"/>
                <w:w w:val="105"/>
              </w:rPr>
            </m:ctrlPr>
          </m:sSubPr>
          <m:e>
            <m:r>
              <w:rPr>
                <w:rFonts w:ascii="Cambria Math" w:hAnsi="Cambria Math"/>
                <w:w w:val="105"/>
              </w:rPr>
              <m:t>S</m:t>
            </m:r>
          </m:e>
          <m:sub>
            <m:r>
              <w:rPr>
                <w:rFonts w:ascii="Cambria Math" w:hAnsi="Cambria Math"/>
                <w:w w:val="105"/>
              </w:rPr>
              <m:t>s</m:t>
            </m:r>
          </m:sub>
        </m:sSub>
      </m:oMath>
      <w:r w:rsidRPr="00C746F7">
        <w:rPr>
          <w:w w:val="105"/>
        </w:rPr>
        <w:t>. A especificação dinâmica é:</w:t>
      </w:r>
    </w:p>
    <w:p w14:paraId="5A48ED9D" w14:textId="77777777" w:rsidR="00270042" w:rsidRPr="00C746F7" w:rsidRDefault="00270042" w:rsidP="00270042">
      <w:pPr>
        <w:pStyle w:val="EstiloJustificado"/>
        <w:rPr>
          <w:w w:val="105"/>
        </w:rPr>
      </w:pPr>
      <m:oMathPara>
        <m:oMathParaPr>
          <m:jc m:val="center"/>
        </m:oMathParaPr>
        <m:oMath>
          <m:sSub>
            <m:sSubPr>
              <m:ctrlPr>
                <w:rPr>
                  <w:rFonts w:ascii="Cambria Math" w:hAnsi="Cambria Math"/>
                  <w:w w:val="105"/>
                </w:rPr>
              </m:ctrlPr>
            </m:sSubPr>
            <m:e>
              <m:r>
                <w:rPr>
                  <w:rFonts w:ascii="Cambria Math" w:hAnsi="Cambria Math"/>
                  <w:w w:val="105"/>
                </w:rPr>
                <m:t>y</m:t>
              </m:r>
            </m:e>
            <m:sub>
              <m:r>
                <w:rPr>
                  <w:rFonts w:ascii="Cambria Math" w:hAnsi="Cambria Math"/>
                  <w:w w:val="105"/>
                </w:rPr>
                <m:t>mst</m:t>
              </m:r>
            </m:sub>
          </m:sSub>
          <m:r>
            <m:rPr>
              <m:sty m:val="p"/>
            </m:rPr>
            <w:rPr>
              <w:rFonts w:ascii="Cambria Math" w:hAnsi="Cambria Math"/>
              <w:w w:val="105"/>
            </w:rPr>
            <m:t>=</m:t>
          </m:r>
          <m:nary>
            <m:naryPr>
              <m:chr m:val="∑"/>
              <m:limLoc m:val="undOvr"/>
              <m:grow m:val="1"/>
              <m:supHide m:val="1"/>
              <m:ctrlPr>
                <w:rPr>
                  <w:rFonts w:ascii="Cambria Math" w:hAnsi="Cambria Math"/>
                  <w:w w:val="105"/>
                </w:rPr>
              </m:ctrlPr>
            </m:naryPr>
            <m:sub>
              <m:r>
                <m:rPr>
                  <m:scr m:val="script"/>
                  <m:sty m:val="p"/>
                </m:rPr>
                <w:rPr>
                  <w:rFonts w:ascii="Cambria Math" w:hAnsi="Cambria Math"/>
                  <w:w w:val="105"/>
                </w:rPr>
                <m:t>l∈L</m:t>
              </m:r>
            </m:sub>
            <m:sup/>
            <m:e>
              <m:sSub>
                <m:sSubPr>
                  <m:ctrlPr>
                    <w:rPr>
                      <w:rFonts w:ascii="Cambria Math" w:hAnsi="Cambria Math"/>
                      <w:w w:val="105"/>
                    </w:rPr>
                  </m:ctrlPr>
                </m:sSubPr>
                <m:e>
                  <m:r>
                    <w:rPr>
                      <w:rFonts w:ascii="Cambria Math" w:hAnsi="Cambria Math"/>
                      <w:w w:val="105"/>
                    </w:rPr>
                    <m:t>μ</m:t>
                  </m:r>
                </m:e>
                <m:sub>
                  <m:r>
                    <m:rPr>
                      <m:scr m:val="script"/>
                      <m:sty m:val="p"/>
                    </m:rPr>
                    <w:rPr>
                      <w:rFonts w:ascii="Cambria Math" w:hAnsi="Cambria Math"/>
                      <w:w w:val="105"/>
                    </w:rPr>
                    <m:t>l</m:t>
                  </m:r>
                </m:sub>
              </m:sSub>
            </m:e>
          </m:nary>
          <m:r>
            <m:rPr>
              <m:nor/>
            </m:rPr>
            <w:rPr>
              <w:w w:val="105"/>
            </w:rPr>
            <m:t> </m:t>
          </m:r>
          <m:r>
            <m:rPr>
              <m:scr m:val="double-struck"/>
              <m:sty m:val="p"/>
            </m:rPr>
            <w:rPr>
              <w:rFonts w:ascii="Cambria Math" w:eastAsiaTheme="minorEastAsia" w:hAnsi="Cambria Math" w:cs="Cambria Math"/>
            </w:rPr>
            <m:t>1</m:t>
          </m:r>
          <m:r>
            <m:rPr>
              <m:sty m:val="p"/>
            </m:rPr>
            <w:rPr>
              <w:rFonts w:ascii="Cambria Math" w:hAnsi="Cambria Math"/>
              <w:w w:val="105"/>
            </w:rPr>
            <m:t>{</m:t>
          </m:r>
          <m:r>
            <w:rPr>
              <w:rFonts w:ascii="Cambria Math" w:hAnsi="Cambria Math"/>
              <w:w w:val="105"/>
            </w:rPr>
            <m:t>t</m:t>
          </m:r>
          <m:r>
            <m:rPr>
              <m:scr m:val="script"/>
              <m:sty m:val="p"/>
            </m:rPr>
            <w:rPr>
              <w:rFonts w:ascii="Cambria Math" w:hAnsi="Cambria Math"/>
              <w:w w:val="105"/>
            </w:rPr>
            <m:t>=l}⋅</m:t>
          </m:r>
          <m:sSub>
            <m:sSubPr>
              <m:ctrlPr>
                <w:rPr>
                  <w:rFonts w:ascii="Cambria Math" w:hAnsi="Cambria Math"/>
                  <w:w w:val="105"/>
                </w:rPr>
              </m:ctrlPr>
            </m:sSubPr>
            <m:e>
              <m:r>
                <w:rPr>
                  <w:rFonts w:ascii="Cambria Math" w:hAnsi="Cambria Math"/>
                  <w:w w:val="105"/>
                </w:rPr>
                <m:t>G</m:t>
              </m:r>
            </m:e>
            <m:sub>
              <m:r>
                <w:rPr>
                  <w:rFonts w:ascii="Cambria Math" w:hAnsi="Cambria Math"/>
                  <w:w w:val="105"/>
                </w:rPr>
                <m:t>ms</m:t>
              </m:r>
            </m:sub>
          </m:sSub>
          <m:r>
            <m:rPr>
              <m:sty m:val="p"/>
            </m:rPr>
            <w:rPr>
              <w:rFonts w:ascii="Cambria Math" w:hAnsi="Cambria Math"/>
              <w:w w:val="105"/>
            </w:rPr>
            <m:t>+</m:t>
          </m:r>
          <m:sSub>
            <m:sSubPr>
              <m:ctrlPr>
                <w:rPr>
                  <w:rFonts w:ascii="Cambria Math" w:hAnsi="Cambria Math"/>
                  <w:w w:val="105"/>
                </w:rPr>
              </m:ctrlPr>
            </m:sSubPr>
            <m:e>
              <m:r>
                <w:rPr>
                  <w:rFonts w:ascii="Cambria Math" w:hAnsi="Cambria Math"/>
                  <w:w w:val="105"/>
                </w:rPr>
                <m:t>α</m:t>
              </m:r>
            </m:e>
            <m:sub>
              <m:r>
                <w:rPr>
                  <w:rFonts w:ascii="Cambria Math" w:hAnsi="Cambria Math"/>
                  <w:w w:val="105"/>
                </w:rPr>
                <m:t>m</m:t>
              </m:r>
              <m:r>
                <m:rPr>
                  <m:sty m:val="p"/>
                </m:rPr>
                <w:rPr>
                  <w:rFonts w:ascii="Cambria Math" w:hAnsi="Cambria Math"/>
                  <w:w w:val="105"/>
                </w:rPr>
                <m:t>×</m:t>
              </m:r>
              <m:r>
                <w:rPr>
                  <w:rFonts w:ascii="Cambria Math" w:hAnsi="Cambria Math"/>
                  <w:w w:val="105"/>
                </w:rPr>
                <m:t>t</m:t>
              </m:r>
            </m:sub>
          </m:sSub>
          <m:r>
            <m:rPr>
              <m:sty m:val="p"/>
            </m:rPr>
            <w:rPr>
              <w:rFonts w:ascii="Cambria Math" w:hAnsi="Cambria Math"/>
              <w:w w:val="105"/>
            </w:rPr>
            <m:t>+</m:t>
          </m:r>
          <m:sSub>
            <m:sSubPr>
              <m:ctrlPr>
                <w:rPr>
                  <w:rFonts w:ascii="Cambria Math" w:hAnsi="Cambria Math"/>
                  <w:w w:val="105"/>
                </w:rPr>
              </m:ctrlPr>
            </m:sSubPr>
            <m:e>
              <m:r>
                <w:rPr>
                  <w:rFonts w:ascii="Cambria Math" w:hAnsi="Cambria Math"/>
                  <w:w w:val="105"/>
                </w:rPr>
                <m:t>γ</m:t>
              </m:r>
            </m:e>
            <m:sub>
              <m:r>
                <w:rPr>
                  <w:rFonts w:ascii="Cambria Math" w:hAnsi="Cambria Math"/>
                  <w:w w:val="105"/>
                </w:rPr>
                <m:t>s</m:t>
              </m:r>
              <m:r>
                <m:rPr>
                  <m:sty m:val="p"/>
                </m:rPr>
                <w:rPr>
                  <w:rFonts w:ascii="Cambria Math" w:hAnsi="Cambria Math"/>
                  <w:w w:val="105"/>
                </w:rPr>
                <m:t>×</m:t>
              </m:r>
              <m:r>
                <w:rPr>
                  <w:rFonts w:ascii="Cambria Math" w:hAnsi="Cambria Math"/>
                  <w:w w:val="105"/>
                </w:rPr>
                <m:t>t</m:t>
              </m:r>
            </m:sub>
          </m:sSub>
          <m:r>
            <m:rPr>
              <m:sty m:val="p"/>
            </m:rPr>
            <w:rPr>
              <w:rFonts w:ascii="Cambria Math" w:hAnsi="Cambria Math"/>
              <w:w w:val="105"/>
            </w:rPr>
            <m:t>+</m:t>
          </m:r>
          <m:sSub>
            <m:sSubPr>
              <m:ctrlPr>
                <w:rPr>
                  <w:rFonts w:ascii="Cambria Math" w:hAnsi="Cambria Math"/>
                  <w:w w:val="105"/>
                </w:rPr>
              </m:ctrlPr>
            </m:sSubPr>
            <m:e>
              <m:r>
                <w:rPr>
                  <w:rFonts w:ascii="Cambria Math" w:hAnsi="Cambria Math"/>
                  <w:w w:val="105"/>
                </w:rPr>
                <m:t>δ</m:t>
              </m:r>
            </m:e>
            <m:sub>
              <m:r>
                <w:rPr>
                  <w:rFonts w:ascii="Cambria Math" w:hAnsi="Cambria Math"/>
                  <w:w w:val="105"/>
                </w:rPr>
                <m:t>m</m:t>
              </m:r>
              <m:r>
                <m:rPr>
                  <m:sty m:val="p"/>
                </m:rPr>
                <w:rPr>
                  <w:rFonts w:ascii="Cambria Math" w:hAnsi="Cambria Math"/>
                  <w:w w:val="105"/>
                </w:rPr>
                <m:t>×</m:t>
              </m:r>
              <m:r>
                <w:rPr>
                  <w:rFonts w:ascii="Cambria Math" w:hAnsi="Cambria Math"/>
                  <w:w w:val="105"/>
                </w:rPr>
                <m:t>s</m:t>
              </m:r>
            </m:sub>
          </m:sSub>
          <m:r>
            <m:rPr>
              <m:sty m:val="p"/>
            </m:rPr>
            <w:rPr>
              <w:rFonts w:ascii="Cambria Math" w:hAnsi="Cambria Math"/>
              <w:w w:val="105"/>
            </w:rPr>
            <m:t>+</m:t>
          </m:r>
          <m:sSub>
            <m:sSubPr>
              <m:ctrlPr>
                <w:rPr>
                  <w:rFonts w:ascii="Cambria Math" w:hAnsi="Cambria Math"/>
                  <w:w w:val="105"/>
                </w:rPr>
              </m:ctrlPr>
            </m:sSubPr>
            <m:e>
              <m:r>
                <w:rPr>
                  <w:rFonts w:ascii="Cambria Math" w:hAnsi="Cambria Math"/>
                  <w:w w:val="105"/>
                </w:rPr>
                <m:t>ε</m:t>
              </m:r>
            </m:e>
            <m:sub>
              <m:r>
                <w:rPr>
                  <w:rFonts w:ascii="Cambria Math" w:hAnsi="Cambria Math"/>
                  <w:w w:val="105"/>
                </w:rPr>
                <m:t>mst</m:t>
              </m:r>
            </m:sub>
          </m:sSub>
          <m:r>
            <m:rPr>
              <m:sty m:val="p"/>
            </m:rPr>
            <w:rPr>
              <w:rFonts w:ascii="Cambria Math" w:hAnsi="Cambria Math"/>
              <w:w w:val="105"/>
            </w:rPr>
            <m:t xml:space="preserve">, </m:t>
          </m:r>
          <m:r>
            <m:rPr>
              <m:nor/>
            </m:rPr>
            <w:rPr>
              <w:w w:val="105"/>
            </w:rPr>
            <m:t xml:space="preserve">com </m:t>
          </m:r>
          <m:sSub>
            <m:sSubPr>
              <m:ctrlPr>
                <w:rPr>
                  <w:rFonts w:ascii="Cambria Math" w:hAnsi="Cambria Math"/>
                  <w:w w:val="105"/>
                </w:rPr>
              </m:ctrlPr>
            </m:sSubPr>
            <m:e>
              <m:r>
                <w:rPr>
                  <w:rFonts w:ascii="Cambria Math" w:hAnsi="Cambria Math"/>
                  <w:w w:val="105"/>
                </w:rPr>
                <m:t>μ</m:t>
              </m:r>
            </m:e>
            <m:sub>
              <m:sSub>
                <m:sSubPr>
                  <m:ctrlPr>
                    <w:rPr>
                      <w:rFonts w:ascii="Cambria Math" w:hAnsi="Cambria Math"/>
                      <w:w w:val="105"/>
                    </w:rPr>
                  </m:ctrlPr>
                </m:sSubPr>
                <m:e>
                  <m:r>
                    <w:rPr>
                      <w:rFonts w:ascii="Cambria Math" w:hAnsi="Cambria Math"/>
                      <w:w w:val="105"/>
                    </w:rPr>
                    <m:t>T</m:t>
                  </m:r>
                </m:e>
                <m:sub>
                  <m:r>
                    <w:rPr>
                      <w:rFonts w:ascii="Cambria Math" w:hAnsi="Cambria Math"/>
                      <w:w w:val="105"/>
                    </w:rPr>
                    <m:t>ref</m:t>
                  </m:r>
                </m:sub>
              </m:sSub>
            </m:sub>
          </m:sSub>
          <m:r>
            <m:rPr>
              <m:sty m:val="p"/>
            </m:rPr>
            <w:rPr>
              <w:rFonts w:ascii="Cambria Math" w:hAnsi="Cambria Math"/>
              <w:w w:val="105"/>
            </w:rPr>
            <m:t>=0.</m:t>
          </m:r>
          <m:r>
            <m:rPr>
              <m:sty m:val="p"/>
            </m:rPr>
            <w:rPr>
              <w:rFonts w:ascii="Cambria Math" w:hAnsi="Cambria Math"/>
              <w:w w:val="105"/>
            </w:rPr>
            <w:br/>
          </m:r>
        </m:oMath>
      </m:oMathPara>
      <w:r w:rsidRPr="00C746F7">
        <w:rPr>
          <w:w w:val="105"/>
        </w:rPr>
        <w:t>Em que:</w:t>
      </w:r>
    </w:p>
    <w:p w14:paraId="3AD07681" w14:textId="77777777" w:rsidR="00270042" w:rsidRPr="00C746F7" w:rsidRDefault="00270042" w:rsidP="00270042">
      <w:pPr>
        <w:pStyle w:val="EstiloJustificado"/>
        <w:rPr>
          <w:w w:val="105"/>
        </w:rPr>
      </w:pPr>
      <m:oMath>
        <m:r>
          <m:rPr>
            <m:scr m:val="double-struck"/>
            <m:sty m:val="p"/>
          </m:rPr>
          <w:rPr>
            <w:rFonts w:ascii="Cambria Math" w:eastAsiaTheme="minorEastAsia" w:hAnsi="Cambria Math"/>
          </w:rPr>
          <m:t>1</m:t>
        </m:r>
        <m:r>
          <w:rPr>
            <w:rFonts w:ascii="Cambria Math" w:hAnsi="Cambria Math"/>
            <w:w w:val="105"/>
          </w:rPr>
          <m:t>{t=</m:t>
        </m:r>
        <m:r>
          <m:rPr>
            <m:scr m:val="script"/>
            <m:sty m:val="p"/>
          </m:rPr>
          <w:rPr>
            <w:rFonts w:ascii="Cambria Math" w:hAnsi="Cambria Math"/>
            <w:w w:val="105"/>
          </w:rPr>
          <m:t>l</m:t>
        </m:r>
        <m:r>
          <w:rPr>
            <w:rFonts w:ascii="Cambria Math" w:hAnsi="Cambria Math"/>
            <w:w w:val="105"/>
          </w:rPr>
          <m:t>}</m:t>
        </m:r>
      </m:oMath>
      <w:r w:rsidRPr="00C746F7">
        <w:rPr>
          <w:rFonts w:eastAsiaTheme="minorEastAsia"/>
          <w:w w:val="105"/>
        </w:rPr>
        <w:t xml:space="preserve"> </w:t>
      </w:r>
      <w:r w:rsidRPr="00C746F7">
        <w:rPr>
          <w:w w:val="105"/>
        </w:rPr>
        <w:t xml:space="preserve">é uma </w:t>
      </w:r>
      <w:r w:rsidRPr="00C746F7">
        <w:rPr>
          <w:i/>
          <w:iCs/>
          <w:w w:val="105"/>
        </w:rPr>
        <w:t>dummy</w:t>
      </w:r>
      <w:r w:rsidRPr="00C746F7">
        <w:rPr>
          <w:w w:val="105"/>
        </w:rPr>
        <w:t xml:space="preserve"> para o ano </w:t>
      </w:r>
      <m:oMath>
        <m:r>
          <m:rPr>
            <m:scr m:val="script"/>
            <m:sty m:val="p"/>
          </m:rPr>
          <w:rPr>
            <w:rFonts w:ascii="Cambria Math" w:hAnsi="Cambria Math"/>
            <w:w w:val="105"/>
          </w:rPr>
          <m:t>l</m:t>
        </m:r>
      </m:oMath>
      <w:r w:rsidRPr="00C746F7">
        <w:rPr>
          <w:w w:val="105"/>
        </w:rPr>
        <w:t>;</w:t>
      </w:r>
    </w:p>
    <w:p w14:paraId="6A5EFDDD" w14:textId="77777777" w:rsidR="00270042" w:rsidRPr="00C746F7" w:rsidRDefault="00270042" w:rsidP="00270042">
      <w:pPr>
        <w:pStyle w:val="EstiloJustificado"/>
        <w:rPr>
          <w:w w:val="105"/>
        </w:rPr>
      </w:pPr>
      <m:oMath>
        <m:sSub>
          <m:sSubPr>
            <m:ctrlPr>
              <w:rPr>
                <w:rFonts w:ascii="Cambria Math" w:hAnsi="Cambria Math"/>
                <w:w w:val="105"/>
              </w:rPr>
            </m:ctrlPr>
          </m:sSubPr>
          <m:e>
            <m:r>
              <w:rPr>
                <w:rFonts w:ascii="Cambria Math" w:hAnsi="Cambria Math"/>
                <w:w w:val="105"/>
              </w:rPr>
              <m:t>μ</m:t>
            </m:r>
          </m:e>
          <m:sub>
            <m:r>
              <m:rPr>
                <m:scr m:val="script"/>
                <m:sty m:val="p"/>
              </m:rPr>
              <w:rPr>
                <w:rFonts w:ascii="Cambria Math" w:hAnsi="Cambria Math"/>
                <w:w w:val="105"/>
              </w:rPr>
              <m:t>l</m:t>
            </m:r>
          </m:sub>
        </m:sSub>
      </m:oMath>
      <w:r w:rsidRPr="00C746F7">
        <w:rPr>
          <w:rFonts w:eastAsiaTheme="minorEastAsia"/>
          <w:w w:val="105"/>
        </w:rPr>
        <w:t xml:space="preserve"> </w:t>
      </w:r>
      <w:r w:rsidRPr="00C746F7">
        <w:rPr>
          <w:w w:val="105"/>
        </w:rPr>
        <w:t xml:space="preserve">mede a diferença (em log) entre o grupo tratado (município tratado no setor tratado) e o contrafactual implícito, no ano </w:t>
      </w:r>
      <m:oMath>
        <m:r>
          <m:rPr>
            <m:scr m:val="script"/>
            <m:sty m:val="p"/>
          </m:rPr>
          <w:rPr>
            <w:rFonts w:ascii="Cambria Math" w:hAnsi="Cambria Math"/>
            <w:w w:val="105"/>
          </w:rPr>
          <m:t>l</m:t>
        </m:r>
      </m:oMath>
      <w:r w:rsidRPr="00C746F7">
        <w:rPr>
          <w:w w:val="105"/>
        </w:rPr>
        <w:t xml:space="preserve">, relativamente ao ano de referência </w:t>
      </w:r>
      <m:oMath>
        <m:sSub>
          <m:sSubPr>
            <m:ctrlPr>
              <w:rPr>
                <w:rFonts w:ascii="Cambria Math" w:hAnsi="Cambria Math"/>
                <w:w w:val="105"/>
              </w:rPr>
            </m:ctrlPr>
          </m:sSubPr>
          <m:e>
            <m:r>
              <w:rPr>
                <w:rFonts w:ascii="Cambria Math" w:hAnsi="Cambria Math"/>
                <w:w w:val="105"/>
              </w:rPr>
              <m:t>T</m:t>
            </m:r>
          </m:e>
          <m:sub>
            <m:r>
              <w:rPr>
                <w:rFonts w:ascii="Cambria Math" w:hAnsi="Cambria Math"/>
                <w:w w:val="105"/>
              </w:rPr>
              <m:t>ref</m:t>
            </m:r>
          </m:sub>
        </m:sSub>
      </m:oMath>
      <w:r w:rsidRPr="00C746F7">
        <w:rPr>
          <w:rFonts w:eastAsiaTheme="minorEastAsia"/>
          <w:w w:val="105"/>
        </w:rPr>
        <w:t>.</w:t>
      </w:r>
    </w:p>
    <w:p w14:paraId="593E00AB" w14:textId="77777777" w:rsidR="00270042" w:rsidRDefault="00270042" w:rsidP="00270042">
      <w:pPr>
        <w:pStyle w:val="EstiloJustificadoPrimeiralinha125cmDepoisde0pt"/>
        <w:rPr>
          <w:rFonts w:eastAsiaTheme="minorEastAsia"/>
          <w:w w:val="105"/>
        </w:rPr>
      </w:pPr>
      <w:r w:rsidRPr="00C746F7">
        <w:t xml:space="preserve">Sob tendências paralelas condicionais e ausência de antecipação, espera-se que </w:t>
      </w:r>
      <m:oMath>
        <m:sSub>
          <m:sSubPr>
            <m:ctrlPr>
              <w:rPr>
                <w:rFonts w:ascii="Cambria Math" w:hAnsi="Cambria Math"/>
                <w:w w:val="105"/>
              </w:rPr>
            </m:ctrlPr>
          </m:sSubPr>
          <m:e>
            <m:r>
              <w:rPr>
                <w:rFonts w:ascii="Cambria Math" w:hAnsi="Cambria Math"/>
                <w:w w:val="105"/>
              </w:rPr>
              <m:t>μ</m:t>
            </m:r>
          </m:e>
          <m:sub>
            <m:r>
              <m:rPr>
                <m:scr m:val="script"/>
                <m:sty m:val="p"/>
              </m:rPr>
              <w:rPr>
                <w:rFonts w:ascii="Cambria Math" w:hAnsi="Cambria Math"/>
                <w:w w:val="105"/>
              </w:rPr>
              <m:t>l</m:t>
            </m:r>
          </m:sub>
        </m:sSub>
        <m:r>
          <w:rPr>
            <w:rFonts w:ascii="Cambria Math" w:hAnsi="Cambria Math"/>
            <w:w w:val="105"/>
          </w:rPr>
          <m:t>≈0</m:t>
        </m:r>
      </m:oMath>
      <w:r w:rsidRPr="00C746F7">
        <w:rPr>
          <w:rFonts w:eastAsiaTheme="minorEastAsia"/>
          <w:w w:val="105"/>
        </w:rPr>
        <w:t xml:space="preserve"> </w:t>
      </w:r>
      <w:r w:rsidRPr="00C746F7">
        <w:rPr>
          <w:w w:val="105"/>
        </w:rPr>
        <w:t xml:space="preserve">para </w:t>
      </w:r>
      <m:oMath>
        <m:r>
          <m:rPr>
            <m:scr m:val="script"/>
            <m:sty m:val="p"/>
          </m:rPr>
          <w:rPr>
            <w:rFonts w:ascii="Cambria Math" w:hAnsi="Cambria Math"/>
            <w:w w:val="105"/>
          </w:rPr>
          <m:t>l</m:t>
        </m:r>
        <m:r>
          <w:rPr>
            <w:rFonts w:ascii="Cambria Math" w:hAnsi="Cambria Math"/>
            <w:w w:val="105"/>
          </w:rPr>
          <m:t>&lt;</m:t>
        </m:r>
        <m:sSub>
          <m:sSubPr>
            <m:ctrlPr>
              <w:rPr>
                <w:rFonts w:ascii="Cambria Math" w:hAnsi="Cambria Math"/>
                <w:w w:val="105"/>
              </w:rPr>
            </m:ctrlPr>
          </m:sSubPr>
          <m:e>
            <m:r>
              <w:rPr>
                <w:rFonts w:ascii="Cambria Math" w:hAnsi="Cambria Math"/>
                <w:w w:val="105"/>
              </w:rPr>
              <m:t>T</m:t>
            </m:r>
          </m:e>
          <m:sub>
            <m:r>
              <w:rPr>
                <w:rFonts w:ascii="Cambria Math" w:hAnsi="Cambria Math"/>
                <w:w w:val="105"/>
              </w:rPr>
              <m:t>0</m:t>
            </m:r>
          </m:sub>
        </m:sSub>
      </m:oMath>
      <w:r w:rsidRPr="00C746F7">
        <w:rPr>
          <w:w w:val="105"/>
        </w:rPr>
        <w:t>; desvios sistêmicos pré-choque sugerem violação de hipóteses de identificação. Deve-se qualificar que, em cenários de adoção escalonada e efeitos</w:t>
      </w:r>
      <w:r>
        <w:rPr>
          <w:w w:val="105"/>
        </w:rPr>
        <w:t xml:space="preserve"> heterogêneos</w:t>
      </w:r>
      <w:r w:rsidRPr="00C746F7">
        <w:rPr>
          <w:w w:val="105"/>
        </w:rPr>
        <w:t xml:space="preserve">, especificações usuais podem produzir contaminações intertemporais </w:t>
      </w:r>
      <w:r>
        <w:rPr>
          <w:w w:val="105"/>
        </w:rPr>
        <w:t xml:space="preserve">e aparentes pré-tendências </w:t>
      </w:r>
      <w:r>
        <w:rPr>
          <w:w w:val="105"/>
        </w:rPr>
        <w:fldChar w:fldCharType="begin"/>
      </w:r>
      <w:r>
        <w:rPr>
          <w:w w:val="105"/>
        </w:rPr>
        <w:instrText xml:space="preserve"> ADDIN ZOTERO_ITEM CSL_CITATION {"citationID":"SaGGGM9s","properties":{"formattedCitation":"(Sun; Abraham, 2021)","plainCitation":"(Sun; Abraham, 2021)","noteIndex":0},"citationItems":[{"id":297,"uris":["http://zotero.org/users/12001880/items/L65VRWLH"],"itemData":{"id":297,"type":"article-journal","abstract":"To estimate the dynamic effects of an absorbing treatment, researchers often use twoway fixed effects regressions that include leads and lags of the treatment. We show that in settings with variation in treatment timing across units, the coefficient on a given lead or lag can be contaminated by effects from other periods, and apparent pretrends can arise solely from treatment effects heterogeneity. We propose an alternative estimator that is free of contamination, and illustrate the relative shortcomings of two-way fixed effects regressions with leads and lags through an empirical application.","container-title":"Journal of Econometrics","DOI":"10.1016/j.jeconom.2020.09.006","ISSN":"03044076","issue":"2","journalAbbreviation":"Journal of Econometrics","language":"la","page":"175-199","source":"DOI.org (Crossref)","title":"Estimating dynamic treatment effects in event studies with heterogeneous treatment effects","volume":"225","author":[{"family":"Sun","given":"Liyang"},{"family":"Abraham","given":"Sarah"}],"issued":{"date-parts":[["2021",12]]}}}],"schema":"https://github.com/citation-style-language/schema/raw/master/csl-citation.json"} </w:instrText>
      </w:r>
      <w:r>
        <w:rPr>
          <w:w w:val="105"/>
        </w:rPr>
        <w:fldChar w:fldCharType="separate"/>
      </w:r>
      <w:r w:rsidRPr="000A7400">
        <w:t>(Sun; Abraham, 2021)</w:t>
      </w:r>
      <w:r>
        <w:rPr>
          <w:w w:val="105"/>
        </w:rPr>
        <w:fldChar w:fldCharType="end"/>
      </w:r>
      <w:r>
        <w:rPr>
          <w:w w:val="105"/>
        </w:rPr>
        <w:t xml:space="preserve">. No presente contexto, como o choque ocorre em data comum aos tratados, tais problemas tendem a ser mitigados, ainda assim, a </w:t>
      </w:r>
      <w:r>
        <w:rPr>
          <w:w w:val="105"/>
        </w:rPr>
        <w:lastRenderedPageBreak/>
        <w:t xml:space="preserve">interpretação dos </w:t>
      </w:r>
      <m:oMath>
        <m:sSub>
          <m:sSubPr>
            <m:ctrlPr>
              <w:rPr>
                <w:rFonts w:ascii="Cambria Math" w:hAnsi="Cambria Math"/>
                <w:w w:val="105"/>
              </w:rPr>
            </m:ctrlPr>
          </m:sSubPr>
          <m:e>
            <m:r>
              <w:rPr>
                <w:rFonts w:ascii="Cambria Math" w:hAnsi="Cambria Math"/>
                <w:w w:val="105"/>
              </w:rPr>
              <m:t>μ</m:t>
            </m:r>
          </m:e>
          <m:sub>
            <m:r>
              <m:rPr>
                <m:scr m:val="script"/>
                <m:sty m:val="p"/>
              </m:rPr>
              <w:rPr>
                <w:rFonts w:ascii="Cambria Math" w:hAnsi="Cambria Math"/>
                <w:w w:val="105"/>
              </w:rPr>
              <m:t>l</m:t>
            </m:r>
          </m:sub>
        </m:sSub>
      </m:oMath>
      <w:r>
        <w:rPr>
          <w:rFonts w:eastAsiaTheme="minorEastAsia"/>
          <w:w w:val="105"/>
        </w:rPr>
        <w:t xml:space="preserve"> é conduzida com cautela e complementada por placebos.</w:t>
      </w:r>
    </w:p>
    <w:p w14:paraId="3AAC83DA" w14:textId="77777777" w:rsidR="00270042" w:rsidRPr="00C8377A" w:rsidRDefault="00270042" w:rsidP="00270042">
      <w:pPr>
        <w:spacing w:after="0"/>
        <w:jc w:val="both"/>
        <w:rPr>
          <w:rFonts w:ascii="Arial" w:eastAsiaTheme="minorEastAsia" w:hAnsi="Arial" w:cs="Arial"/>
          <w:color w:val="000000" w:themeColor="text1"/>
          <w:w w:val="105"/>
        </w:rPr>
      </w:pPr>
    </w:p>
    <w:p w14:paraId="074B12F9" w14:textId="77777777" w:rsidR="00270042" w:rsidRDefault="00270042" w:rsidP="00270042">
      <w:pPr>
        <w:pStyle w:val="Ttulo3"/>
        <w:jc w:val="both"/>
        <w:rPr>
          <w:rFonts w:ascii="Arial" w:eastAsiaTheme="minorEastAsia" w:hAnsi="Arial" w:cs="Arial"/>
          <w:color w:val="000000" w:themeColor="text1"/>
          <w:w w:val="105"/>
          <w:sz w:val="24"/>
          <w:szCs w:val="24"/>
        </w:rPr>
      </w:pPr>
      <w:bookmarkStart w:id="15" w:name="_Toc225542323"/>
      <w:r w:rsidRPr="00C8377A">
        <w:rPr>
          <w:rFonts w:ascii="Arial" w:eastAsiaTheme="minorEastAsia" w:hAnsi="Arial" w:cs="Arial"/>
          <w:color w:val="000000" w:themeColor="text1"/>
          <w:w w:val="105"/>
          <w:sz w:val="24"/>
          <w:szCs w:val="24"/>
        </w:rPr>
        <w:t>3.3.6 Testes de robustez e limitações</w:t>
      </w:r>
      <w:bookmarkEnd w:id="15"/>
      <w:r w:rsidRPr="00C8377A">
        <w:rPr>
          <w:rFonts w:ascii="Arial" w:eastAsiaTheme="minorEastAsia" w:hAnsi="Arial" w:cs="Arial"/>
          <w:color w:val="000000" w:themeColor="text1"/>
          <w:w w:val="105"/>
          <w:sz w:val="24"/>
          <w:szCs w:val="24"/>
        </w:rPr>
        <w:t xml:space="preserve"> </w:t>
      </w:r>
    </w:p>
    <w:p w14:paraId="66238696" w14:textId="77777777" w:rsidR="00270042" w:rsidRDefault="00270042" w:rsidP="00270042">
      <w:pPr>
        <w:pStyle w:val="EstiloJustificadoDepoisde0pt"/>
      </w:pPr>
    </w:p>
    <w:p w14:paraId="7BEF282B" w14:textId="77777777" w:rsidR="00270042" w:rsidRDefault="00270042" w:rsidP="00270042">
      <w:pPr>
        <w:pStyle w:val="EstiloJustificadoPrimeiralinha125cmDepoisde0pt"/>
      </w:pPr>
      <w:r>
        <w:t xml:space="preserve">A validação empírica é estruturada em dois eixos complementares: (a) placebos temporais, que testam se o modelo detecta efeitos antes da data de choque ao impor uma data placebo, e (b) placebo espacial por permutação, que avalia se o efeito estimado é excepcional frente a uma distribuição empírica de efeitos obtidos ao atribuir falsamente o tratamento a municípios comparáveis </w:t>
      </w:r>
      <w:r>
        <w:fldChar w:fldCharType="begin"/>
      </w:r>
      <w:r>
        <w:instrText xml:space="preserve"> ADDIN ZOTERO_ITEM CSL_CITATION {"citationID":"kaCjXP6E","properties":{"formattedCitation":"(Olden; M\\uc0\\u248{}en, 2022)","plainCitation":"(Olden; Møen, 2022)","noteIndex":0},"citationItems":[{"id":269,"uris":["http://zotero.org/users/12001880/items/MRG3B6S9"],"itemData":{"id":269,"type":"article-journal","abstract":"Triple difference has become a widely used estimator in empirical work. A close reading of articles in top economics journals reveals that the use of the estimator to a large extent rests on intuition. The identifying assumptions are neither formally derived nor generally agreed on. We give a complete presentation of the triple difference estimator, and show that even though the estimator can be computed as the difference between two difference-in-differences estimators, it does not require two parallel trend assumptions to have a causal interpretation. The reason is that the difference between two biased difference-in-differences estimators will be unbiased as long as the bias is the same in both estimators. This requires only one parallel trend assumption to hold.","container-title":"The Econometrics Journal","DOI":"10.1093/ectj/utac010","ISSN":"1368-4221, 1368-423X","issue":"3","language":"en","license":"https://creativecommons.org/licenses/by-nc/4.0/","page":"531-553","source":"DOI.org (Crossref)","title":"The triple difference estimator","volume":"25","author":[{"family":"Olden","given":"Andreas"},{"family":"Møen","given":"Jarle"}],"issued":{"date-parts":[["2022",9,14]]}}}],"schema":"https://github.com/citation-style-language/schema/raw/master/csl-citation.json"} </w:instrText>
      </w:r>
      <w:r>
        <w:fldChar w:fldCharType="separate"/>
      </w:r>
      <w:r w:rsidRPr="000A7400">
        <w:rPr>
          <w:kern w:val="0"/>
        </w:rPr>
        <w:t>(Olden; Møen, 2022)</w:t>
      </w:r>
      <w:r>
        <w:fldChar w:fldCharType="end"/>
      </w:r>
      <w:r>
        <w:t>.</w:t>
      </w:r>
    </w:p>
    <w:p w14:paraId="20E4E73E" w14:textId="77777777" w:rsidR="00270042" w:rsidRDefault="00270042" w:rsidP="00270042">
      <w:pPr>
        <w:spacing w:after="0"/>
        <w:jc w:val="both"/>
        <w:rPr>
          <w:rFonts w:ascii="Arial" w:hAnsi="Arial" w:cs="Arial"/>
        </w:rPr>
      </w:pPr>
    </w:p>
    <w:p w14:paraId="0888057A" w14:textId="77777777" w:rsidR="00270042" w:rsidRDefault="00270042" w:rsidP="00270042">
      <w:pPr>
        <w:pStyle w:val="Ttulo4"/>
        <w:jc w:val="both"/>
        <w:rPr>
          <w:rFonts w:ascii="Arial" w:hAnsi="Arial" w:cs="Arial"/>
          <w:color w:val="000000" w:themeColor="text1"/>
        </w:rPr>
      </w:pPr>
      <w:r w:rsidRPr="00B91408">
        <w:rPr>
          <w:rFonts w:ascii="Arial" w:hAnsi="Arial" w:cs="Arial"/>
          <w:color w:val="000000" w:themeColor="text1"/>
        </w:rPr>
        <w:t>3.3.6.1 Placebo temporal</w:t>
      </w:r>
    </w:p>
    <w:p w14:paraId="6546C587" w14:textId="77777777" w:rsidR="00270042" w:rsidRDefault="00270042" w:rsidP="00270042">
      <w:pPr>
        <w:spacing w:after="0"/>
        <w:rPr>
          <w:rFonts w:ascii="Arial" w:hAnsi="Arial" w:cs="Arial"/>
        </w:rPr>
      </w:pPr>
    </w:p>
    <w:p w14:paraId="6714AC53" w14:textId="77777777" w:rsidR="00270042" w:rsidRDefault="00270042" w:rsidP="00270042">
      <w:pPr>
        <w:pStyle w:val="EstiloJustificadoPrimeiralinha125cm"/>
      </w:pPr>
      <w:r>
        <w:t xml:space="preserve">O placebo temporal consiste em substituir o verdadeiro indicador </w:t>
      </w:r>
      <m:oMath>
        <m:r>
          <w:rPr>
            <w:rFonts w:ascii="Cambria Math" w:hAnsi="Cambria Math"/>
          </w:rPr>
          <m:t>Pos</m:t>
        </m:r>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m:t>
        </m:r>
        <m:r>
          <m:rPr>
            <m:scr m:val="double-struck"/>
            <m:sty m:val="p"/>
          </m:rPr>
          <w:rPr>
            <w:rFonts w:ascii="Cambria Math" w:eastAsiaTheme="minorEastAsia" w:hAnsi="Cambria Math"/>
          </w:rPr>
          <m:t>1</m:t>
        </m:r>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oMath>
      <w:r>
        <w:rPr>
          <w:rFonts w:eastAsiaTheme="minorEastAsia"/>
        </w:rPr>
        <w:t xml:space="preserve"> </w:t>
      </w:r>
      <w:r w:rsidRPr="007363A2">
        <w:t xml:space="preserve">por um indicador placebo </w:t>
      </w:r>
      <m:oMath>
        <m:r>
          <w:rPr>
            <w:rFonts w:ascii="Cambria Math" w:hAnsi="Cambria Math"/>
          </w:rPr>
          <m:t>Pos</m:t>
        </m:r>
        <m:sSubSup>
          <m:sSubSupPr>
            <m:ctrlPr>
              <w:rPr>
                <w:rFonts w:ascii="Cambria Math" w:hAnsi="Cambria Math"/>
              </w:rPr>
            </m:ctrlPr>
          </m:sSubSupPr>
          <m:e>
            <m:r>
              <w:rPr>
                <w:rFonts w:ascii="Cambria Math" w:hAnsi="Cambria Math"/>
              </w:rPr>
              <m:t>t</m:t>
            </m:r>
          </m:e>
          <m:sub>
            <m:r>
              <w:rPr>
                <w:rFonts w:ascii="Cambria Math" w:hAnsi="Cambria Math"/>
              </w:rPr>
              <m:t>t</m:t>
            </m:r>
          </m:sub>
          <m:sup>
            <m:d>
              <m:dPr>
                <m:ctrlPr>
                  <w:rPr>
                    <w:rFonts w:ascii="Cambria Math" w:hAnsi="Cambria Math"/>
                  </w:rPr>
                </m:ctrlPr>
              </m:dPr>
              <m:e>
                <m:r>
                  <w:rPr>
                    <w:rFonts w:ascii="Cambria Math" w:hAnsi="Cambria Math"/>
                  </w:rPr>
                  <m:t>p</m:t>
                </m:r>
              </m:e>
            </m:d>
          </m:sup>
        </m:sSubSup>
        <m:r>
          <w:rPr>
            <w:rFonts w:ascii="Cambria Math" w:hAnsi="Cambria Math"/>
          </w:rPr>
          <m:t>=</m:t>
        </m:r>
        <m:r>
          <m:rPr>
            <m:scr m:val="double-struck"/>
            <m:sty m:val="p"/>
          </m:rPr>
          <w:rPr>
            <w:rFonts w:ascii="Cambria Math" w:eastAsiaTheme="minorEastAsia" w:hAnsi="Cambria Math"/>
          </w:rPr>
          <m:t>1</m:t>
        </m:r>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t>
        </m:r>
      </m:oMath>
      <w:r w:rsidRPr="007363A2">
        <w:t xml:space="preserve">, onde </w:t>
      </w:r>
      <m:oMath>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0</m:t>
            </m:r>
          </m:sub>
        </m:sSub>
      </m:oMath>
      <w:r>
        <w:rPr>
          <w:rFonts w:eastAsiaTheme="minorEastAsia"/>
        </w:rPr>
        <w:t xml:space="preserve"> </w:t>
      </w:r>
      <w:r w:rsidRPr="007363A2">
        <w:t>é um ano escolhido estritamente no período pré-choque. Define-se então:</w:t>
      </w:r>
    </w:p>
    <w:p w14:paraId="1F23D5A7" w14:textId="77777777" w:rsidR="00270042" w:rsidRDefault="00270042" w:rsidP="00270042">
      <w:pPr>
        <w:ind w:firstLine="708"/>
        <w:jc w:val="both"/>
        <w:rPr>
          <w:rFonts w:ascii="Arial" w:hAnsi="Arial" w:cs="Arial"/>
        </w:rPr>
      </w:pPr>
    </w:p>
    <w:p w14:paraId="3CC837EB" w14:textId="77777777" w:rsidR="00270042" w:rsidRPr="003B17D2" w:rsidRDefault="00270042" w:rsidP="00270042">
      <w:pPr>
        <w:pStyle w:val="EstiloJustificado"/>
      </w:pPr>
      <m:oMathPara>
        <m:oMath>
          <m:r>
            <w:rPr>
              <w:rFonts w:ascii="Cambria Math" w:hAnsi="Cambria Math"/>
            </w:rPr>
            <m:t>DD</m:t>
          </m:r>
          <m:sSubSup>
            <m:sSubSupPr>
              <m:ctrlPr>
                <w:rPr>
                  <w:rFonts w:ascii="Cambria Math" w:hAnsi="Cambria Math"/>
                </w:rPr>
              </m:ctrlPr>
            </m:sSubSupPr>
            <m:e>
              <m:r>
                <w:rPr>
                  <w:rFonts w:ascii="Cambria Math" w:hAnsi="Cambria Math"/>
                </w:rPr>
                <m:t>D</m:t>
              </m:r>
            </m:e>
            <m:sub>
              <m:r>
                <w:rPr>
                  <w:rFonts w:ascii="Cambria Math" w:hAnsi="Cambria Math"/>
                </w:rPr>
                <m:t>mst</m:t>
              </m:r>
            </m:sub>
            <m:sup>
              <m:d>
                <m:dPr>
                  <m:ctrlPr>
                    <w:rPr>
                      <w:rFonts w:ascii="Cambria Math" w:hAnsi="Cambria Math"/>
                    </w:rPr>
                  </m:ctrlPr>
                </m:dPr>
                <m:e>
                  <m:r>
                    <w:rPr>
                      <w:rFonts w:ascii="Cambria Math" w:hAnsi="Cambria Math"/>
                    </w:rPr>
                    <m:t>p</m:t>
                  </m:r>
                </m:e>
              </m:d>
            </m:sup>
          </m:sSub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m:t>
              </m:r>
            </m:sub>
          </m:sSub>
          <m:r>
            <m:rPr>
              <m:sty m:val="p"/>
            </m:rPr>
            <w:rPr>
              <w:rFonts w:ascii="Cambria Math" w:hAnsi="Cambria Math"/>
            </w:rPr>
            <m:t>×</m:t>
          </m:r>
          <m:r>
            <w:rPr>
              <w:rFonts w:ascii="Cambria Math" w:hAnsi="Cambria Math"/>
            </w:rPr>
            <m:t>Pos</m:t>
          </m:r>
          <m:sSubSup>
            <m:sSubSupPr>
              <m:ctrlPr>
                <w:rPr>
                  <w:rFonts w:ascii="Cambria Math" w:hAnsi="Cambria Math"/>
                </w:rPr>
              </m:ctrlPr>
            </m:sSubSupPr>
            <m:e>
              <m:r>
                <w:rPr>
                  <w:rFonts w:ascii="Cambria Math" w:hAnsi="Cambria Math"/>
                </w:rPr>
                <m:t>t</m:t>
              </m:r>
            </m:e>
            <m:sub>
              <m:r>
                <w:rPr>
                  <w:rFonts w:ascii="Cambria Math" w:hAnsi="Cambria Math"/>
                </w:rPr>
                <m:t>t</m:t>
              </m:r>
            </m:sub>
            <m:sup>
              <m:d>
                <m:dPr>
                  <m:ctrlPr>
                    <w:rPr>
                      <w:rFonts w:ascii="Cambria Math" w:hAnsi="Cambria Math"/>
                    </w:rPr>
                  </m:ctrlPr>
                </m:dPr>
                <m:e>
                  <m:r>
                    <w:rPr>
                      <w:rFonts w:ascii="Cambria Math" w:hAnsi="Cambria Math"/>
                    </w:rPr>
                    <m:t>p</m:t>
                  </m:r>
                </m:e>
              </m:d>
            </m:sup>
          </m:sSubSup>
          <m:r>
            <m:rPr>
              <m:sty m:val="p"/>
            </m:rPr>
            <w:rPr>
              <w:rFonts w:ascii="Cambria Math" w:hAnsi="Cambria Math"/>
            </w:rPr>
            <m:t>.</m:t>
          </m:r>
          <m:r>
            <m:rPr>
              <m:sty m:val="p"/>
            </m:rPr>
            <w:rPr>
              <w:rFonts w:ascii="Cambria Math" w:hAnsi="Cambria Math"/>
            </w:rPr>
            <w:br/>
          </m:r>
        </m:oMath>
      </m:oMathPara>
    </w:p>
    <w:p w14:paraId="6815FA73" w14:textId="77777777" w:rsidR="00270042" w:rsidRDefault="00270042" w:rsidP="00270042">
      <w:pPr>
        <w:jc w:val="both"/>
        <w:rPr>
          <w:rFonts w:ascii="Arial" w:hAnsi="Arial" w:cs="Arial"/>
        </w:rPr>
      </w:pPr>
      <w:r w:rsidRPr="007363A2">
        <w:rPr>
          <w:rFonts w:ascii="Arial" w:hAnsi="Arial" w:cs="Arial"/>
        </w:rPr>
        <w:t>A regressão placebo replica a especificação estrutural:</w:t>
      </w:r>
    </w:p>
    <w:p w14:paraId="2E3603F1" w14:textId="77777777" w:rsidR="00270042" w:rsidRDefault="00270042" w:rsidP="00270042">
      <w:pPr>
        <w:jc w:val="both"/>
        <w:rPr>
          <w:rFonts w:ascii="Arial" w:hAnsi="Arial" w:cs="Arial"/>
        </w:rPr>
      </w:pPr>
    </w:p>
    <w:p w14:paraId="6941F92F" w14:textId="77777777" w:rsidR="00270042" w:rsidRPr="003B17D2" w:rsidRDefault="00270042" w:rsidP="00270042">
      <w:pPr>
        <w:pStyle w:val="EstiloJustificado"/>
      </w:pPr>
      <m:oMathPara>
        <m:oMath>
          <m:sSub>
            <m:sSubPr>
              <m:ctrlPr>
                <w:rPr>
                  <w:rFonts w:ascii="Cambria Math" w:hAnsi="Cambria Math"/>
                </w:rPr>
              </m:ctrlPr>
            </m:sSubPr>
            <m:e>
              <m:r>
                <w:rPr>
                  <w:rFonts w:ascii="Cambria Math" w:hAnsi="Cambria Math"/>
                </w:rPr>
                <m:t>y</m:t>
              </m:r>
            </m:e>
            <m:sub>
              <m:r>
                <w:rPr>
                  <w:rFonts w:ascii="Cambria Math" w:hAnsi="Cambria Math"/>
                </w:rPr>
                <m:t>mst</m:t>
              </m:r>
            </m:sub>
          </m:sSub>
          <m:r>
            <m:rPr>
              <m:sty m:val="p"/>
            </m:rPr>
            <w:rPr>
              <w:rFonts w:ascii="Cambria Math" w:hAnsi="Cambria Math"/>
            </w:rPr>
            <m:t>=</m:t>
          </m:r>
          <m:sSup>
            <m:sSupPr>
              <m:ctrlPr>
                <w:rPr>
                  <w:rFonts w:ascii="Cambria Math" w:hAnsi="Cambria Math"/>
                </w:rPr>
              </m:ctrlPr>
            </m:sSupPr>
            <m:e>
              <m:r>
                <w:rPr>
                  <w:rFonts w:ascii="Cambria Math" w:hAnsi="Cambria Math"/>
                </w:rPr>
                <m:t>β</m:t>
              </m:r>
            </m:e>
            <m:sup>
              <m:d>
                <m:dPr>
                  <m:ctrlPr>
                    <w:rPr>
                      <w:rFonts w:ascii="Cambria Math" w:hAnsi="Cambria Math"/>
                    </w:rPr>
                  </m:ctrlPr>
                </m:dPr>
                <m:e>
                  <m:r>
                    <w:rPr>
                      <w:rFonts w:ascii="Cambria Math" w:hAnsi="Cambria Math"/>
                    </w:rPr>
                    <m:t>p</m:t>
                  </m:r>
                </m:e>
              </m:d>
            </m:sup>
          </m:sSup>
          <m:r>
            <m:rPr>
              <m:nor/>
            </m:rPr>
            <m:t> </m:t>
          </m:r>
          <m:r>
            <w:rPr>
              <w:rFonts w:ascii="Cambria Math" w:hAnsi="Cambria Math"/>
            </w:rPr>
            <m:t>DD</m:t>
          </m:r>
          <m:sSubSup>
            <m:sSubSupPr>
              <m:ctrlPr>
                <w:rPr>
                  <w:rFonts w:ascii="Cambria Math" w:hAnsi="Cambria Math"/>
                </w:rPr>
              </m:ctrlPr>
            </m:sSubSupPr>
            <m:e>
              <m:r>
                <w:rPr>
                  <w:rFonts w:ascii="Cambria Math" w:hAnsi="Cambria Math"/>
                </w:rPr>
                <m:t>D</m:t>
              </m:r>
            </m:e>
            <m:sub>
              <m:r>
                <w:rPr>
                  <w:rFonts w:ascii="Cambria Math" w:hAnsi="Cambria Math"/>
                </w:rPr>
                <m:t>mst</m:t>
              </m:r>
            </m:sub>
            <m:sup>
              <m:d>
                <m:dPr>
                  <m:ctrlPr>
                    <w:rPr>
                      <w:rFonts w:ascii="Cambria Math" w:hAnsi="Cambria Math"/>
                    </w:rPr>
                  </m:ctrlPr>
                </m:dPr>
                <m:e>
                  <m:r>
                    <w:rPr>
                      <w:rFonts w:ascii="Cambria Math" w:hAnsi="Cambria Math"/>
                    </w:rPr>
                    <m:t>p</m:t>
                  </m:r>
                </m:e>
              </m:d>
            </m:sup>
          </m:sSub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s</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m</m:t>
              </m:r>
              <m:r>
                <m:rPr>
                  <m:sty m:val="p"/>
                </m:rPr>
                <w:rPr>
                  <w:rFonts w:ascii="Cambria Math" w:hAnsi="Cambria Math"/>
                </w:rPr>
                <m:t>×</m:t>
              </m:r>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mst</m:t>
              </m:r>
            </m:sub>
          </m:sSub>
          <m:r>
            <m:rPr>
              <m:sty m:val="p"/>
            </m:rPr>
            <w:rPr>
              <w:rFonts w:ascii="Cambria Math" w:hAnsi="Cambria Math"/>
            </w:rPr>
            <m:t xml:space="preserve">,  </m:t>
          </m:r>
          <m:r>
            <m:rPr>
              <m:nor/>
            </m:rPr>
            <m:t xml:space="preserve">para </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0</m:t>
              </m:r>
            </m:sub>
          </m:sSub>
          <m:r>
            <m:rPr>
              <m:sty m:val="p"/>
            </m:rPr>
            <w:rPr>
              <w:rFonts w:ascii="Cambria Math" w:hAnsi="Cambria Math"/>
            </w:rPr>
            <m:t>-1.</m:t>
          </m:r>
          <m:r>
            <m:rPr>
              <m:sty m:val="p"/>
            </m:rPr>
            <w:rPr>
              <w:rFonts w:ascii="Cambria Math" w:hAnsi="Cambria Math"/>
            </w:rPr>
            <w:br/>
          </m:r>
        </m:oMath>
      </m:oMathPara>
    </w:p>
    <w:p w14:paraId="2301689A" w14:textId="77777777" w:rsidR="00270042" w:rsidRPr="002C13AB" w:rsidRDefault="00270042" w:rsidP="00270042">
      <w:pPr>
        <w:pStyle w:val="EstiloJustificadoPrimeiralinha125cm"/>
      </w:pPr>
      <w:r w:rsidRPr="002C13AB">
        <w:t xml:space="preserve">A implementação exige suporte mínimo para identificação dentro da janela considerada: deve haver observações do setor tratado no município tratado tanto antes quanto depois de </w:t>
      </w:r>
      <m:oMath>
        <m:sSub>
          <m:sSubPr>
            <m:ctrlPr>
              <w:rPr>
                <w:rFonts w:ascii="Cambria Math" w:hAnsi="Cambria Math"/>
              </w:rPr>
            </m:ctrlPr>
          </m:sSubPr>
          <m:e>
            <m:r>
              <w:rPr>
                <w:rFonts w:ascii="Cambria Math" w:hAnsi="Cambria Math"/>
              </w:rPr>
              <m:t>T</m:t>
            </m:r>
          </m:e>
          <m:sub>
            <m:r>
              <w:rPr>
                <w:rFonts w:ascii="Cambria Math" w:hAnsi="Cambria Math"/>
              </w:rPr>
              <m:t>p</m:t>
            </m:r>
          </m:sub>
        </m:sSub>
      </m:oMath>
      <w:r w:rsidRPr="002C13AB">
        <w:t xml:space="preserve">, e deve haver observações de setores não tratados nos dois lados do corte temporal, garantindo variação efetiva na interação tripla. Para evitar “vazamento” do choque verdadeiro, a amostra é truncada no máximo até </w:t>
      </w:r>
      <m:oMath>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-1</m:t>
        </m:r>
      </m:oMath>
      <w:r w:rsidRPr="002C13AB">
        <w:t>, assegurando que o placebo não incorpore períodos genuinamente pós-choque.</w:t>
      </w:r>
    </w:p>
    <w:p w14:paraId="08169E56" w14:textId="77777777" w:rsidR="00270042" w:rsidRPr="002C13AB" w:rsidRDefault="00270042" w:rsidP="00270042">
      <w:pPr>
        <w:pStyle w:val="EstiloJustificadoPrimeiralinha125cmDepoisde0pt"/>
      </w:pPr>
      <w:r w:rsidRPr="002C13AB">
        <w:t xml:space="preserve">A lógica inferencial é a seguinte: se o efeito estimado na data verdadeira reflete uma ruptura causal associada ao choque, então, ao deslocar artificialmente o corte temporal para um ano pré-choque, o estimador deve produzir </w:t>
      </w:r>
      <m:oMath>
        <m:sSup>
          <m:sSupPr>
            <m:ctrlPr>
              <w:rPr>
                <w:rFonts w:ascii="Cambria Math" w:hAnsi="Cambria Math"/>
              </w:rPr>
            </m:ctrlPr>
          </m:sSupPr>
          <m:e>
            <m:acc>
              <m:accPr>
                <m:ctrlPr>
                  <w:rPr>
                    <w:rFonts w:ascii="Cambria Math" w:hAnsi="Cambria Math"/>
                  </w:rPr>
                </m:ctrlPr>
              </m:accPr>
              <m:e>
                <m:r>
                  <w:rPr>
                    <w:rFonts w:ascii="Cambria Math" w:hAnsi="Cambria Math"/>
                  </w:rPr>
                  <m:t>β</m:t>
                </m:r>
              </m:e>
            </m:acc>
          </m:e>
          <m:sup>
            <m:d>
              <m:dPr>
                <m:ctrlPr>
                  <w:rPr>
                    <w:rFonts w:ascii="Cambria Math" w:hAnsi="Cambria Math"/>
                  </w:rPr>
                </m:ctrlPr>
              </m:dPr>
              <m:e>
                <m:r>
                  <w:rPr>
                    <w:rFonts w:ascii="Cambria Math" w:hAnsi="Cambria Math"/>
                  </w:rPr>
                  <m:t>p</m:t>
                </m:r>
              </m:e>
            </m:d>
          </m:sup>
        </m:sSup>
      </m:oMath>
      <w:r w:rsidRPr="002C13AB">
        <w:rPr>
          <w:rFonts w:eastAsiaTheme="minorEastAsia"/>
        </w:rPr>
        <w:t xml:space="preserve"> </w:t>
      </w:r>
      <w:r w:rsidRPr="002C13AB">
        <w:t xml:space="preserve">estatisticamente indistinguível de zero e sem padrão sistemático de sinal. Resultados placebo sistematicamente significativos sugerem que o modelo está capturando diferenças estruturais não relacionadas ao choque, violando a hipótese central de que, na ausência do choque, a trajetória relativa (setor </w:t>
      </w:r>
      <w:r w:rsidRPr="002C13AB">
        <w:lastRenderedPageBreak/>
        <w:t xml:space="preserve">tratado versus demais setores; municípios tratados versus não tratados) seria estável ao longo do tempo </w:t>
      </w:r>
      <w:r w:rsidRPr="002C13AB">
        <w:fldChar w:fldCharType="begin"/>
      </w:r>
      <w:r w:rsidRPr="002C13AB">
        <w:instrText xml:space="preserve"> ADDIN ZOTERO_ITEM CSL_CITATION {"citationID":"WIOcLVqK","properties":{"formattedCitation":"(Olden; M\\uc0\\u248{}en, 2022)","plainCitation":"(Olden; Møen, 2022)","noteIndex":0},"citationItems":[{"id":269,"uris":["http://zotero.org/users/12001880/items/MRG3B6S9"],"itemData":{"id":269,"type":"article-journal","abstract":"Triple difference has become a widely used estimator in empirical work. A close reading of articles in top economics journals reveals that the use of the estimator to a large extent rests on intuition. The identifying assumptions are neither formally derived nor generally agreed on. We give a complete presentation of the triple difference estimator, and show that even though the estimator can be computed as the difference between two difference-in-differences estimators, it does not require two parallel trend assumptions to have a causal interpretation. The reason is that the difference between two biased difference-in-differences estimators will be unbiased as long as the bias is the same in both estimators. This requires only one parallel trend assumption to hold.","container-title":"The Econometrics Journal","DOI":"10.1093/ectj/utac010","ISSN":"1368-4221, 1368-423X","issue":"3","language":"en","license":"https://creativecommons.org/licenses/by-nc/4.0/","page":"531-553","source":"DOI.org (Crossref)","title":"The triple difference estimator","volume":"25","author":[{"family":"Olden","given":"Andreas"},{"family":"Møen","given":"Jarle"}],"issued":{"date-parts":[["2022",9,14]]}}}],"schema":"https://github.com/citation-style-language/schema/raw/master/csl-citation.json"} </w:instrText>
      </w:r>
      <w:r w:rsidRPr="002C13AB">
        <w:fldChar w:fldCharType="separate"/>
      </w:r>
      <w:r w:rsidRPr="000A7400">
        <w:rPr>
          <w:kern w:val="0"/>
        </w:rPr>
        <w:t>(Olden; Møen, 2022)</w:t>
      </w:r>
      <w:r w:rsidRPr="002C13AB">
        <w:fldChar w:fldCharType="end"/>
      </w:r>
      <w:r w:rsidRPr="002C13AB">
        <w:t>.</w:t>
      </w:r>
    </w:p>
    <w:p w14:paraId="66C4FA2B" w14:textId="77777777" w:rsidR="00270042" w:rsidRPr="002C13AB" w:rsidRDefault="00270042" w:rsidP="00270042">
      <w:pPr>
        <w:spacing w:after="0"/>
        <w:jc w:val="both"/>
        <w:rPr>
          <w:rFonts w:ascii="Arial" w:hAnsi="Arial" w:cs="Arial"/>
          <w:color w:val="000000" w:themeColor="text1"/>
        </w:rPr>
      </w:pPr>
    </w:p>
    <w:p w14:paraId="2DBE34EA" w14:textId="77777777" w:rsidR="00270042" w:rsidRPr="002C13AB" w:rsidRDefault="00270042" w:rsidP="00270042">
      <w:pPr>
        <w:pStyle w:val="Ttulo4"/>
        <w:jc w:val="both"/>
        <w:rPr>
          <w:rFonts w:ascii="Arial" w:hAnsi="Arial" w:cs="Arial"/>
          <w:color w:val="000000" w:themeColor="text1"/>
        </w:rPr>
      </w:pPr>
      <w:r w:rsidRPr="002C13AB">
        <w:rPr>
          <w:rFonts w:ascii="Arial" w:hAnsi="Arial" w:cs="Arial"/>
          <w:color w:val="000000" w:themeColor="text1"/>
        </w:rPr>
        <w:t xml:space="preserve">3.3.6.2 Placebo espacial: permutação à Fischer em pool de municípios comparáveis </w:t>
      </w:r>
    </w:p>
    <w:p w14:paraId="7500C10F" w14:textId="77777777" w:rsidR="00270042" w:rsidRPr="002C13AB" w:rsidRDefault="00270042" w:rsidP="00270042">
      <w:pPr>
        <w:spacing w:after="0"/>
        <w:rPr>
          <w:rFonts w:ascii="Arial" w:hAnsi="Arial" w:cs="Arial"/>
        </w:rPr>
      </w:pPr>
    </w:p>
    <w:p w14:paraId="38FB444D" w14:textId="77777777" w:rsidR="00270042" w:rsidRPr="002C13AB" w:rsidRDefault="00270042" w:rsidP="00270042">
      <w:pPr>
        <w:pStyle w:val="EstiloJustificadoPrimeiralinha125cm"/>
      </w:pPr>
      <w:r w:rsidRPr="002C13AB">
        <w:t>O placebo espacial aplica um procedimento de randomização (</w:t>
      </w:r>
      <w:r w:rsidRPr="002C13AB">
        <w:rPr>
          <w:i/>
          <w:iCs/>
        </w:rPr>
        <w:t>Fisherian randomization/permutation</w:t>
      </w:r>
      <w:r w:rsidRPr="002C13AB">
        <w:t>), construindo uma distribuição empírica de efeitos sob a hipótese nula de ausência de impacto causal, ao realocar o conjunto de municípios tratados dentro de um grupo de municípios comparáveis.</w:t>
      </w:r>
    </w:p>
    <w:p w14:paraId="1A780E86" w14:textId="77777777" w:rsidR="00270042" w:rsidRPr="002C13AB" w:rsidRDefault="00270042" w:rsidP="00270042">
      <w:pPr>
        <w:ind w:firstLine="708"/>
        <w:jc w:val="both"/>
        <w:rPr>
          <w:rFonts w:ascii="Arial" w:hAnsi="Arial" w:cs="Arial"/>
        </w:rPr>
      </w:pPr>
      <w:r w:rsidRPr="002C13AB">
        <w:rPr>
          <w:rFonts w:ascii="Arial" w:hAnsi="Arial" w:cs="Arial"/>
        </w:rPr>
        <w:t>O protocolo tem três etapas: (i) construção do pool elegível, (ii) cálculo eficiente do estimador para um conjunto arbitrário de municípios placebo e (iii) obtenção do p-valor empírico.</w:t>
      </w:r>
    </w:p>
    <w:p w14:paraId="0AD1E846" w14:textId="77777777" w:rsidR="00270042" w:rsidRPr="002C13AB" w:rsidRDefault="00270042" w:rsidP="00270042">
      <w:pPr>
        <w:pStyle w:val="PargrafodaLista"/>
        <w:numPr>
          <w:ilvl w:val="0"/>
          <w:numId w:val="5"/>
        </w:numPr>
        <w:jc w:val="both"/>
        <w:rPr>
          <w:rFonts w:ascii="Arial" w:hAnsi="Arial" w:cs="Arial"/>
        </w:rPr>
      </w:pPr>
      <w:r w:rsidRPr="002C13AB">
        <w:rPr>
          <w:rFonts w:ascii="Arial" w:hAnsi="Arial" w:cs="Arial"/>
        </w:rPr>
        <w:t>Pool de elegibilidade e comparabilidade</w:t>
      </w:r>
    </w:p>
    <w:p w14:paraId="31C884BF" w14:textId="77777777" w:rsidR="00270042" w:rsidRPr="002C13AB" w:rsidRDefault="00270042" w:rsidP="00270042">
      <w:pPr>
        <w:pStyle w:val="EstiloJustificado"/>
      </w:pPr>
      <w:r w:rsidRPr="002C13AB">
        <w:t xml:space="preserve">Define-se um conjunto candidato </w:t>
      </w:r>
      <m:oMath>
        <m:r>
          <m:rPr>
            <m:scr m:val="script"/>
          </m:rPr>
          <w:rPr>
            <w:rFonts w:ascii="Cambria Math" w:hAnsi="Cambria Math"/>
          </w:rPr>
          <m:t>C</m:t>
        </m:r>
      </m:oMath>
      <w:r w:rsidRPr="002C13AB">
        <w:rPr>
          <w:rFonts w:eastAsiaTheme="minorEastAsia"/>
        </w:rPr>
        <w:t xml:space="preserve"> </w:t>
      </w:r>
      <w:r w:rsidRPr="002C13AB">
        <w:t>de municípios não tratados que sejam comparáveis aos tratados segundo dois critérios:</w:t>
      </w:r>
    </w:p>
    <w:p w14:paraId="74995984" w14:textId="77777777" w:rsidR="00270042" w:rsidRPr="002C13AB" w:rsidRDefault="00270042" w:rsidP="00270042">
      <w:pPr>
        <w:pStyle w:val="EstiloJustificado"/>
      </w:pPr>
      <w:r w:rsidRPr="002C13AB">
        <w:rPr>
          <w:b/>
          <w:bCs/>
        </w:rPr>
        <w:t>Presença do setor tratado no pós</w:t>
      </w:r>
      <w:r w:rsidRPr="002C13AB">
        <w:t>: requer-se que o município tenha o setor tratado com pelo menos dois anos observados no período pós (garantindo que a célula município–setor permaneça ativa e que o efeito não seja estimado sobre ruído de baixa presença).</w:t>
      </w:r>
    </w:p>
    <w:p w14:paraId="3A0C1DC1" w14:textId="77777777" w:rsidR="00270042" w:rsidRPr="002C13AB" w:rsidRDefault="00270042" w:rsidP="00270042">
      <w:pPr>
        <w:pStyle w:val="EstiloJustificado"/>
      </w:pPr>
      <w:r w:rsidRPr="002C13AB">
        <w:rPr>
          <w:b/>
          <w:bCs/>
        </w:rPr>
        <w:t>Porte pré-choque no setor tratado</w:t>
      </w:r>
      <w:r w:rsidRPr="002C13AB">
        <w:t xml:space="preserve">: utiliza-se o emprego total no setor tratado acumulado no pré (até </w:t>
      </w:r>
      <m:oMath>
        <m:sSub>
          <m:sSubPr>
            <m:ctrlPr>
              <w:rPr>
                <w:rFonts w:ascii="Cambria Math" w:hAnsi="Cambria Math"/>
              </w:rPr>
            </m:ctrlPr>
          </m:sSubPr>
          <m:e>
            <m:r>
              <w:rPr>
                <w:rFonts w:ascii="Cambria Math" w:hAnsi="Cambria Math"/>
              </w:rPr>
              <m:t>T</m:t>
            </m:r>
          </m:e>
          <m:sub>
            <m:r>
              <w:rPr>
                <w:rFonts w:ascii="Cambria Math" w:hAnsi="Cambria Math"/>
              </w:rPr>
              <m:t>ref</m:t>
            </m:r>
          </m:sub>
        </m:sSub>
      </m:oMath>
      <w:r w:rsidRPr="002C13AB">
        <w:t xml:space="preserve">) e selecionam-se municípios acima de um corte de quantil (por exemplo, percentil </w:t>
      </w:r>
      <m:oMath>
        <m:r>
          <w:rPr>
            <w:rFonts w:ascii="Cambria Math" w:hAnsi="Cambria Math"/>
          </w:rPr>
          <m:t>q</m:t>
        </m:r>
      </m:oMath>
      <w:r w:rsidRPr="002C13AB">
        <w:t>), restringindo o pool a municípios com escala produtiva mais próxima à dos tratados.</w:t>
      </w:r>
    </w:p>
    <w:p w14:paraId="7DDE583D" w14:textId="77777777" w:rsidR="00270042" w:rsidRPr="002C13AB" w:rsidRDefault="00270042" w:rsidP="00270042">
      <w:pPr>
        <w:ind w:firstLine="708"/>
        <w:jc w:val="both"/>
        <w:rPr>
          <w:rFonts w:ascii="Arial" w:hAnsi="Arial" w:cs="Arial"/>
        </w:rPr>
      </w:pPr>
      <w:r w:rsidRPr="002C13AB">
        <w:rPr>
          <w:rFonts w:ascii="Arial" w:hAnsi="Arial" w:cs="Arial"/>
        </w:rPr>
        <w:t>Esse desenho reduz a probabilidade de que a distribuição placebo seja inflada por municípios estruturalmente incomparáveis (muito pequenos, com presença intermitente do setor), condição que poderia tornar o teste conservador ou, no extremo, pouco informativo.</w:t>
      </w:r>
    </w:p>
    <w:p w14:paraId="55EC2846" w14:textId="77777777" w:rsidR="00270042" w:rsidRPr="002C13AB" w:rsidRDefault="00270042" w:rsidP="00270042">
      <w:pPr>
        <w:pStyle w:val="PargrafodaLista"/>
        <w:numPr>
          <w:ilvl w:val="0"/>
          <w:numId w:val="5"/>
        </w:numPr>
        <w:jc w:val="both"/>
        <w:rPr>
          <w:rFonts w:ascii="Arial" w:hAnsi="Arial" w:cs="Arial"/>
        </w:rPr>
      </w:pPr>
      <w:r w:rsidRPr="002C13AB">
        <w:rPr>
          <w:rFonts w:ascii="Arial" w:hAnsi="Arial" w:cs="Arial"/>
        </w:rPr>
        <w:t>Estimador por residualização (</w:t>
      </w:r>
      <w:r w:rsidRPr="002C13AB">
        <w:rPr>
          <w:rFonts w:ascii="Arial" w:hAnsi="Arial" w:cs="Arial"/>
          <w:i/>
          <w:iCs/>
        </w:rPr>
        <w:t>partialling-out</w:t>
      </w:r>
      <w:r w:rsidRPr="002C13AB">
        <w:rPr>
          <w:rFonts w:ascii="Arial" w:hAnsi="Arial" w:cs="Arial"/>
        </w:rPr>
        <w:t>) sob os mesmos efeitos fixos</w:t>
      </w:r>
    </w:p>
    <w:p w14:paraId="5FD1F90B" w14:textId="77777777" w:rsidR="00270042" w:rsidRPr="002C13AB" w:rsidRDefault="00270042" w:rsidP="00270042">
      <w:pPr>
        <w:pStyle w:val="EstiloJustificadoPrimeiralinha125cm"/>
      </w:pPr>
      <w:r w:rsidRPr="002C13AB">
        <w:t xml:space="preserve">Para cada conjunto placebo </w:t>
      </w:r>
      <m:oMath>
        <m:sSup>
          <m:sSupPr>
            <m:ctrlPr>
              <w:rPr>
                <w:rFonts w:ascii="Cambria Math" w:hAnsi="Cambria Math"/>
              </w:rPr>
            </m:ctrlPr>
          </m:sSupPr>
          <m:e>
            <m:r>
              <w:rPr>
                <w:rFonts w:ascii="Cambria Math" w:hAnsi="Cambria Math"/>
              </w:rPr>
              <m:t>M</m:t>
            </m:r>
          </m:e>
          <m:sup>
            <m:d>
              <m:dPr>
                <m:ctrlPr>
                  <w:rPr>
                    <w:rFonts w:ascii="Cambria Math" w:hAnsi="Cambria Math"/>
                  </w:rPr>
                </m:ctrlPr>
              </m:dPr>
              <m:e>
                <m:r>
                  <w:rPr>
                    <w:rFonts w:ascii="Cambria Math" w:hAnsi="Cambria Math"/>
                  </w:rPr>
                  <m:t>b</m:t>
                </m:r>
              </m:e>
            </m:d>
          </m:sup>
        </m:sSup>
        <m:r>
          <m:rPr>
            <m:scr m:val="script"/>
          </m:rPr>
          <w:rPr>
            <w:rFonts w:ascii="Cambria Math" w:hAnsi="Cambria Math"/>
          </w:rPr>
          <m:t>⊂C</m:t>
        </m:r>
      </m:oMath>
      <w:r w:rsidRPr="002C13AB">
        <w:rPr>
          <w:rFonts w:eastAsiaTheme="minorEastAsia"/>
        </w:rPr>
        <w:t xml:space="preserve"> </w:t>
      </w:r>
      <w:r w:rsidRPr="002C13AB">
        <w:t xml:space="preserve">com cardinalidade </w:t>
      </w:r>
      <m:oMath>
        <m:r>
          <w:rPr>
            <w:rFonts w:ascii="Cambria Math" w:hAnsi="Cambria Math"/>
          </w:rPr>
          <m:t>K</m:t>
        </m:r>
      </m:oMath>
      <w:r w:rsidRPr="002C13AB">
        <w:rPr>
          <w:rFonts w:eastAsiaTheme="minorEastAsia"/>
        </w:rPr>
        <w:t xml:space="preserve"> </w:t>
      </w:r>
      <w:r w:rsidRPr="002C13AB">
        <w:t xml:space="preserve">(igual ao número de municípios tratados), define-se o indicador </w:t>
      </w:r>
      <m:oMath>
        <m:sSubSup>
          <m:sSubSupPr>
            <m:ctrlPr>
              <w:rPr>
                <w:rFonts w:ascii="Cambria Math" w:hAnsi="Cambria Math"/>
              </w:rPr>
            </m:ctrlPr>
          </m:sSubSupPr>
          <m:e>
            <m:r>
              <w:rPr>
                <w:rFonts w:ascii="Cambria Math" w:hAnsi="Cambria Math"/>
              </w:rPr>
              <m:t>Z</m:t>
            </m:r>
          </m:e>
          <m:sub>
            <m:r>
              <w:rPr>
                <w:rFonts w:ascii="Cambria Math" w:hAnsi="Cambria Math"/>
              </w:rPr>
              <m:t>m</m:t>
            </m:r>
          </m:sub>
          <m:sup>
            <m:d>
              <m:dPr>
                <m:ctrlPr>
                  <w:rPr>
                    <w:rFonts w:ascii="Cambria Math" w:hAnsi="Cambria Math"/>
                  </w:rPr>
                </m:ctrlPr>
              </m:dPr>
              <m:e>
                <m:r>
                  <w:rPr>
                    <w:rFonts w:ascii="Cambria Math" w:hAnsi="Cambria Math"/>
                  </w:rPr>
                  <m:t>b</m:t>
                </m:r>
              </m:e>
            </m:d>
          </m:sup>
        </m:sSubSup>
        <m:r>
          <w:rPr>
            <w:rFonts w:ascii="Cambria Math" w:hAnsi="Cambria Math"/>
          </w:rPr>
          <m:t>=</m:t>
        </m:r>
        <m:r>
          <m:rPr>
            <m:sty m:val="b"/>
          </m:rPr>
          <w:rPr>
            <w:rFonts w:ascii="Cambria Math" w:hAnsi="Cambria Math"/>
          </w:rPr>
          <m:t>1</m:t>
        </m:r>
        <m:r>
          <w:rPr>
            <w:rFonts w:ascii="Cambria Math" w:hAnsi="Cambria Math"/>
          </w:rPr>
          <m:t>{m∈</m:t>
        </m:r>
        <m:sSup>
          <m:sSupPr>
            <m:ctrlPr>
              <w:rPr>
                <w:rFonts w:ascii="Cambria Math" w:hAnsi="Cambria Math"/>
              </w:rPr>
            </m:ctrlPr>
          </m:sSupPr>
          <m:e>
            <m:r>
              <w:rPr>
                <w:rFonts w:ascii="Cambria Math" w:hAnsi="Cambria Math"/>
              </w:rPr>
              <m:t>M</m:t>
            </m:r>
          </m:e>
          <m:sup>
            <m:d>
              <m:dPr>
                <m:ctrlPr>
                  <w:rPr>
                    <w:rFonts w:ascii="Cambria Math" w:hAnsi="Cambria Math"/>
                  </w:rPr>
                </m:ctrlPr>
              </m:dPr>
              <m:e>
                <m:r>
                  <w:rPr>
                    <w:rFonts w:ascii="Cambria Math" w:hAnsi="Cambria Math"/>
                  </w:rPr>
                  <m:t>b</m:t>
                </m:r>
              </m:e>
            </m:d>
          </m:sup>
        </m:sSup>
        <m:r>
          <w:rPr>
            <w:rFonts w:ascii="Cambria Math" w:hAnsi="Cambria Math"/>
          </w:rPr>
          <m:t>}</m:t>
        </m:r>
      </m:oMath>
      <w:r w:rsidRPr="002C13AB">
        <w:rPr>
          <w:rFonts w:eastAsiaTheme="minorEastAsia"/>
        </w:rPr>
        <w:t xml:space="preserve"> </w:t>
      </w:r>
      <w:r w:rsidRPr="002C13AB">
        <w:t xml:space="preserve">e o regressor </w:t>
      </w:r>
      <w:r>
        <w:t>tripo</w:t>
      </w:r>
      <w:r w:rsidRPr="002C13AB">
        <w:t xml:space="preserve"> placebo:</w:t>
      </w:r>
    </w:p>
    <w:p w14:paraId="154BFF41" w14:textId="77777777" w:rsidR="00270042" w:rsidRPr="002C13AB" w:rsidRDefault="00270042" w:rsidP="00270042">
      <w:pPr>
        <w:pStyle w:val="EstiloJustificado"/>
      </w:pPr>
      <m:oMathPara>
        <m:oMath>
          <m:sSubSup>
            <m:sSubSupPr>
              <m:ctrlPr>
                <w:rPr>
                  <w:rFonts w:ascii="Cambria Math" w:hAnsi="Cambria Math"/>
                </w:rPr>
              </m:ctrlPr>
            </m:sSubSupPr>
            <m:e>
              <m:r>
                <w:rPr>
                  <w:rFonts w:ascii="Cambria Math" w:hAnsi="Cambria Math"/>
                </w:rPr>
                <m:t>X</m:t>
              </m:r>
            </m:e>
            <m:sub>
              <m:r>
                <w:rPr>
                  <w:rFonts w:ascii="Cambria Math" w:hAnsi="Cambria Math"/>
                </w:rPr>
                <m:t>mst</m:t>
              </m:r>
            </m:sub>
            <m:sup>
              <m:d>
                <m:dPr>
                  <m:ctrlPr>
                    <w:rPr>
                      <w:rFonts w:ascii="Cambria Math" w:hAnsi="Cambria Math"/>
                    </w:rPr>
                  </m:ctrlPr>
                </m:dPr>
                <m:e>
                  <m:r>
                    <w:rPr>
                      <w:rFonts w:ascii="Cambria Math" w:hAnsi="Cambria Math"/>
                    </w:rPr>
                    <m:t>b</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m</m:t>
              </m:r>
            </m:sub>
            <m:sup>
              <m:d>
                <m:dPr>
                  <m:ctrlPr>
                    <w:rPr>
                      <w:rFonts w:ascii="Cambria Math" w:hAnsi="Cambria Math"/>
                    </w:rPr>
                  </m:ctrlPr>
                </m:dPr>
                <m:e>
                  <m:r>
                    <w:rPr>
                      <w:rFonts w:ascii="Cambria Math" w:hAnsi="Cambria Math"/>
                    </w:rPr>
                    <m:t>b</m:t>
                  </m:r>
                </m:e>
              </m:d>
            </m:sup>
          </m:sSub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m:t>
              </m:r>
            </m:sub>
          </m:sSub>
          <m:r>
            <m:rPr>
              <m:sty m:val="p"/>
            </m:rPr>
            <w:rPr>
              <w:rFonts w:ascii="Cambria Math" w:hAnsi="Cambria Math"/>
            </w:rPr>
            <m:t>×</m:t>
          </m:r>
          <m:r>
            <w:rPr>
              <w:rFonts w:ascii="Cambria Math" w:hAnsi="Cambria Math"/>
            </w:rPr>
            <m:t>Pos</m:t>
          </m:r>
          <m:sSub>
            <m:sSubPr>
              <m:ctrlPr>
                <w:rPr>
                  <w:rFonts w:ascii="Cambria Math" w:hAnsi="Cambria Math"/>
                </w:rPr>
              </m:ctrlPr>
            </m:sSubPr>
            <m:e>
              <m:r>
                <w:rPr>
                  <w:rFonts w:ascii="Cambria Math" w:hAnsi="Cambria Math"/>
                </w:rPr>
                <m:t>t</m:t>
              </m:r>
            </m:e>
            <m:sub>
              <m:r>
                <w:rPr>
                  <w:rFonts w:ascii="Cambria Math" w:hAnsi="Cambria Math"/>
                </w:rPr>
                <m:t>t</m:t>
              </m:r>
            </m:sub>
          </m:sSub>
          <m:r>
            <m:rPr>
              <m:sty m:val="p"/>
            </m:rPr>
            <w:rPr>
              <w:rFonts w:ascii="Cambria Math" w:hAnsi="Cambria Math"/>
            </w:rPr>
            <m:t>.</m:t>
          </m:r>
          <m:r>
            <m:rPr>
              <m:sty m:val="p"/>
            </m:rPr>
            <w:rPr>
              <w:rFonts w:ascii="Cambria Math" w:hAnsi="Cambria Math"/>
            </w:rPr>
            <w:br/>
          </m:r>
        </m:oMath>
      </m:oMathPara>
    </w:p>
    <w:p w14:paraId="1F8C1571" w14:textId="77777777" w:rsidR="00270042" w:rsidRPr="002C13AB" w:rsidRDefault="00270042" w:rsidP="00270042">
      <w:pPr>
        <w:pStyle w:val="EstiloJustificadoPrimeiralinha125cm"/>
      </w:pPr>
      <w:r w:rsidRPr="002C13AB">
        <w:t xml:space="preserve">A estimação de </w:t>
      </w:r>
      <m:oMath>
        <m:sSup>
          <m:sSupPr>
            <m:ctrlPr>
              <w:rPr>
                <w:rFonts w:ascii="Cambria Math" w:hAnsi="Cambria Math"/>
              </w:rPr>
            </m:ctrlPr>
          </m:sSupPr>
          <m:e>
            <m:r>
              <w:rPr>
                <w:rFonts w:ascii="Cambria Math" w:hAnsi="Cambria Math"/>
              </w:rPr>
              <m:t>β</m:t>
            </m:r>
          </m:e>
          <m:sup>
            <m:d>
              <m:dPr>
                <m:ctrlPr>
                  <w:rPr>
                    <w:rFonts w:ascii="Cambria Math" w:hAnsi="Cambria Math"/>
                  </w:rPr>
                </m:ctrlPr>
              </m:dPr>
              <m:e>
                <m:r>
                  <w:rPr>
                    <w:rFonts w:ascii="Cambria Math" w:hAnsi="Cambria Math"/>
                  </w:rPr>
                  <m:t>b</m:t>
                </m:r>
              </m:e>
            </m:d>
          </m:sup>
        </m:sSup>
      </m:oMath>
      <w:r w:rsidRPr="002C13AB">
        <w:rPr>
          <w:rFonts w:eastAsiaTheme="minorEastAsia"/>
        </w:rPr>
        <w:t xml:space="preserve"> </w:t>
      </w:r>
      <w:r w:rsidRPr="002C13AB">
        <w:t xml:space="preserve">é realizada mantendo a mesma estrutura de efeitos fixos </w:t>
      </w:r>
      <m:oMath>
        <m:sSub>
          <m:sSubPr>
            <m:ctrlPr>
              <w:rPr>
                <w:rFonts w:ascii="Cambria Math" w:hAnsi="Cambria Math"/>
              </w:rPr>
            </m:ctrlPr>
          </m:sSubPr>
          <m:e>
            <m:r>
              <w:rPr>
                <w:rFonts w:ascii="Cambria Math" w:hAnsi="Cambria Math"/>
              </w:rPr>
              <m:t>α</m:t>
            </m:r>
          </m:e>
          <m:sub>
            <m:r>
              <w:rPr>
                <w:rFonts w:ascii="Cambria Math" w:hAnsi="Cambria Math"/>
              </w:rPr>
              <m:t>m×t</m:t>
            </m:r>
          </m:sub>
        </m:sSub>
      </m:oMath>
      <w:r w:rsidRPr="002C13AB">
        <w:t xml:space="preserve">, </w:t>
      </w:r>
      <m:oMath>
        <m:sSub>
          <m:sSubPr>
            <m:ctrlPr>
              <w:rPr>
                <w:rFonts w:ascii="Cambria Math" w:hAnsi="Cambria Math"/>
              </w:rPr>
            </m:ctrlPr>
          </m:sSubPr>
          <m:e>
            <m:r>
              <w:rPr>
                <w:rFonts w:ascii="Cambria Math" w:hAnsi="Cambria Math"/>
              </w:rPr>
              <m:t>γ</m:t>
            </m:r>
          </m:e>
          <m:sub>
            <m:r>
              <w:rPr>
                <w:rFonts w:ascii="Cambria Math" w:hAnsi="Cambria Math"/>
              </w:rPr>
              <m:t>s×t</m:t>
            </m:r>
          </m:sub>
        </m:sSub>
      </m:oMath>
      <w:r w:rsidRPr="002C13AB">
        <w:t xml:space="preserve">, </w:t>
      </w:r>
      <m:oMath>
        <m:sSub>
          <m:sSubPr>
            <m:ctrlPr>
              <w:rPr>
                <w:rFonts w:ascii="Cambria Math" w:hAnsi="Cambria Math"/>
              </w:rPr>
            </m:ctrlPr>
          </m:sSubPr>
          <m:e>
            <m:r>
              <w:rPr>
                <w:rFonts w:ascii="Cambria Math" w:hAnsi="Cambria Math"/>
              </w:rPr>
              <m:t>δ</m:t>
            </m:r>
          </m:e>
          <m:sub>
            <m:r>
              <w:rPr>
                <w:rFonts w:ascii="Cambria Math" w:hAnsi="Cambria Math"/>
              </w:rPr>
              <m:t>m×s</m:t>
            </m:r>
          </m:sub>
        </m:sSub>
      </m:oMath>
      <w:r w:rsidRPr="002C13AB">
        <w:t xml:space="preserve">. Em termos do teorema de </w:t>
      </w:r>
      <w:r w:rsidRPr="002C13AB">
        <w:rPr>
          <w:i/>
          <w:iCs/>
        </w:rPr>
        <w:t>Frisch–Waugh–Lovell</w:t>
      </w:r>
      <w:r w:rsidRPr="002C13AB">
        <w:t xml:space="preserve">, pode-se </w:t>
      </w:r>
      <w:r w:rsidRPr="002C13AB">
        <w:lastRenderedPageBreak/>
        <w:t xml:space="preserve">obter </w:t>
      </w:r>
      <m:oMath>
        <m:sSup>
          <m:sSupPr>
            <m:ctrlPr>
              <w:rPr>
                <w:rFonts w:ascii="Cambria Math" w:hAnsi="Cambria Math"/>
              </w:rPr>
            </m:ctrlPr>
          </m:sSupPr>
          <m:e>
            <m:r>
              <w:rPr>
                <w:rFonts w:ascii="Cambria Math" w:hAnsi="Cambria Math"/>
              </w:rPr>
              <m:t>β</m:t>
            </m:r>
          </m:e>
          <m:sup>
            <m:d>
              <m:dPr>
                <m:ctrlPr>
                  <w:rPr>
                    <w:rFonts w:ascii="Cambria Math" w:hAnsi="Cambria Math"/>
                  </w:rPr>
                </m:ctrlPr>
              </m:dPr>
              <m:e>
                <m:r>
                  <w:rPr>
                    <w:rFonts w:ascii="Cambria Math" w:hAnsi="Cambria Math"/>
                  </w:rPr>
                  <m:t>b</m:t>
                </m:r>
              </m:e>
            </m:d>
          </m:sup>
        </m:sSup>
      </m:oMath>
      <w:r w:rsidRPr="002C13AB">
        <w:rPr>
          <w:rFonts w:eastAsiaTheme="minorEastAsia"/>
        </w:rPr>
        <w:t xml:space="preserve"> </w:t>
      </w:r>
      <w:r w:rsidRPr="002C13AB">
        <w:t>por regressão do desfecho residualizado nos efeitos fixos sobre o regressor residualizado nos mesmos efeitos fixos:</w:t>
      </w:r>
    </w:p>
    <w:p w14:paraId="5C1F45B3" w14:textId="77777777" w:rsidR="00270042" w:rsidRPr="002C13AB" w:rsidRDefault="00270042" w:rsidP="00270042">
      <w:pPr>
        <w:ind w:firstLine="708"/>
        <w:jc w:val="both"/>
        <w:rPr>
          <w:rFonts w:ascii="Arial" w:hAnsi="Arial" w:cs="Arial"/>
        </w:rPr>
      </w:pPr>
    </w:p>
    <w:p w14:paraId="36C1BFF7" w14:textId="77777777" w:rsidR="00270042" w:rsidRPr="002C13AB" w:rsidRDefault="00270042" w:rsidP="00270042">
      <w:pPr>
        <w:pStyle w:val="EstiloJustificado"/>
      </w:pPr>
      <m:oMathPara>
        <m:oMath>
          <m:sSup>
            <m:sSupPr>
              <m:ctrlPr>
                <w:rPr>
                  <w:rFonts w:ascii="Cambria Math" w:hAnsi="Cambria Math"/>
                </w:rPr>
              </m:ctrlPr>
            </m:sSupPr>
            <m:e>
              <m:r>
                <w:rPr>
                  <w:rFonts w:ascii="Cambria Math" w:hAnsi="Cambria Math"/>
                </w:rPr>
                <m:t>β</m:t>
              </m:r>
            </m:e>
            <m:sup>
              <m:d>
                <m:dPr>
                  <m:ctrlPr>
                    <w:rPr>
                      <w:rFonts w:ascii="Cambria Math" w:hAnsi="Cambria Math"/>
                    </w:rPr>
                  </m:ctrlPr>
                </m:dPr>
                <m:e>
                  <m:r>
                    <w:rPr>
                      <w:rFonts w:ascii="Cambria Math" w:hAnsi="Cambria Math"/>
                    </w:rPr>
                    <m:t>b</m:t>
                  </m:r>
                </m:e>
              </m:d>
            </m:sup>
          </m:sSup>
          <m:r>
            <m:rPr>
              <m:sty m:val="p"/>
            </m:rPr>
            <w:rPr>
              <w:rFonts w:ascii="Cambria Math" w:hAnsi="Cambria Math"/>
            </w:rPr>
            <m:t>=</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sub>
                <m:sup/>
                <m:e>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mst</m:t>
                      </m:r>
                    </m:sub>
                    <m:sup>
                      <m:d>
                        <m:dPr>
                          <m:ctrlPr>
                            <w:rPr>
                              <w:rFonts w:ascii="Cambria Math" w:hAnsi="Cambria Math"/>
                            </w:rPr>
                          </m:ctrlPr>
                        </m:dPr>
                        <m:e>
                          <m:r>
                            <w:rPr>
                              <w:rFonts w:ascii="Cambria Math" w:hAnsi="Cambria Math"/>
                            </w:rPr>
                            <m:t>b</m:t>
                          </m:r>
                        </m:e>
                      </m:d>
                    </m:sup>
                  </m:sSubSup>
                </m:e>
              </m:nary>
              <m:r>
                <m:rPr>
                  <m:nor/>
                </m:rPr>
                <m:t> </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mst</m:t>
                  </m:r>
                </m:sub>
              </m:sSub>
            </m:num>
            <m:den>
              <m:nary>
                <m:naryPr>
                  <m:chr m:val="∑"/>
                  <m:limLoc m:val="undOvr"/>
                  <m:grow m:val="1"/>
                  <m:supHide m:val="1"/>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sub>
                <m:sup/>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mst</m:t>
                              </m:r>
                            </m:sub>
                            <m:sup>
                              <m:d>
                                <m:dPr>
                                  <m:ctrlPr>
                                    <w:rPr>
                                      <w:rFonts w:ascii="Cambria Math" w:hAnsi="Cambria Math"/>
                                    </w:rPr>
                                  </m:ctrlPr>
                                </m:dPr>
                                <m:e>
                                  <m:r>
                                    <w:rPr>
                                      <w:rFonts w:ascii="Cambria Math" w:hAnsi="Cambria Math"/>
                                    </w:rPr>
                                    <m:t>b</m:t>
                                  </m:r>
                                </m:e>
                              </m:d>
                            </m:sup>
                          </m:sSubSup>
                        </m:e>
                      </m:d>
                    </m:e>
                    <m:sup>
                      <m:r>
                        <m:rPr>
                          <m:sty m:val="p"/>
                        </m:rPr>
                        <w:rPr>
                          <w:rFonts w:ascii="Cambria Math" w:hAnsi="Cambria Math"/>
                        </w:rPr>
                        <m:t>2</m:t>
                      </m:r>
                    </m:sup>
                  </m:sSup>
                </m:e>
              </m:nary>
            </m:den>
          </m:f>
          <m:r>
            <m:rPr>
              <m:sty m:val="p"/>
            </m:rPr>
            <w:rPr>
              <w:rFonts w:ascii="Cambria Math" w:hAnsi="Cambria Math"/>
            </w:rPr>
            <m:t>,</m:t>
          </m:r>
          <m:r>
            <m:rPr>
              <m:sty m:val="p"/>
            </m:rPr>
            <w:rPr>
              <w:rFonts w:ascii="Cambria Math" w:hAnsi="Cambria Math"/>
            </w:rPr>
            <w:br/>
          </m:r>
        </m:oMath>
      </m:oMathPara>
    </w:p>
    <w:p w14:paraId="41EE3BB3" w14:textId="77777777" w:rsidR="00270042" w:rsidRPr="002C13AB" w:rsidRDefault="00270042" w:rsidP="00270042">
      <w:pPr>
        <w:pStyle w:val="EstiloJustificado"/>
      </w:pPr>
      <w:r w:rsidRPr="002C13AB">
        <w:t xml:space="preserve">onde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mst</m:t>
            </m:r>
          </m:sub>
        </m:sSub>
        <m:r>
          <w:rPr>
            <w:rFonts w:ascii="Cambria Math" w:hAnsi="Cambria Math"/>
          </w:rPr>
          <m:t xml:space="preserve"> </m:t>
        </m:r>
      </m:oMath>
      <w:r w:rsidRPr="002C13AB">
        <w:t xml:space="preserve">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mst</m:t>
            </m:r>
          </m:sub>
          <m:sup>
            <m:d>
              <m:dPr>
                <m:ctrlPr>
                  <w:rPr>
                    <w:rFonts w:ascii="Cambria Math" w:hAnsi="Cambria Math"/>
                  </w:rPr>
                </m:ctrlPr>
              </m:dPr>
              <m:e>
                <m:r>
                  <w:rPr>
                    <w:rFonts w:ascii="Cambria Math" w:hAnsi="Cambria Math"/>
                  </w:rPr>
                  <m:t>b</m:t>
                </m:r>
              </m:e>
            </m:d>
          </m:sup>
        </m:sSubSup>
      </m:oMath>
      <w:r w:rsidRPr="002C13AB">
        <w:rPr>
          <w:rFonts w:eastAsiaTheme="minorEastAsia"/>
        </w:rPr>
        <w:t xml:space="preserve"> </w:t>
      </w:r>
      <w:r w:rsidRPr="002C13AB">
        <w:t>representam as variáveis após a remoção (</w:t>
      </w:r>
      <w:r w:rsidRPr="002C13AB">
        <w:rPr>
          <w:i/>
          <w:iCs/>
        </w:rPr>
        <w:t>demeaning</w:t>
      </w:r>
      <w:r w:rsidRPr="002C13AB">
        <w:t xml:space="preserve">) de </w:t>
      </w:r>
      <m:oMath>
        <m:sSub>
          <m:sSubPr>
            <m:ctrlPr>
              <w:rPr>
                <w:rFonts w:ascii="Cambria Math" w:hAnsi="Cambria Math"/>
              </w:rPr>
            </m:ctrlPr>
          </m:sSubPr>
          <m:e>
            <m:r>
              <w:rPr>
                <w:rFonts w:ascii="Cambria Math" w:hAnsi="Cambria Math"/>
              </w:rPr>
              <m:t>α</m:t>
            </m:r>
          </m:e>
          <m:sub>
            <m:r>
              <w:rPr>
                <w:rFonts w:ascii="Cambria Math" w:hAnsi="Cambria Math"/>
              </w:rPr>
              <m:t>m×t</m:t>
            </m:r>
          </m:sub>
        </m:sSub>
      </m:oMath>
      <w:r w:rsidRPr="002C13AB">
        <w:t xml:space="preserve">, </w:t>
      </w:r>
      <m:oMath>
        <m:sSub>
          <m:sSubPr>
            <m:ctrlPr>
              <w:rPr>
                <w:rFonts w:ascii="Cambria Math" w:hAnsi="Cambria Math"/>
              </w:rPr>
            </m:ctrlPr>
          </m:sSubPr>
          <m:e>
            <m:r>
              <w:rPr>
                <w:rFonts w:ascii="Cambria Math" w:hAnsi="Cambria Math"/>
              </w:rPr>
              <m:t>γ</m:t>
            </m:r>
          </m:e>
          <m:sub>
            <m:r>
              <w:rPr>
                <w:rFonts w:ascii="Cambria Math" w:hAnsi="Cambria Math"/>
              </w:rPr>
              <m:t>s×t</m:t>
            </m:r>
          </m:sub>
        </m:sSub>
      </m:oMath>
      <w:r w:rsidRPr="002C13AB">
        <w:rPr>
          <w:rFonts w:eastAsiaTheme="minorEastAsia"/>
        </w:rPr>
        <w:t xml:space="preserve"> </w:t>
      </w:r>
      <w:r w:rsidRPr="002C13AB">
        <w:t xml:space="preserve">e </w:t>
      </w:r>
      <m:oMath>
        <m:sSub>
          <m:sSubPr>
            <m:ctrlPr>
              <w:rPr>
                <w:rFonts w:ascii="Cambria Math" w:hAnsi="Cambria Math"/>
              </w:rPr>
            </m:ctrlPr>
          </m:sSubPr>
          <m:e>
            <m:r>
              <w:rPr>
                <w:rFonts w:ascii="Cambria Math" w:hAnsi="Cambria Math"/>
              </w:rPr>
              <m:t>δ</m:t>
            </m:r>
          </m:e>
          <m:sub>
            <m:r>
              <w:rPr>
                <w:rFonts w:ascii="Cambria Math" w:hAnsi="Cambria Math"/>
              </w:rPr>
              <m:t>m×s</m:t>
            </m:r>
          </m:sub>
        </m:sSub>
      </m:oMath>
      <w:r w:rsidRPr="002C13AB">
        <w:t>. Essa forma torna o procedimento computacionalmente escalável para milhares de permutações, ao evitar a reestimação completa do modelo para cada reatribuição do tratamento.</w:t>
      </w:r>
    </w:p>
    <w:p w14:paraId="6B751B1D" w14:textId="77777777" w:rsidR="00270042" w:rsidRPr="002C13AB" w:rsidRDefault="00270042" w:rsidP="00270042">
      <w:pPr>
        <w:pStyle w:val="EstiloJustificadoPrimeiralinha125cm"/>
      </w:pPr>
      <w:r w:rsidRPr="002C13AB">
        <w:t xml:space="preserve">A estatística “real” </w:t>
      </w:r>
      <m:oMath>
        <m:sSup>
          <m:sSupPr>
            <m:ctrlPr>
              <w:rPr>
                <w:rFonts w:ascii="Cambria Math" w:hAnsi="Cambria Math"/>
              </w:rPr>
            </m:ctrlPr>
          </m:sSupPr>
          <m:e>
            <m:r>
              <w:rPr>
                <w:rFonts w:ascii="Cambria Math" w:hAnsi="Cambria Math"/>
              </w:rPr>
              <m:t>β</m:t>
            </m:r>
          </m:e>
          <m:sup>
            <m:r>
              <w:rPr>
                <w:rFonts w:ascii="Cambria Math" w:hAnsi="Cambria Math"/>
              </w:rPr>
              <m:t>real</m:t>
            </m:r>
          </m:sup>
        </m:sSup>
      </m:oMath>
      <w:r w:rsidRPr="002C13AB">
        <w:rPr>
          <w:rFonts w:eastAsiaTheme="minorEastAsia"/>
        </w:rPr>
        <w:t xml:space="preserve"> </w:t>
      </w:r>
      <w:r w:rsidRPr="002C13AB">
        <w:t xml:space="preserve">é obtida aplicando o mesmo operador ao conjunto efetivamente tratado </w:t>
      </w:r>
      <m:oMath>
        <m:sSup>
          <m:sSupPr>
            <m:ctrlPr>
              <w:rPr>
                <w:rFonts w:ascii="Cambria Math" w:hAnsi="Cambria Math"/>
              </w:rPr>
            </m:ctrlPr>
          </m:sSupPr>
          <m:e>
            <m:r>
              <w:rPr>
                <w:rFonts w:ascii="Cambria Math" w:hAnsi="Cambria Math"/>
              </w:rPr>
              <m:t>M</m:t>
            </m:r>
          </m:e>
          <m:sup>
            <m:r>
              <w:rPr>
                <w:rFonts w:ascii="Cambria Math" w:hAnsi="Cambria Math"/>
              </w:rPr>
              <m:t>real</m:t>
            </m:r>
          </m:sup>
        </m:sSup>
      </m:oMath>
      <w:r w:rsidRPr="002C13AB">
        <w:t>.</w:t>
      </w:r>
    </w:p>
    <w:p w14:paraId="069E269E" w14:textId="77777777" w:rsidR="00270042" w:rsidRPr="002C13AB" w:rsidRDefault="00270042" w:rsidP="00270042">
      <w:pPr>
        <w:pStyle w:val="PargrafodaLista"/>
        <w:numPr>
          <w:ilvl w:val="0"/>
          <w:numId w:val="5"/>
        </w:numPr>
        <w:jc w:val="both"/>
        <w:rPr>
          <w:rFonts w:ascii="Arial" w:hAnsi="Arial" w:cs="Arial"/>
        </w:rPr>
      </w:pPr>
      <w:r w:rsidRPr="002C13AB">
        <w:rPr>
          <w:rFonts w:ascii="Arial" w:hAnsi="Arial" w:cs="Arial"/>
        </w:rPr>
        <w:t>P-valor empírico e interpretação</w:t>
      </w:r>
    </w:p>
    <w:p w14:paraId="7C3C3145" w14:textId="77777777" w:rsidR="00270042" w:rsidRPr="002C13AB" w:rsidRDefault="00270042" w:rsidP="00270042">
      <w:pPr>
        <w:pStyle w:val="EstiloJustificadoPrimeiralinha125cm"/>
      </w:pPr>
      <w:r w:rsidRPr="002C13AB">
        <w:t xml:space="preserve">A distribuição empírica </w:t>
      </w: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β</m:t>
                </m:r>
              </m:e>
              <m:sup>
                <m:d>
                  <m:dPr>
                    <m:ctrlPr>
                      <w:rPr>
                        <w:rFonts w:ascii="Cambria Math" w:hAnsi="Cambria Math"/>
                      </w:rPr>
                    </m:ctrlPr>
                  </m:dPr>
                  <m:e>
                    <m:r>
                      <w:rPr>
                        <w:rFonts w:ascii="Cambria Math" w:hAnsi="Cambria Math"/>
                      </w:rPr>
                      <m:t>b</m:t>
                    </m:r>
                  </m:e>
                </m:d>
              </m:sup>
            </m:sSup>
            <m:sSubSup>
              <m:sSubSupPr>
                <m:ctrlPr>
                  <w:rPr>
                    <w:rFonts w:ascii="Cambria Math" w:hAnsi="Cambria Math"/>
                  </w:rPr>
                </m:ctrlPr>
              </m:sSubSupPr>
              <m:e>
                <m:r>
                  <w:rPr>
                    <w:rFonts w:ascii="Cambria Math" w:hAnsi="Cambria Math"/>
                  </w:rPr>
                  <m:t>}</m:t>
                </m:r>
              </m:e>
              <m:sub>
                <m:r>
                  <w:rPr>
                    <w:rFonts w:ascii="Cambria Math" w:hAnsi="Cambria Math"/>
                  </w:rPr>
                  <m:t>b=1</m:t>
                </m:r>
              </m:sub>
              <m:sup>
                <m:r>
                  <w:rPr>
                    <w:rFonts w:ascii="Cambria Math" w:hAnsi="Cambria Math"/>
                  </w:rPr>
                  <m:t>B</m:t>
                </m:r>
              </m:sup>
            </m:sSubSup>
          </m:e>
        </m:d>
      </m:oMath>
      <w:r w:rsidRPr="002C13AB">
        <w:rPr>
          <w:rFonts w:eastAsiaTheme="minorEastAsia"/>
        </w:rPr>
        <w:t xml:space="preserve"> </w:t>
      </w:r>
      <w:r w:rsidRPr="002C13AB">
        <w:t xml:space="preserve">é construída por amostragem aleatória sem reposição de conjuntos </w:t>
      </w:r>
      <m:oMath>
        <m:sSup>
          <m:sSupPr>
            <m:ctrlPr>
              <w:rPr>
                <w:rFonts w:ascii="Cambria Math" w:hAnsi="Cambria Math"/>
              </w:rPr>
            </m:ctrlPr>
          </m:sSupPr>
          <m:e>
            <m:r>
              <w:rPr>
                <w:rFonts w:ascii="Cambria Math" w:hAnsi="Cambria Math"/>
              </w:rPr>
              <m:t>M</m:t>
            </m:r>
          </m:e>
          <m:sup>
            <m:d>
              <m:dPr>
                <m:ctrlPr>
                  <w:rPr>
                    <w:rFonts w:ascii="Cambria Math" w:hAnsi="Cambria Math"/>
                  </w:rPr>
                </m:ctrlPr>
              </m:dPr>
              <m:e>
                <m:r>
                  <w:rPr>
                    <w:rFonts w:ascii="Cambria Math" w:hAnsi="Cambria Math"/>
                  </w:rPr>
                  <m:t>b</m:t>
                </m:r>
              </m:e>
            </m:d>
          </m:sup>
        </m:sSup>
      </m:oMath>
      <w:r w:rsidRPr="002C13AB">
        <w:rPr>
          <w:rFonts w:eastAsiaTheme="minorEastAsia"/>
        </w:rPr>
        <w:t xml:space="preserve"> </w:t>
      </w:r>
      <w:r w:rsidRPr="002C13AB">
        <w:t xml:space="preserve">de tamanho </w:t>
      </w:r>
      <m:oMath>
        <m:r>
          <w:rPr>
            <w:rFonts w:ascii="Cambria Math" w:hAnsi="Cambria Math"/>
          </w:rPr>
          <m:t>K</m:t>
        </m:r>
      </m:oMath>
      <w:r w:rsidRPr="002C13AB">
        <w:t>. O p-valor de cauda (unilateral) é calculado como:</w:t>
      </w:r>
    </w:p>
    <w:p w14:paraId="2C3B14E9" w14:textId="77777777" w:rsidR="00270042" w:rsidRPr="002C13AB" w:rsidRDefault="00270042" w:rsidP="00270042">
      <w:pPr>
        <w:pStyle w:val="EstiloJustificado"/>
      </w:pPr>
      <m:oMathPara>
        <m:oMath>
          <m:r>
            <w:rPr>
              <w:rFonts w:ascii="Cambria Math" w:hAnsi="Cambria Math"/>
            </w:rPr>
            <m:t>p</m:t>
          </m:r>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β</m:t>
                  </m:r>
                </m:e>
                <m:sup>
                  <m:d>
                    <m:dPr>
                      <m:ctrlPr>
                        <w:rPr>
                          <w:rFonts w:ascii="Cambria Math" w:hAnsi="Cambria Math"/>
                        </w:rPr>
                      </m:ctrlPr>
                    </m:dPr>
                    <m:e>
                      <m:r>
                        <w:rPr>
                          <w:rFonts w:ascii="Cambria Math" w:hAnsi="Cambria Math"/>
                        </w:rPr>
                        <m:t>b</m:t>
                      </m:r>
                    </m:e>
                  </m:d>
                </m:sup>
              </m:sSup>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real</m:t>
                  </m:r>
                </m:sup>
              </m:sSup>
              <m:r>
                <m:rPr>
                  <m:sty m:val="p"/>
                </m:rPr>
                <w:rPr>
                  <w:rFonts w:ascii="Cambria Math" w:hAnsi="Cambria Math"/>
                </w:rPr>
                <m:t>}+1</m:t>
              </m:r>
            </m:num>
            <m:den>
              <m:r>
                <w:rPr>
                  <w:rFonts w:ascii="Cambria Math" w:hAnsi="Cambria Math"/>
                </w:rPr>
                <m:t>B</m:t>
              </m:r>
              <m:r>
                <m:rPr>
                  <m:sty m:val="p"/>
                </m:rPr>
                <w:rPr>
                  <w:rFonts w:ascii="Cambria Math" w:hAnsi="Cambria Math"/>
                </w:rPr>
                <m:t>+1</m:t>
              </m:r>
            </m:den>
          </m:f>
          <m:r>
            <m:rPr>
              <m:sty m:val="p"/>
            </m:rPr>
            <w:rPr>
              <w:rFonts w:ascii="Cambria Math" w:hAnsi="Cambria Math"/>
            </w:rPr>
            <m:t>.</m:t>
          </m:r>
          <m:r>
            <m:rPr>
              <m:sty m:val="p"/>
            </m:rPr>
            <w:rPr>
              <w:rFonts w:ascii="Cambria Math" w:hAnsi="Cambria Math"/>
            </w:rPr>
            <w:br/>
          </m:r>
        </m:oMath>
      </m:oMathPara>
    </w:p>
    <w:p w14:paraId="719DF766" w14:textId="77777777" w:rsidR="00270042" w:rsidRDefault="00270042" w:rsidP="00270042">
      <w:pPr>
        <w:pStyle w:val="EstiloJustificadoPrimeiralinha125cmDepoisde0pt"/>
      </w:pPr>
      <w:r w:rsidRPr="002C13AB">
        <w:t>A correção “</w:t>
      </w:r>
      <m:oMath>
        <m:r>
          <w:rPr>
            <w:rFonts w:ascii="Cambria Math" w:hAnsi="Cambria Math"/>
          </w:rPr>
          <m:t>+1</m:t>
        </m:r>
      </m:oMath>
      <w:r w:rsidRPr="002C13AB">
        <w:t xml:space="preserve">” no numerador e denominador é uma forma padrão de suavização finita para evitar p-valor nulo em amostras Monte Carlo </w:t>
      </w:r>
      <w:r w:rsidRPr="002C13AB">
        <w:fldChar w:fldCharType="begin"/>
      </w:r>
      <w:r w:rsidRPr="002C13AB">
        <w:instrText xml:space="preserve"> ADDIN ZOTERO_ITEM CSL_CITATION {"citationID":"NUNfv6J1","properties":{"formattedCitation":"(Olden; M\\uc0\\u248{}en, 2022)","plainCitation":"(Olden; Møen, 2022)","noteIndex":0},"citationItems":[{"id":269,"uris":["http://zotero.org/users/12001880/items/MRG3B6S9"],"itemData":{"id":269,"type":"article-journal","abstract":"Triple difference has become a widely used estimator in empirical work. A close reading of articles in top economics journals reveals that the use of the estimator to a large extent rests on intuition. The identifying assumptions are neither formally derived nor generally agreed on. We give a complete presentation of the triple difference estimator, and show that even though the estimator can be computed as the difference between two difference-in-differences estimators, it does not require two parallel trend assumptions to have a causal interpretation. The reason is that the difference between two biased difference-in-differences estimators will be unbiased as long as the bias is the same in both estimators. This requires only one parallel trend assumption to hold.","container-title":"The Econometrics Journal","DOI":"10.1093/ectj/utac010","ISSN":"1368-4221, 1368-423X","issue":"3","language":"en","license":"https://creativecommons.org/licenses/by-nc/4.0/","page":"531-553","source":"DOI.org (Crossref)","title":"The triple difference estimator","volume":"25","author":[{"family":"Olden","given":"Andreas"},{"family":"Møen","given":"Jarle"}],"issued":{"date-parts":[["2022",9,14]]}}}],"schema":"https://github.com/citation-style-language/schema/raw/master/csl-citation.json"} </w:instrText>
      </w:r>
      <w:r w:rsidRPr="002C13AB">
        <w:fldChar w:fldCharType="separate"/>
      </w:r>
      <w:r w:rsidRPr="000A7400">
        <w:rPr>
          <w:kern w:val="0"/>
        </w:rPr>
        <w:t>(Olden; Møen, 2022)</w:t>
      </w:r>
      <w:r w:rsidRPr="002C13AB">
        <w:fldChar w:fldCharType="end"/>
      </w:r>
      <w:r w:rsidRPr="002C13AB">
        <w:t xml:space="preserve">. A interpretação é direta: </w:t>
      </w:r>
      <m:oMath>
        <m:r>
          <w:rPr>
            <w:rFonts w:ascii="Cambria Math" w:hAnsi="Cambria Math"/>
          </w:rPr>
          <m:t>p</m:t>
        </m:r>
      </m:oMath>
      <w:r w:rsidRPr="002C13AB">
        <w:rPr>
          <w:rFonts w:eastAsiaTheme="minorEastAsia"/>
        </w:rPr>
        <w:t xml:space="preserve"> </w:t>
      </w:r>
      <w:r w:rsidRPr="002C13AB">
        <w:t xml:space="preserve">mede a fração de efeitos placebo tão extremos quanto (ou mais extremos que) o efeito real, sob reatribuições do tratamento a municípios comparáveis. Valores pequenos de </w:t>
      </w:r>
      <m:oMath>
        <m:r>
          <w:rPr>
            <w:rFonts w:ascii="Cambria Math" w:hAnsi="Cambria Math"/>
          </w:rPr>
          <m:t>p</m:t>
        </m:r>
      </m:oMath>
      <w:r w:rsidRPr="002C13AB">
        <w:rPr>
          <w:rFonts w:eastAsiaTheme="minorEastAsia"/>
        </w:rPr>
        <w:t xml:space="preserve"> </w:t>
      </w:r>
      <w:r w:rsidRPr="002C13AB">
        <w:t>indicam que o efeito estimado para o conjunto tratado é improvável de surgir por mera realocação do rótulo de tratamento, reforçando a leitura causal.</w:t>
      </w:r>
    </w:p>
    <w:p w14:paraId="5428EC34" w14:textId="77777777" w:rsidR="00270042" w:rsidRDefault="00270042" w:rsidP="00270042">
      <w:pPr>
        <w:pStyle w:val="EstiloJustificadoPrimeiralinha125cmDepoisde0pt"/>
        <w:ind w:firstLine="0"/>
      </w:pPr>
    </w:p>
    <w:p w14:paraId="40FA7350" w14:textId="77777777" w:rsidR="00270042" w:rsidRDefault="00270042" w:rsidP="00270042">
      <w:pPr>
        <w:pStyle w:val="Ttulo2"/>
        <w:rPr>
          <w:rFonts w:ascii="Arial" w:hAnsi="Arial" w:cs="Arial"/>
          <w:color w:val="000000" w:themeColor="text1"/>
          <w:sz w:val="24"/>
          <w:szCs w:val="24"/>
        </w:rPr>
      </w:pPr>
      <w:bookmarkStart w:id="16" w:name="_Toc225542324"/>
      <w:r w:rsidRPr="002C13AB">
        <w:rPr>
          <w:rFonts w:ascii="Arial" w:hAnsi="Arial" w:cs="Arial"/>
          <w:color w:val="000000" w:themeColor="text1"/>
          <w:sz w:val="24"/>
          <w:szCs w:val="24"/>
        </w:rPr>
        <w:t>3.4 Resultados</w:t>
      </w:r>
      <w:bookmarkEnd w:id="16"/>
    </w:p>
    <w:p w14:paraId="63269788" w14:textId="77777777" w:rsidR="00270042" w:rsidRDefault="00270042" w:rsidP="00270042">
      <w:pPr>
        <w:spacing w:after="0"/>
        <w:rPr>
          <w:rFonts w:ascii="Arial" w:hAnsi="Arial" w:cs="Arial"/>
        </w:rPr>
      </w:pPr>
    </w:p>
    <w:p w14:paraId="5A902395" w14:textId="77777777" w:rsidR="00270042" w:rsidRPr="00527D9D" w:rsidRDefault="00270042" w:rsidP="00270042">
      <w:pPr>
        <w:ind w:firstLine="708"/>
        <w:jc w:val="both"/>
        <w:rPr>
          <w:rFonts w:ascii="Arial" w:hAnsi="Arial" w:cs="Arial"/>
        </w:rPr>
      </w:pPr>
      <w:r w:rsidRPr="00B07606">
        <w:rPr>
          <w:rFonts w:ascii="Arial" w:hAnsi="Arial" w:cs="Arial"/>
        </w:rPr>
        <w:t>Esta seção apresenta as estimativas do impacto do encerramento das operações da Ford sobre o emprego formal no complexo automotivo, com base no modelo DDD com efeitos fixos de alta dimensão descrito na seção metodológica.</w:t>
      </w:r>
      <w:r>
        <w:rPr>
          <w:rFonts w:ascii="Arial" w:hAnsi="Arial" w:cs="Arial"/>
        </w:rPr>
        <w:t xml:space="preserve"> A identificação decorre da variação residual associada à interação entre município tratado, setor tratado e período pós 2021, após controlar simultaneamente por efeitos fixos município</w:t>
      </w:r>
      <w:r w:rsidRPr="00144AE3">
        <w:rPr>
          <w:rFonts w:ascii="Arial" w:hAnsi="Arial" w:cs="Arial"/>
        </w:rPr>
        <w:t>×</w:t>
      </w:r>
      <w:r>
        <w:rPr>
          <w:rFonts w:ascii="Arial" w:hAnsi="Arial" w:cs="Arial"/>
        </w:rPr>
        <w:t>ano, setor</w:t>
      </w:r>
      <w:r w:rsidRPr="00144AE3">
        <w:rPr>
          <w:rFonts w:ascii="Arial" w:hAnsi="Arial" w:cs="Arial"/>
        </w:rPr>
        <w:t>×</w:t>
      </w:r>
      <w:r>
        <w:rPr>
          <w:rFonts w:ascii="Arial" w:hAnsi="Arial" w:cs="Arial"/>
        </w:rPr>
        <w:t>ano e município</w:t>
      </w:r>
      <w:r w:rsidRPr="00144AE3">
        <w:rPr>
          <w:rFonts w:ascii="Arial" w:hAnsi="Arial" w:cs="Arial"/>
        </w:rPr>
        <w:t>×</w:t>
      </w:r>
      <w:r>
        <w:rPr>
          <w:rFonts w:ascii="Arial" w:hAnsi="Arial" w:cs="Arial"/>
        </w:rPr>
        <w:t xml:space="preserve">setor. Essa parametrização visa isolar o choque específico do encerramento do que </w:t>
      </w:r>
      <w:r>
        <w:rPr>
          <w:rFonts w:ascii="Arial" w:hAnsi="Arial" w:cs="Arial"/>
        </w:rPr>
        <w:lastRenderedPageBreak/>
        <w:t xml:space="preserve">seria explicado por tendências agregadas no tempo, choques setoriais comuns </w:t>
      </w:r>
      <w:r w:rsidRPr="00527D9D">
        <w:rPr>
          <w:rFonts w:ascii="Arial" w:hAnsi="Arial" w:cs="Arial"/>
        </w:rPr>
        <w:t>e heterogeneidades persistentes entre pares município×setor.</w:t>
      </w:r>
    </w:p>
    <w:p w14:paraId="66B1E989" w14:textId="77777777" w:rsidR="00270042" w:rsidRDefault="00270042" w:rsidP="00270042">
      <w:pPr>
        <w:pStyle w:val="EstiloJustificado"/>
        <w:rPr>
          <w:rFonts w:eastAsiaTheme="minorEastAsia"/>
        </w:rPr>
      </w:pPr>
      <w:r w:rsidRPr="00527D9D">
        <w:tab/>
        <w:t xml:space="preserve">A estimativa principal aponta efeito negativo e estatisticamente significativo ao nível de 1%, com </w:t>
      </w:r>
      <m:oMath>
        <m:r>
          <w:rPr>
            <w:rFonts w:ascii="Cambria Math" w:hAnsi="Cambria Math"/>
          </w:rPr>
          <m:t>β</m:t>
        </m:r>
        <m:r>
          <w:rPr>
            <w:rFonts w:ascii="Cambria Math" w:eastAsiaTheme="minorEastAsia" w:hAnsi="Cambria Math"/>
          </w:rPr>
          <m:t>= -1,3992,  erro padrão=0,4766 e p=0,0034</m:t>
        </m:r>
      </m:oMath>
      <w:r w:rsidRPr="00527D9D">
        <w:rPr>
          <w:rFonts w:eastAsiaTheme="minorEastAsia"/>
        </w:rPr>
        <w:t>. Como a variável dependente é</w:t>
      </w:r>
      <w:r w:rsidRPr="00527D9D">
        <w:t xml:space="preserve"> </w:t>
      </w:r>
      <m:oMath>
        <m:sSub>
          <m:sSubPr>
            <m:ctrlPr>
              <w:rPr>
                <w:rFonts w:ascii="Cambria Math" w:hAnsi="Cambria Math"/>
              </w:rPr>
            </m:ctrlPr>
          </m:sSubPr>
          <m:e>
            <m:r>
              <w:rPr>
                <w:rFonts w:ascii="Cambria Math" w:hAnsi="Cambria Math"/>
              </w:rPr>
              <m:t>Y</m:t>
            </m:r>
          </m:e>
          <m:sub>
            <m:r>
              <w:rPr>
                <w:rFonts w:ascii="Cambria Math" w:hAnsi="Cambria Math"/>
              </w:rPr>
              <m:t>mst</m:t>
            </m:r>
          </m:sub>
        </m:sSub>
        <m:r>
          <w:rPr>
            <w:rFonts w:ascii="Cambria Math" w:hAnsi="Cambria Math"/>
          </w:rPr>
          <m:t>=ln</m:t>
        </m:r>
        <m:sSub>
          <m:sSubPr>
            <m:ctrlPr>
              <w:rPr>
                <w:rFonts w:ascii="Cambria Math" w:hAnsi="Cambria Math"/>
              </w:rPr>
            </m:ctrlPr>
          </m:sSubPr>
          <m:e>
            <m:r>
              <w:rPr>
                <w:rFonts w:ascii="Cambria Math" w:hAnsi="Cambria Math"/>
              </w:rPr>
              <m:t>(Emp</m:t>
            </m:r>
          </m:e>
          <m:sub>
            <m:r>
              <w:rPr>
                <w:rFonts w:ascii="Cambria Math" w:hAnsi="Cambria Math"/>
              </w:rPr>
              <m:t>mst</m:t>
            </m:r>
          </m:sub>
        </m:sSub>
        <m:r>
          <w:rPr>
            <w:rFonts w:ascii="Cambria Math" w:eastAsiaTheme="minorEastAsia" w:hAnsi="Cambria Math"/>
          </w:rPr>
          <m:t>+1)</m:t>
        </m:r>
      </m:oMath>
      <w:r>
        <w:t xml:space="preserve">, o coeficiente pode ser interpretado como uma variação percentual aproximada de </w:t>
      </w:r>
      <m:oMath>
        <m:r>
          <w:rPr>
            <w:rFonts w:ascii="Cambria Math" w:hAnsi="Cambria Math"/>
          </w:rPr>
          <m:t>100⋅</m:t>
        </m:r>
        <m:d>
          <m:dPr>
            <m:sepChr m:val="−"/>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β</m:t>
                </m:r>
              </m:sup>
            </m:sSup>
          </m:e>
          <m:e>
            <m:r>
              <w:rPr>
                <w:rFonts w:ascii="Cambria Math" w:hAnsi="Cambria Math"/>
              </w:rPr>
              <m:t>1</m:t>
            </m:r>
          </m:e>
        </m:d>
      </m:oMath>
      <w:r>
        <w:rPr>
          <w:rFonts w:eastAsiaTheme="minorEastAsia"/>
        </w:rPr>
        <w:t>, resultando em queda de cerca de 75,3% no emprego formal do complexo automotivo nos municípios tratados após 2021, relativamente ao contrafactual formado por setores não automotivos nos mesmos municípios e anos, e municípios não tratados nos mesmos setores e anos. Trata-se, portanto, de um efeito líquido e relativo, não se confunde com a queda bruta observada no grupo tratado, pois desconta simultaneamente variações comuns e choques correlacionados no espaço e no setor.</w:t>
      </w:r>
    </w:p>
    <w:p w14:paraId="525927E0" w14:textId="77777777" w:rsidR="00270042" w:rsidRDefault="00270042" w:rsidP="00270042">
      <w:pPr>
        <w:pStyle w:val="EstiloJustificadoDepoisde0pt"/>
        <w:rPr>
          <w:rFonts w:eastAsiaTheme="minorEastAsia"/>
        </w:rPr>
      </w:pPr>
      <w:r>
        <w:rPr>
          <w:rFonts w:eastAsiaTheme="minorEastAsia"/>
        </w:rPr>
        <w:tab/>
        <w:t xml:space="preserve">A coerência substantiva do resultado pode ser confrontada com a evidência descritiva apresentada na </w:t>
      </w:r>
      <w:r>
        <w:rPr>
          <w:rFonts w:eastAsiaTheme="minorEastAsia"/>
        </w:rPr>
        <w:fldChar w:fldCharType="begin"/>
      </w:r>
      <w:r>
        <w:rPr>
          <w:rFonts w:eastAsiaTheme="minorEastAsia"/>
        </w:rPr>
        <w:instrText xml:space="preserve"> REF _Ref225537584 \h </w:instrText>
      </w:r>
      <w:r>
        <w:rPr>
          <w:rFonts w:eastAsiaTheme="minorEastAsia"/>
        </w:rPr>
      </w:r>
      <w:r>
        <w:rPr>
          <w:rFonts w:eastAsiaTheme="minorEastAsia"/>
        </w:rPr>
        <w:fldChar w:fldCharType="separate"/>
      </w:r>
      <w:r>
        <w:t xml:space="preserve">tabela </w:t>
      </w:r>
      <w:r>
        <w:rPr>
          <w:noProof/>
        </w:rPr>
        <w:t>9</w:t>
      </w:r>
      <w:r>
        <w:rPr>
          <w:rFonts w:eastAsiaTheme="minorEastAsia"/>
        </w:rPr>
        <w:fldChar w:fldCharType="end"/>
      </w:r>
      <w:r>
        <w:rPr>
          <w:rFonts w:eastAsiaTheme="minorEastAsia"/>
        </w:rPr>
        <w:t xml:space="preserve">. No agregado do grupo tratado, o total de vínculos do setor cai de 16.528 em 2020 para 10.392 em 2021, permanecendo em patamar inferior em 2022 (9.949) e 2023 (10.090). Essa evidência confirma que o choque coincidiu com forte contração do emprego setorial nas localidades expostas. Ainda assim, o estimador DDD é mais informativo para inferência causal porque compara o ajuste do setor tratado com a evolução de setores não tratados no mesmo município, controlando choques locais amplos, e com a evolução do setor tratado em municípios não tratados, controlando choques setoriais agregados. Ademais, a completude do painel com células de emprego nulo é relevante para a interpretação do desfecho </w:t>
      </w:r>
      <m:oMath>
        <m:sSub>
          <m:sSubPr>
            <m:ctrlPr>
              <w:rPr>
                <w:rFonts w:ascii="Cambria Math" w:hAnsi="Cambria Math"/>
              </w:rPr>
            </m:ctrlPr>
          </m:sSubPr>
          <m:e>
            <m:r>
              <w:rPr>
                <w:rFonts w:ascii="Cambria Math" w:hAnsi="Cambria Math"/>
              </w:rPr>
              <m:t>(Emp</m:t>
            </m:r>
          </m:e>
          <m:sub>
            <m:r>
              <w:rPr>
                <w:rFonts w:ascii="Cambria Math" w:hAnsi="Cambria Math"/>
              </w:rPr>
              <m:t>mst</m:t>
            </m:r>
          </m:sub>
        </m:sSub>
        <m:r>
          <w:rPr>
            <w:rFonts w:ascii="Cambria Math" w:eastAsiaTheme="minorEastAsia" w:hAnsi="Cambria Math"/>
          </w:rPr>
          <m:t>+1)</m:t>
        </m:r>
      </m:oMath>
      <w:r>
        <w:rPr>
          <w:rFonts w:eastAsiaTheme="minorEastAsia"/>
        </w:rPr>
        <w:t>, pois evita que a análise se restrinja apenas a células com emprego positivo, o que alteraria o suporte do estimador justamente no sentido de excluir combinações onde a destruição de empregos é mais intensa.</w:t>
      </w:r>
    </w:p>
    <w:p w14:paraId="415BA6EC" w14:textId="77777777" w:rsidR="00270042" w:rsidRPr="004A516C" w:rsidRDefault="00270042" w:rsidP="00270042">
      <w:pPr>
        <w:rPr>
          <w:rFonts w:ascii="Arial" w:hAnsi="Arial" w:cs="Arial"/>
          <w:color w:val="000000" w:themeColor="text1"/>
        </w:rPr>
      </w:pPr>
    </w:p>
    <w:p w14:paraId="741F90CF" w14:textId="77777777" w:rsidR="00270042" w:rsidRDefault="00270042" w:rsidP="00270042">
      <w:pPr>
        <w:pStyle w:val="Ttulo3"/>
        <w:rPr>
          <w:rFonts w:ascii="Arial" w:hAnsi="Arial" w:cs="Arial"/>
          <w:color w:val="000000" w:themeColor="text1"/>
          <w:sz w:val="24"/>
          <w:szCs w:val="24"/>
        </w:rPr>
      </w:pPr>
      <w:bookmarkStart w:id="17" w:name="_Toc225542325"/>
      <w:r w:rsidRPr="004A516C">
        <w:rPr>
          <w:rFonts w:ascii="Arial" w:hAnsi="Arial" w:cs="Arial"/>
          <w:color w:val="000000" w:themeColor="text1"/>
          <w:sz w:val="24"/>
          <w:szCs w:val="24"/>
        </w:rPr>
        <w:t>3.4.1 Dinâmica do efeito: estudo de evento</w:t>
      </w:r>
      <w:bookmarkEnd w:id="17"/>
    </w:p>
    <w:p w14:paraId="7A0356AC" w14:textId="77777777" w:rsidR="00270042" w:rsidRDefault="00270042" w:rsidP="00270042">
      <w:pPr>
        <w:rPr>
          <w:rFonts w:ascii="Arial" w:hAnsi="Arial" w:cs="Arial"/>
        </w:rPr>
      </w:pPr>
    </w:p>
    <w:p w14:paraId="6D20FFE4" w14:textId="77777777" w:rsidR="00270042" w:rsidRDefault="00270042" w:rsidP="00270042">
      <w:pPr>
        <w:pStyle w:val="EstiloJustificadoPrimeiralinha125cm"/>
      </w:pPr>
      <w:r>
        <w:t xml:space="preserve">Para caracterizar a dinâmica temporal do impacto em torno do choque, estima-se um estudo de evento que interage o indicador município tratado x setor tratado com </w:t>
      </w:r>
      <w:r>
        <w:rPr>
          <w:i/>
          <w:iCs/>
        </w:rPr>
        <w:t>dummies</w:t>
      </w:r>
      <w:r>
        <w:t xml:space="preserve"> anuais, normalizando 2020 como período de referência. A </w:t>
      </w:r>
      <w:r>
        <w:fldChar w:fldCharType="begin"/>
      </w:r>
      <w:r>
        <w:instrText xml:space="preserve"> REF _Ref225537813 \h </w:instrText>
      </w:r>
      <w:r>
        <w:fldChar w:fldCharType="separate"/>
      </w:r>
      <w:r>
        <w:t xml:space="preserve">figura </w:t>
      </w:r>
      <w:r>
        <w:rPr>
          <w:noProof/>
        </w:rPr>
        <w:t>9</w:t>
      </w:r>
      <w:r>
        <w:fldChar w:fldCharType="end"/>
      </w:r>
      <w:r>
        <w:t xml:space="preserve"> reporta os coeficientes e intervalos de confiança do estudo de evento. Observa-se que os coeficientes do pré-tratamento permanecem próximos de zero e sem trajetória sistemática, o que é compatível com a ausência de dinâmica diferencial imediatamente anterior ao choque.</w:t>
      </w:r>
    </w:p>
    <w:p w14:paraId="2605ADF7" w14:textId="77777777" w:rsidR="00270042" w:rsidRDefault="00270042" w:rsidP="00270042">
      <w:pPr>
        <w:jc w:val="center"/>
        <w:rPr>
          <w:rFonts w:ascii="Arial" w:hAnsi="Arial" w:cs="Arial"/>
        </w:rPr>
      </w:pPr>
    </w:p>
    <w:p w14:paraId="42EF9201" w14:textId="77777777" w:rsidR="00270042" w:rsidRDefault="00270042" w:rsidP="00270042">
      <w:pPr>
        <w:pStyle w:val="Legenda"/>
        <w:keepNext/>
        <w:spacing w:after="240"/>
      </w:pPr>
      <w:bookmarkStart w:id="18" w:name="_Ref225537813"/>
      <w:bookmarkStart w:id="19" w:name="_Toc225538187"/>
      <w:r>
        <w:lastRenderedPageBreak/>
        <w:t xml:space="preserve">Figura </w:t>
      </w:r>
      <w:r>
        <w:fldChar w:fldCharType="begin"/>
      </w:r>
      <w:r>
        <w:instrText xml:space="preserve"> SEQ Figura \* ARABIC </w:instrText>
      </w:r>
      <w:r>
        <w:fldChar w:fldCharType="separate"/>
      </w:r>
      <w:r>
        <w:rPr>
          <w:noProof/>
        </w:rPr>
        <w:t>9</w:t>
      </w:r>
      <w:r>
        <w:rPr>
          <w:noProof/>
        </w:rPr>
        <w:fldChar w:fldCharType="end"/>
      </w:r>
      <w:bookmarkEnd w:id="18"/>
      <w:r>
        <w:t xml:space="preserve"> - </w:t>
      </w:r>
      <w:r w:rsidRPr="00DD1AA8">
        <w:t>Estudo de evento: efeitos dinâmicos do choque.</w:t>
      </w:r>
      <w:bookmarkEnd w:id="19"/>
    </w:p>
    <w:p w14:paraId="7BC10FD2" w14:textId="77777777" w:rsidR="00270042" w:rsidRDefault="00270042" w:rsidP="00270042">
      <w:pPr>
        <w:jc w:val="center"/>
        <w:rPr>
          <w:rFonts w:ascii="Arial" w:hAnsi="Arial" w:cs="Arial"/>
        </w:rPr>
      </w:pPr>
      <w:r w:rsidRPr="009B48B2">
        <w:rPr>
          <w:rFonts w:ascii="Arial" w:hAnsi="Arial" w:cs="Arial"/>
          <w:noProof/>
        </w:rPr>
        <w:drawing>
          <wp:inline distT="0" distB="0" distL="0" distR="0" wp14:anchorId="396B2FCE" wp14:editId="6015C60E">
            <wp:extent cx="4657725" cy="3200400"/>
            <wp:effectExtent l="0" t="0" r="9525"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EventStudy_420dpi.png"/>
                    <pic:cNvPicPr>
                      <a:picLocks noChangeAspect="1" noChangeArrowheads="1"/>
                    </pic:cNvPicPr>
                  </pic:nvPicPr>
                  <pic:blipFill rotWithShape="1">
                    <a:blip r:embed="rId5"/>
                    <a:srcRect r="2976"/>
                    <a:stretch>
                      <a:fillRect/>
                    </a:stretch>
                  </pic:blipFill>
                  <pic:spPr bwMode="auto">
                    <a:xfrm>
                      <a:off x="0" y="0"/>
                      <a:ext cx="4657725" cy="3200400"/>
                    </a:xfrm>
                    <a:prstGeom prst="rect">
                      <a:avLst/>
                    </a:prstGeom>
                    <a:noFill/>
                    <a:ln>
                      <a:noFill/>
                    </a:ln>
                    <a:extLst>
                      <a:ext uri="{53640926-AAD7-44D8-BBD7-CCE9431645EC}">
                        <a14:shadowObscured xmlns:a14="http://schemas.microsoft.com/office/drawing/2010/main"/>
                      </a:ext>
                    </a:extLst>
                  </pic:spPr>
                </pic:pic>
              </a:graphicData>
            </a:graphic>
          </wp:inline>
        </w:drawing>
      </w:r>
    </w:p>
    <w:p w14:paraId="3888D4DD" w14:textId="77777777" w:rsidR="00270042" w:rsidRDefault="00270042" w:rsidP="00270042">
      <w:pPr>
        <w:jc w:val="center"/>
        <w:rPr>
          <w:rFonts w:ascii="Arial" w:hAnsi="Arial" w:cs="Arial"/>
        </w:rPr>
      </w:pPr>
      <w:r>
        <w:rPr>
          <w:rFonts w:ascii="Arial" w:hAnsi="Arial" w:cs="Arial"/>
        </w:rPr>
        <w:t>Fonte: Elaboração própria.</w:t>
      </w:r>
    </w:p>
    <w:p w14:paraId="745AF993" w14:textId="77777777" w:rsidR="00270042" w:rsidRDefault="00270042" w:rsidP="00270042">
      <w:pPr>
        <w:spacing w:after="0"/>
        <w:jc w:val="both"/>
        <w:rPr>
          <w:rFonts w:ascii="Arial" w:hAnsi="Arial" w:cs="Arial"/>
        </w:rPr>
      </w:pPr>
    </w:p>
    <w:p w14:paraId="61256DB1" w14:textId="77777777" w:rsidR="00270042" w:rsidRPr="006D72AC" w:rsidRDefault="00270042" w:rsidP="00270042">
      <w:pPr>
        <w:ind w:firstLine="708"/>
        <w:jc w:val="both"/>
        <w:rPr>
          <w:rFonts w:ascii="Arial" w:hAnsi="Arial" w:cs="Arial"/>
        </w:rPr>
      </w:pPr>
      <w:r>
        <w:rPr>
          <w:rFonts w:ascii="Arial" w:hAnsi="Arial" w:cs="Arial"/>
        </w:rPr>
        <w:t>A partir de 2021, os coeficientes tornam-se negativos e permanecem nesse patamar nos anos seguintes, sugerindo persistência do efeito no horizonte observado (2021/2023). No presente desenho, a data de choque comum aos tratados reduz preocupações associadas a comparações entre coortes, mas a leitura do estudo de evento permanece como evidência complementar, ancorada na especificação DDD e nos placebos.</w:t>
      </w:r>
    </w:p>
    <w:p w14:paraId="73EE11B7" w14:textId="77777777" w:rsidR="00270042" w:rsidRPr="006D72AC" w:rsidRDefault="00270042" w:rsidP="00270042">
      <w:pPr>
        <w:jc w:val="both"/>
        <w:rPr>
          <w:rFonts w:ascii="Arial" w:hAnsi="Arial" w:cs="Arial"/>
        </w:rPr>
      </w:pPr>
    </w:p>
    <w:p w14:paraId="0F2A8156" w14:textId="77777777" w:rsidR="00270042" w:rsidRPr="006D72AC" w:rsidRDefault="00270042" w:rsidP="00270042">
      <w:pPr>
        <w:pStyle w:val="Ttulo3"/>
        <w:rPr>
          <w:rFonts w:ascii="Arial" w:hAnsi="Arial" w:cs="Arial"/>
          <w:color w:val="000000" w:themeColor="text1"/>
          <w:sz w:val="24"/>
          <w:szCs w:val="24"/>
        </w:rPr>
      </w:pPr>
      <w:bookmarkStart w:id="20" w:name="_Toc225542326"/>
      <w:r w:rsidRPr="006D72AC">
        <w:rPr>
          <w:rFonts w:ascii="Arial" w:hAnsi="Arial" w:cs="Arial"/>
          <w:color w:val="000000" w:themeColor="text1"/>
          <w:sz w:val="24"/>
          <w:szCs w:val="24"/>
        </w:rPr>
        <w:t>3.4.2 Teste de robustez: placebos temporal e espacial</w:t>
      </w:r>
      <w:bookmarkEnd w:id="20"/>
    </w:p>
    <w:p w14:paraId="6CB06A6D" w14:textId="77777777" w:rsidR="00270042" w:rsidRDefault="00270042" w:rsidP="00270042">
      <w:pPr>
        <w:spacing w:after="0"/>
        <w:rPr>
          <w:rFonts w:ascii="Arial" w:hAnsi="Arial" w:cs="Arial"/>
        </w:rPr>
      </w:pPr>
    </w:p>
    <w:p w14:paraId="46EFBB8D" w14:textId="77777777" w:rsidR="00270042" w:rsidRDefault="00270042" w:rsidP="00270042">
      <w:pPr>
        <w:ind w:firstLine="708"/>
        <w:jc w:val="both"/>
        <w:rPr>
          <w:rFonts w:ascii="Arial" w:hAnsi="Arial" w:cs="Arial"/>
        </w:rPr>
      </w:pPr>
      <w:r>
        <w:rPr>
          <w:rFonts w:ascii="Arial" w:hAnsi="Arial" w:cs="Arial"/>
        </w:rPr>
        <w:t>Os testes placebo reforçam a interpretação causal do resultado principal ao avaliar se efeitos semelhantes emergem: a) em anos artificiais pré/2021 (placebo temporal) e b) sob reatribuição aleatória do tratamento no espaço (placebo espacial por permutação).</w:t>
      </w:r>
    </w:p>
    <w:p w14:paraId="75FAF60C" w14:textId="77777777" w:rsidR="00270042" w:rsidRDefault="00270042" w:rsidP="00270042">
      <w:pPr>
        <w:pStyle w:val="EstiloJustificado"/>
      </w:pPr>
      <w:r>
        <w:tab/>
        <w:t xml:space="preserve">No placebo temporal, desloca-se artificialmente o ano do choque para anos estritamente pré/2021 e reestima-se a especificação principais em janelas do pré-tratamento. A </w:t>
      </w:r>
      <w:r>
        <w:fldChar w:fldCharType="begin"/>
      </w:r>
      <w:r>
        <w:instrText xml:space="preserve"> REF _Ref225537870 \h </w:instrText>
      </w:r>
      <w:r>
        <w:fldChar w:fldCharType="separate"/>
      </w:r>
      <w:r>
        <w:t xml:space="preserve">tabela </w:t>
      </w:r>
      <w:r>
        <w:rPr>
          <w:noProof/>
        </w:rPr>
        <w:t>11</w:t>
      </w:r>
      <w:r>
        <w:fldChar w:fldCharType="end"/>
      </w:r>
      <w:r>
        <w:t xml:space="preserve"> apresenta os coeficientes placebo válidos, os quais são pequenos em magnitude e não estatisticamente significativos. Esse padrão é consistente com a ausência de detecção de efeitos antes do choque real, o que sustenta que a estimativa principal não está capturando uma dinâmica diferencial preexistente.</w:t>
      </w:r>
    </w:p>
    <w:p w14:paraId="37BE24CB" w14:textId="77777777" w:rsidR="00270042" w:rsidRDefault="00270042" w:rsidP="00270042">
      <w:pPr>
        <w:pStyle w:val="Legenda"/>
        <w:keepNext/>
      </w:pPr>
    </w:p>
    <w:p w14:paraId="14965218" w14:textId="77777777" w:rsidR="00270042" w:rsidRDefault="00270042" w:rsidP="00270042">
      <w:pPr>
        <w:pStyle w:val="Legenda"/>
        <w:keepNext/>
        <w:spacing w:after="240"/>
      </w:pPr>
      <w:bookmarkStart w:id="21" w:name="_Ref225537870"/>
      <w:bookmarkStart w:id="22" w:name="_Toc225538299"/>
      <w:r>
        <w:t xml:space="preserve">Tabela </w:t>
      </w:r>
      <w:r>
        <w:fldChar w:fldCharType="begin"/>
      </w:r>
      <w:r>
        <w:instrText xml:space="preserve"> SEQ Tabela \* ARABIC </w:instrText>
      </w:r>
      <w:r>
        <w:fldChar w:fldCharType="separate"/>
      </w:r>
      <w:r>
        <w:rPr>
          <w:noProof/>
        </w:rPr>
        <w:t>11</w:t>
      </w:r>
      <w:r>
        <w:rPr>
          <w:noProof/>
        </w:rPr>
        <w:fldChar w:fldCharType="end"/>
      </w:r>
      <w:bookmarkEnd w:id="21"/>
      <w:r>
        <w:t xml:space="preserve"> - </w:t>
      </w:r>
      <w:r w:rsidRPr="007C6D1A">
        <w:t>Resultados do placebo temporal.</w:t>
      </w:r>
      <w:bookmarkEnd w:id="22"/>
    </w:p>
    <w:tbl>
      <w:tblPr>
        <w:tblW w:w="0" w:type="auto"/>
        <w:jc w:val="center"/>
        <w:tblLook w:val="04A0" w:firstRow="1" w:lastRow="0" w:firstColumn="1" w:lastColumn="0" w:noHBand="0" w:noVBand="1"/>
      </w:tblPr>
      <w:tblGrid>
        <w:gridCol w:w="1701"/>
        <w:gridCol w:w="1985"/>
        <w:gridCol w:w="2268"/>
      </w:tblGrid>
      <w:tr w:rsidR="00270042" w:rsidRPr="00B20137" w14:paraId="640AAB42" w14:textId="77777777" w:rsidTr="00431692">
        <w:trPr>
          <w:jc w:val="center"/>
        </w:trPr>
        <w:tc>
          <w:tcPr>
            <w:tcW w:w="1701" w:type="dxa"/>
            <w:tcBorders>
              <w:bottom w:val="single" w:sz="4" w:space="0" w:color="auto"/>
            </w:tcBorders>
          </w:tcPr>
          <w:p w14:paraId="65D82E18" w14:textId="77777777" w:rsidR="00270042" w:rsidRPr="00B20137" w:rsidRDefault="00270042" w:rsidP="00431692">
            <w:pPr>
              <w:jc w:val="center"/>
              <w:rPr>
                <w:rFonts w:ascii="Arial" w:hAnsi="Arial" w:cs="Arial"/>
                <w:b/>
                <w:bCs/>
              </w:rPr>
            </w:pPr>
            <w:r w:rsidRPr="00B20137">
              <w:rPr>
                <w:rFonts w:ascii="Arial" w:hAnsi="Arial" w:cs="Arial"/>
                <w:b/>
                <w:bCs/>
              </w:rPr>
              <w:t>Ano placebo</w:t>
            </w:r>
          </w:p>
        </w:tc>
        <w:tc>
          <w:tcPr>
            <w:tcW w:w="1985" w:type="dxa"/>
            <w:tcBorders>
              <w:bottom w:val="single" w:sz="4" w:space="0" w:color="auto"/>
            </w:tcBorders>
          </w:tcPr>
          <w:p w14:paraId="316D4495" w14:textId="77777777" w:rsidR="00270042" w:rsidRPr="00B20137" w:rsidRDefault="00270042" w:rsidP="00431692">
            <w:pPr>
              <w:jc w:val="center"/>
              <w:rPr>
                <w:rFonts w:ascii="Arial" w:hAnsi="Arial" w:cs="Arial"/>
                <w:b/>
                <w:bCs/>
              </w:rPr>
            </w:pPr>
            <w:r w:rsidRPr="00B20137">
              <w:rPr>
                <w:rFonts w:ascii="Arial" w:hAnsi="Arial" w:cs="Arial"/>
                <w:b/>
                <w:bCs/>
              </w:rPr>
              <w:t>Coeficiente (β)</w:t>
            </w:r>
          </w:p>
        </w:tc>
        <w:tc>
          <w:tcPr>
            <w:tcW w:w="2268" w:type="dxa"/>
            <w:tcBorders>
              <w:bottom w:val="single" w:sz="4" w:space="0" w:color="auto"/>
            </w:tcBorders>
          </w:tcPr>
          <w:p w14:paraId="47ECD741" w14:textId="77777777" w:rsidR="00270042" w:rsidRPr="00B20137" w:rsidRDefault="00270042" w:rsidP="00431692">
            <w:pPr>
              <w:jc w:val="center"/>
              <w:rPr>
                <w:rFonts w:ascii="Arial" w:hAnsi="Arial" w:cs="Arial"/>
                <w:b/>
                <w:bCs/>
              </w:rPr>
            </w:pPr>
            <w:r w:rsidRPr="00B20137">
              <w:rPr>
                <w:rFonts w:ascii="Arial" w:hAnsi="Arial" w:cs="Arial"/>
                <w:b/>
                <w:bCs/>
              </w:rPr>
              <w:t>Significância estatística</w:t>
            </w:r>
          </w:p>
        </w:tc>
      </w:tr>
      <w:tr w:rsidR="00270042" w:rsidRPr="00B20137" w14:paraId="070BE7FB" w14:textId="77777777" w:rsidTr="00431692">
        <w:trPr>
          <w:jc w:val="center"/>
        </w:trPr>
        <w:tc>
          <w:tcPr>
            <w:tcW w:w="1701" w:type="dxa"/>
            <w:tcBorders>
              <w:top w:val="single" w:sz="4" w:space="0" w:color="auto"/>
            </w:tcBorders>
          </w:tcPr>
          <w:p w14:paraId="0858EA3B" w14:textId="77777777" w:rsidR="00270042" w:rsidRPr="00B20137" w:rsidRDefault="00270042" w:rsidP="00431692">
            <w:pPr>
              <w:jc w:val="center"/>
              <w:rPr>
                <w:rFonts w:ascii="Arial" w:hAnsi="Arial" w:cs="Arial"/>
              </w:rPr>
            </w:pPr>
            <w:r w:rsidRPr="00B20137">
              <w:rPr>
                <w:rFonts w:ascii="Arial" w:hAnsi="Arial" w:cs="Arial"/>
              </w:rPr>
              <w:t>2016</w:t>
            </w:r>
          </w:p>
        </w:tc>
        <w:tc>
          <w:tcPr>
            <w:tcW w:w="1985" w:type="dxa"/>
            <w:tcBorders>
              <w:top w:val="single" w:sz="4" w:space="0" w:color="auto"/>
            </w:tcBorders>
          </w:tcPr>
          <w:p w14:paraId="561E9873" w14:textId="77777777" w:rsidR="00270042" w:rsidRPr="00B20137" w:rsidRDefault="00270042" w:rsidP="00431692">
            <w:pPr>
              <w:jc w:val="center"/>
              <w:rPr>
                <w:rFonts w:ascii="Arial" w:hAnsi="Arial" w:cs="Arial"/>
              </w:rPr>
            </w:pPr>
            <w:r w:rsidRPr="00B20137">
              <w:rPr>
                <w:rFonts w:ascii="Arial" w:hAnsi="Arial" w:cs="Arial"/>
              </w:rPr>
              <w:t>−0,0705</w:t>
            </w:r>
          </w:p>
        </w:tc>
        <w:tc>
          <w:tcPr>
            <w:tcW w:w="2268" w:type="dxa"/>
            <w:tcBorders>
              <w:top w:val="single" w:sz="4" w:space="0" w:color="auto"/>
            </w:tcBorders>
          </w:tcPr>
          <w:p w14:paraId="6ECB4466" w14:textId="77777777" w:rsidR="00270042" w:rsidRPr="00B20137" w:rsidRDefault="00270042" w:rsidP="00431692">
            <w:pPr>
              <w:jc w:val="center"/>
              <w:rPr>
                <w:rFonts w:ascii="Arial" w:hAnsi="Arial" w:cs="Arial"/>
              </w:rPr>
            </w:pPr>
            <w:r w:rsidRPr="00B20137">
              <w:rPr>
                <w:rFonts w:ascii="Arial" w:hAnsi="Arial" w:cs="Arial"/>
              </w:rPr>
              <w:t>Não significativa</w:t>
            </w:r>
          </w:p>
        </w:tc>
      </w:tr>
      <w:tr w:rsidR="00270042" w:rsidRPr="00B20137" w14:paraId="5626C2BB" w14:textId="77777777" w:rsidTr="00431692">
        <w:trPr>
          <w:jc w:val="center"/>
        </w:trPr>
        <w:tc>
          <w:tcPr>
            <w:tcW w:w="1701" w:type="dxa"/>
          </w:tcPr>
          <w:p w14:paraId="6ECF4373" w14:textId="77777777" w:rsidR="00270042" w:rsidRPr="00B20137" w:rsidRDefault="00270042" w:rsidP="00431692">
            <w:pPr>
              <w:jc w:val="center"/>
              <w:rPr>
                <w:rFonts w:ascii="Arial" w:hAnsi="Arial" w:cs="Arial"/>
              </w:rPr>
            </w:pPr>
            <w:r w:rsidRPr="00B20137">
              <w:rPr>
                <w:rFonts w:ascii="Arial" w:hAnsi="Arial" w:cs="Arial"/>
              </w:rPr>
              <w:t>2017</w:t>
            </w:r>
          </w:p>
        </w:tc>
        <w:tc>
          <w:tcPr>
            <w:tcW w:w="1985" w:type="dxa"/>
          </w:tcPr>
          <w:p w14:paraId="205B869E" w14:textId="77777777" w:rsidR="00270042" w:rsidRPr="00B20137" w:rsidRDefault="00270042" w:rsidP="00431692">
            <w:pPr>
              <w:jc w:val="center"/>
              <w:rPr>
                <w:rFonts w:ascii="Arial" w:hAnsi="Arial" w:cs="Arial"/>
              </w:rPr>
            </w:pPr>
            <w:r w:rsidRPr="00B20137">
              <w:rPr>
                <w:rFonts w:ascii="Arial" w:hAnsi="Arial" w:cs="Arial"/>
              </w:rPr>
              <w:t>−0,0128</w:t>
            </w:r>
          </w:p>
        </w:tc>
        <w:tc>
          <w:tcPr>
            <w:tcW w:w="2268" w:type="dxa"/>
          </w:tcPr>
          <w:p w14:paraId="72482E57" w14:textId="77777777" w:rsidR="00270042" w:rsidRPr="00B20137" w:rsidRDefault="00270042" w:rsidP="00431692">
            <w:pPr>
              <w:jc w:val="center"/>
              <w:rPr>
                <w:rFonts w:ascii="Arial" w:hAnsi="Arial" w:cs="Arial"/>
              </w:rPr>
            </w:pPr>
            <w:r w:rsidRPr="00B20137">
              <w:rPr>
                <w:rFonts w:ascii="Arial" w:hAnsi="Arial" w:cs="Arial"/>
              </w:rPr>
              <w:t>Não significativa</w:t>
            </w:r>
          </w:p>
        </w:tc>
      </w:tr>
      <w:tr w:rsidR="00270042" w:rsidRPr="00B20137" w14:paraId="5F9C9F7D" w14:textId="77777777" w:rsidTr="00431692">
        <w:trPr>
          <w:jc w:val="center"/>
        </w:trPr>
        <w:tc>
          <w:tcPr>
            <w:tcW w:w="1701" w:type="dxa"/>
          </w:tcPr>
          <w:p w14:paraId="280954FB" w14:textId="77777777" w:rsidR="00270042" w:rsidRPr="00B20137" w:rsidRDefault="00270042" w:rsidP="00431692">
            <w:pPr>
              <w:jc w:val="center"/>
              <w:rPr>
                <w:rFonts w:ascii="Arial" w:hAnsi="Arial" w:cs="Arial"/>
              </w:rPr>
            </w:pPr>
            <w:r w:rsidRPr="00B20137">
              <w:rPr>
                <w:rFonts w:ascii="Arial" w:hAnsi="Arial" w:cs="Arial"/>
              </w:rPr>
              <w:t>2018</w:t>
            </w:r>
          </w:p>
        </w:tc>
        <w:tc>
          <w:tcPr>
            <w:tcW w:w="1985" w:type="dxa"/>
          </w:tcPr>
          <w:p w14:paraId="090DDAE2" w14:textId="77777777" w:rsidR="00270042" w:rsidRPr="00B20137" w:rsidRDefault="00270042" w:rsidP="00431692">
            <w:pPr>
              <w:jc w:val="center"/>
              <w:rPr>
                <w:rFonts w:ascii="Arial" w:hAnsi="Arial" w:cs="Arial"/>
              </w:rPr>
            </w:pPr>
            <w:r w:rsidRPr="00B20137">
              <w:rPr>
                <w:rFonts w:ascii="Arial" w:hAnsi="Arial" w:cs="Arial"/>
              </w:rPr>
              <w:t>−0,0207</w:t>
            </w:r>
          </w:p>
        </w:tc>
        <w:tc>
          <w:tcPr>
            <w:tcW w:w="2268" w:type="dxa"/>
          </w:tcPr>
          <w:p w14:paraId="7392BE54" w14:textId="77777777" w:rsidR="00270042" w:rsidRPr="00B20137" w:rsidRDefault="00270042" w:rsidP="00431692">
            <w:pPr>
              <w:jc w:val="center"/>
              <w:rPr>
                <w:rFonts w:ascii="Arial" w:hAnsi="Arial" w:cs="Arial"/>
              </w:rPr>
            </w:pPr>
            <w:r w:rsidRPr="00B20137">
              <w:rPr>
                <w:rFonts w:ascii="Arial" w:hAnsi="Arial" w:cs="Arial"/>
              </w:rPr>
              <w:t>Não significativa</w:t>
            </w:r>
          </w:p>
        </w:tc>
      </w:tr>
      <w:tr w:rsidR="00270042" w:rsidRPr="00B20137" w14:paraId="5A7D69A5" w14:textId="77777777" w:rsidTr="00431692">
        <w:trPr>
          <w:jc w:val="center"/>
        </w:trPr>
        <w:tc>
          <w:tcPr>
            <w:tcW w:w="1701" w:type="dxa"/>
            <w:tcBorders>
              <w:bottom w:val="single" w:sz="4" w:space="0" w:color="auto"/>
            </w:tcBorders>
          </w:tcPr>
          <w:p w14:paraId="169F6BBC" w14:textId="77777777" w:rsidR="00270042" w:rsidRPr="00B20137" w:rsidRDefault="00270042" w:rsidP="00431692">
            <w:pPr>
              <w:jc w:val="center"/>
              <w:rPr>
                <w:rFonts w:ascii="Arial" w:hAnsi="Arial" w:cs="Arial"/>
              </w:rPr>
            </w:pPr>
            <w:r w:rsidRPr="00B20137">
              <w:rPr>
                <w:rFonts w:ascii="Arial" w:hAnsi="Arial" w:cs="Arial"/>
              </w:rPr>
              <w:t>2019</w:t>
            </w:r>
          </w:p>
        </w:tc>
        <w:tc>
          <w:tcPr>
            <w:tcW w:w="1985" w:type="dxa"/>
            <w:tcBorders>
              <w:bottom w:val="single" w:sz="4" w:space="0" w:color="auto"/>
            </w:tcBorders>
          </w:tcPr>
          <w:p w14:paraId="7CF4BF4B" w14:textId="77777777" w:rsidR="00270042" w:rsidRPr="00B20137" w:rsidRDefault="00270042" w:rsidP="00431692">
            <w:pPr>
              <w:jc w:val="center"/>
              <w:rPr>
                <w:rFonts w:ascii="Arial" w:hAnsi="Arial" w:cs="Arial"/>
              </w:rPr>
            </w:pPr>
            <w:r w:rsidRPr="00B20137">
              <w:rPr>
                <w:rFonts w:ascii="Arial" w:hAnsi="Arial" w:cs="Arial"/>
              </w:rPr>
              <w:t>−0,0623</w:t>
            </w:r>
          </w:p>
        </w:tc>
        <w:tc>
          <w:tcPr>
            <w:tcW w:w="2268" w:type="dxa"/>
            <w:tcBorders>
              <w:bottom w:val="single" w:sz="4" w:space="0" w:color="auto"/>
            </w:tcBorders>
          </w:tcPr>
          <w:p w14:paraId="545BA2B2" w14:textId="77777777" w:rsidR="00270042" w:rsidRPr="00B20137" w:rsidRDefault="00270042" w:rsidP="00431692">
            <w:pPr>
              <w:jc w:val="center"/>
              <w:rPr>
                <w:rFonts w:ascii="Arial" w:hAnsi="Arial" w:cs="Arial"/>
              </w:rPr>
            </w:pPr>
            <w:r w:rsidRPr="00B20137">
              <w:rPr>
                <w:rFonts w:ascii="Arial" w:hAnsi="Arial" w:cs="Arial"/>
              </w:rPr>
              <w:t>Não significativa</w:t>
            </w:r>
          </w:p>
        </w:tc>
      </w:tr>
    </w:tbl>
    <w:p w14:paraId="184AB6C3" w14:textId="77777777" w:rsidR="00270042" w:rsidRDefault="00270042" w:rsidP="00270042">
      <w:pPr>
        <w:jc w:val="center"/>
        <w:rPr>
          <w:rFonts w:ascii="Arial" w:hAnsi="Arial" w:cs="Arial"/>
        </w:rPr>
      </w:pPr>
      <w:r>
        <w:rPr>
          <w:rFonts w:ascii="Arial" w:hAnsi="Arial" w:cs="Arial"/>
        </w:rPr>
        <w:t>Fonte: Elaboração própria.</w:t>
      </w:r>
    </w:p>
    <w:p w14:paraId="055205D3" w14:textId="77777777" w:rsidR="00270042" w:rsidRDefault="00270042" w:rsidP="00270042">
      <w:pPr>
        <w:spacing w:after="0"/>
        <w:jc w:val="both"/>
        <w:rPr>
          <w:rFonts w:ascii="Arial" w:hAnsi="Arial" w:cs="Arial"/>
        </w:rPr>
      </w:pPr>
    </w:p>
    <w:p w14:paraId="36B61EDC" w14:textId="77777777" w:rsidR="00270042" w:rsidRDefault="00270042" w:rsidP="00270042">
      <w:pPr>
        <w:pStyle w:val="EstiloJustificado"/>
        <w:spacing w:after="0"/>
      </w:pPr>
      <w:r>
        <w:tab/>
        <w:t xml:space="preserve">No placebo espacial por permutação de </w:t>
      </w:r>
      <w:r>
        <w:rPr>
          <w:i/>
          <w:iCs/>
        </w:rPr>
        <w:t>Fischer</w:t>
      </w:r>
      <w:r>
        <w:t>, reatribui-se repetidas vezes o conjunto de municípios tratados dentro de um pool de municípios comparáveis e obtém-se uma distribuição empírica do estimador.</w:t>
      </w:r>
    </w:p>
    <w:p w14:paraId="03CAA209" w14:textId="77777777" w:rsidR="00270042" w:rsidRDefault="00270042" w:rsidP="00270042">
      <w:pPr>
        <w:rPr>
          <w:rFonts w:ascii="Arial" w:hAnsi="Arial" w:cs="Arial"/>
        </w:rPr>
      </w:pPr>
    </w:p>
    <w:p w14:paraId="0FB6EB05" w14:textId="77777777" w:rsidR="00270042" w:rsidRDefault="00270042" w:rsidP="00270042">
      <w:pPr>
        <w:pStyle w:val="Legenda"/>
        <w:keepNext/>
      </w:pPr>
      <w:bookmarkStart w:id="23" w:name="_Ref225537931"/>
      <w:bookmarkStart w:id="24" w:name="_Toc225538188"/>
      <w:r>
        <w:t xml:space="preserve">Figura </w:t>
      </w:r>
      <w:r>
        <w:fldChar w:fldCharType="begin"/>
      </w:r>
      <w:r>
        <w:instrText xml:space="preserve"> SEQ Figura \* ARABIC </w:instrText>
      </w:r>
      <w:r>
        <w:fldChar w:fldCharType="separate"/>
      </w:r>
      <w:r>
        <w:rPr>
          <w:noProof/>
        </w:rPr>
        <w:t>10</w:t>
      </w:r>
      <w:r>
        <w:rPr>
          <w:noProof/>
        </w:rPr>
        <w:fldChar w:fldCharType="end"/>
      </w:r>
      <w:bookmarkEnd w:id="23"/>
      <w:r>
        <w:t xml:space="preserve"> - </w:t>
      </w:r>
      <w:r w:rsidRPr="002D4C32">
        <w:t>Placebo espacial: distribuição dos coeficientes sob permutação.</w:t>
      </w:r>
      <w:bookmarkEnd w:id="24"/>
    </w:p>
    <w:p w14:paraId="7762D7AF" w14:textId="77777777" w:rsidR="00270042" w:rsidRDefault="00270042" w:rsidP="00270042">
      <w:pPr>
        <w:jc w:val="center"/>
        <w:rPr>
          <w:rFonts w:ascii="Arial" w:hAnsi="Arial" w:cs="Arial"/>
        </w:rPr>
      </w:pPr>
      <w:r w:rsidRPr="009B48B2">
        <w:rPr>
          <w:rFonts w:ascii="Arial" w:hAnsi="Arial" w:cs="Arial"/>
          <w:noProof/>
        </w:rPr>
        <w:drawing>
          <wp:inline distT="0" distB="0" distL="0" distR="0" wp14:anchorId="3E5BE738" wp14:editId="66C22AE7">
            <wp:extent cx="4800600" cy="32004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PlaceboEspacial_420dpi.png"/>
                    <pic:cNvPicPr>
                      <a:picLocks noChangeAspect="1" noChangeArrowheads="1"/>
                    </pic:cNvPicPr>
                  </pic:nvPicPr>
                  <pic:blipFill>
                    <a:blip r:embed="rId6"/>
                    <a:stretch>
                      <a:fillRect/>
                    </a:stretch>
                  </pic:blipFill>
                  <pic:spPr bwMode="auto">
                    <a:xfrm>
                      <a:off x="0" y="0"/>
                      <a:ext cx="4800600" cy="3200400"/>
                    </a:xfrm>
                    <a:prstGeom prst="rect">
                      <a:avLst/>
                    </a:prstGeom>
                    <a:noFill/>
                    <a:ln w="9525">
                      <a:noFill/>
                      <a:headEnd/>
                      <a:tailEnd/>
                    </a:ln>
                  </pic:spPr>
                </pic:pic>
              </a:graphicData>
            </a:graphic>
          </wp:inline>
        </w:drawing>
      </w:r>
    </w:p>
    <w:p w14:paraId="25F94F9C" w14:textId="77777777" w:rsidR="00270042" w:rsidRDefault="00270042" w:rsidP="00270042">
      <w:pPr>
        <w:jc w:val="center"/>
        <w:rPr>
          <w:rFonts w:ascii="Arial" w:hAnsi="Arial" w:cs="Arial"/>
        </w:rPr>
      </w:pPr>
      <w:r>
        <w:rPr>
          <w:rFonts w:ascii="Arial" w:hAnsi="Arial" w:cs="Arial"/>
        </w:rPr>
        <w:t>Fonte:</w:t>
      </w:r>
      <w:r w:rsidRPr="00B20137">
        <w:rPr>
          <w:rFonts w:ascii="Arial" w:hAnsi="Arial" w:cs="Arial"/>
        </w:rPr>
        <w:t xml:space="preserve"> </w:t>
      </w:r>
      <w:r>
        <w:rPr>
          <w:rFonts w:ascii="Arial" w:hAnsi="Arial" w:cs="Arial"/>
        </w:rPr>
        <w:t>Fonte: Elaboração própria.</w:t>
      </w:r>
    </w:p>
    <w:p w14:paraId="686FD109" w14:textId="77777777" w:rsidR="00270042" w:rsidRPr="00340E07" w:rsidRDefault="00270042" w:rsidP="00270042">
      <w:pPr>
        <w:pStyle w:val="EstiloJustificadoPrimeiralinha125cm8"/>
      </w:pPr>
      <w:r>
        <w:t xml:space="preserve">A </w:t>
      </w:r>
      <w:r>
        <w:fldChar w:fldCharType="begin"/>
      </w:r>
      <w:r>
        <w:instrText xml:space="preserve"> REF _Ref225537931 \h </w:instrText>
      </w:r>
      <w:r>
        <w:fldChar w:fldCharType="separate"/>
      </w:r>
      <w:r>
        <w:t xml:space="preserve">figura </w:t>
      </w:r>
      <w:r>
        <w:rPr>
          <w:noProof/>
        </w:rPr>
        <w:t>10</w:t>
      </w:r>
      <w:r>
        <w:fldChar w:fldCharType="end"/>
      </w:r>
      <w:r>
        <w:t xml:space="preserve"> mostra essa distribuição e a posição do coeficiente real. O p-valor </w:t>
      </w:r>
      <w:r w:rsidRPr="00340E07">
        <w:t>empírico aproximado de 0,0005 indica que um efeito tão negativo quanto o estimado é extremamente improvável sob reatribuições aleatórias do tratamento no espaço, reforçando que o resultado não parece ser uma realização atípica de variação espúria do painel.</w:t>
      </w:r>
    </w:p>
    <w:p w14:paraId="24B33D68" w14:textId="77777777" w:rsidR="00270042" w:rsidRPr="00340E07" w:rsidRDefault="00270042" w:rsidP="00270042">
      <w:pPr>
        <w:spacing w:after="0"/>
        <w:ind w:firstLine="708"/>
        <w:jc w:val="both"/>
        <w:rPr>
          <w:rFonts w:ascii="Arial" w:hAnsi="Arial" w:cs="Arial"/>
        </w:rPr>
      </w:pPr>
      <w:r w:rsidRPr="00340E07">
        <w:rPr>
          <w:rFonts w:ascii="Arial" w:hAnsi="Arial" w:cs="Arial"/>
        </w:rPr>
        <w:lastRenderedPageBreak/>
        <w:t>Em síntese, a combinação da estimativa DDD, da análise dinâmica e dos testes de placebo converge para a conclusão de que o choque econômico local produziu impacto negativo substancial e persistente sobre o emprego no setor automobilístico.</w:t>
      </w:r>
    </w:p>
    <w:p w14:paraId="0B479148" w14:textId="77777777" w:rsidR="00270042" w:rsidRPr="000F0F97" w:rsidRDefault="00270042" w:rsidP="00270042">
      <w:pPr>
        <w:spacing w:after="0"/>
        <w:jc w:val="both"/>
        <w:rPr>
          <w:rFonts w:ascii="Arial" w:hAnsi="Arial" w:cs="Arial"/>
          <w:color w:val="000000" w:themeColor="text1"/>
        </w:rPr>
      </w:pPr>
    </w:p>
    <w:p w14:paraId="539D2A1B" w14:textId="77777777" w:rsidR="00270042" w:rsidRDefault="00270042" w:rsidP="00270042">
      <w:pPr>
        <w:pStyle w:val="Ttulo2"/>
        <w:rPr>
          <w:rFonts w:ascii="Arial" w:hAnsi="Arial" w:cs="Arial"/>
          <w:color w:val="000000" w:themeColor="text1"/>
          <w:sz w:val="24"/>
          <w:szCs w:val="24"/>
        </w:rPr>
      </w:pPr>
      <w:bookmarkStart w:id="25" w:name="_Toc225542327"/>
      <w:r w:rsidRPr="000F0F97">
        <w:rPr>
          <w:rFonts w:ascii="Arial" w:hAnsi="Arial" w:cs="Arial"/>
          <w:color w:val="000000" w:themeColor="text1"/>
          <w:sz w:val="24"/>
          <w:szCs w:val="24"/>
        </w:rPr>
        <w:t>3.5 Considerações finais</w:t>
      </w:r>
      <w:bookmarkEnd w:id="25"/>
    </w:p>
    <w:p w14:paraId="4F653B6E" w14:textId="77777777" w:rsidR="00270042" w:rsidRDefault="00270042" w:rsidP="00270042">
      <w:pPr>
        <w:spacing w:after="0"/>
        <w:rPr>
          <w:rFonts w:ascii="Arial" w:hAnsi="Arial" w:cs="Arial"/>
        </w:rPr>
      </w:pPr>
    </w:p>
    <w:p w14:paraId="79A5BAD5" w14:textId="77777777" w:rsidR="00270042" w:rsidRDefault="00270042" w:rsidP="00270042">
      <w:pPr>
        <w:ind w:firstLine="708"/>
        <w:jc w:val="both"/>
        <w:rPr>
          <w:rFonts w:ascii="Arial" w:hAnsi="Arial" w:cs="Arial"/>
        </w:rPr>
      </w:pPr>
      <w:r w:rsidRPr="00340E07">
        <w:rPr>
          <w:rFonts w:ascii="Arial" w:hAnsi="Arial" w:cs="Arial"/>
        </w:rPr>
        <w:t>Este ar</w:t>
      </w:r>
      <w:r>
        <w:rPr>
          <w:rFonts w:ascii="Arial" w:hAnsi="Arial" w:cs="Arial"/>
        </w:rPr>
        <w:t>tigo estimou o efeito do encerramento das operações industriais da Ford no Brasil em 2021 sobre o emprego formal do complexo automotivo em três municípios diretamente expostos, Camaçari, Taubaté e Horizonte, utilizando micro dados da RAIS, no período de 2014 a 2023 e um desenho de Diferenças em Diferenças Tripla (DDD) com efeitos fixos de alta dimensão. A evidência empírica aponta para um impacto negativo, estatisticamente significativo e de grande magnitude no emprego formal do setor tratado após 2021, em comparação com um contrafactual disciplinado simultaneamente por variação temporal, espacial e setorial.</w:t>
      </w:r>
    </w:p>
    <w:p w14:paraId="65FD6F58" w14:textId="77777777" w:rsidR="00270042" w:rsidRDefault="00270042" w:rsidP="00270042">
      <w:pPr>
        <w:jc w:val="both"/>
        <w:rPr>
          <w:rFonts w:ascii="Arial" w:hAnsi="Arial" w:cs="Arial"/>
        </w:rPr>
      </w:pPr>
      <w:r>
        <w:rPr>
          <w:rFonts w:ascii="Arial" w:hAnsi="Arial" w:cs="Arial"/>
        </w:rPr>
        <w:tab/>
        <w:t xml:space="preserve">A leitura do resultado principal deve enfatizar seu caráter </w:t>
      </w:r>
      <w:r w:rsidRPr="002B249E">
        <w:rPr>
          <w:rFonts w:ascii="Arial" w:hAnsi="Arial" w:cs="Arial"/>
        </w:rPr>
        <w:t>líquido:</w:t>
      </w:r>
      <w:r>
        <w:rPr>
          <w:rFonts w:ascii="Arial" w:hAnsi="Arial" w:cs="Arial"/>
        </w:rPr>
        <w:t xml:space="preserve"> o estimador DDD desconta choques comuns no tempo, choques setoriais agregados e condições locais que afetam múltiplos setores. Nesse sentido, anda que a evidência descritiva do grupo tratado confirme queda acentuada do emprego setorial a partir de 2021, o coeficiente DDD quantifica a parte do ajuste que permanece após controlar por essas fontes de heterogeneidade e por efeitos fixos de alta dimensão. A análise dinâmica via estudo de evento é compatível com essa interpretação ao não indicar padrão sistemático no pré-tratamento e ao sugerir persistência do efeito no pós-choque.</w:t>
      </w:r>
    </w:p>
    <w:p w14:paraId="46A56773" w14:textId="77777777" w:rsidR="00270042" w:rsidRDefault="00270042" w:rsidP="00270042">
      <w:pPr>
        <w:jc w:val="both"/>
        <w:rPr>
          <w:rFonts w:ascii="Arial" w:hAnsi="Arial" w:cs="Arial"/>
        </w:rPr>
      </w:pPr>
      <w:r>
        <w:rPr>
          <w:rFonts w:ascii="Arial" w:hAnsi="Arial" w:cs="Arial"/>
        </w:rPr>
        <w:tab/>
        <w:t>Os exercícios de placebo contribuem para qualificar a robustez dos achados. Placebos temporais no período pré/2021 não produzem estimativas estatisticamente relevantes, e o placebo espacial por permutação posiciona o coeficiente real em região extrema da distribuição empírica, com p-valor muito baixo. Esses resultados, em conjunto, reforçam a interpretação de que o encerramento da Ford representou um choque local relevante para o emprego formal do complexo automotivo nas localidades expostas.</w:t>
      </w:r>
    </w:p>
    <w:p w14:paraId="527E7082" w14:textId="77777777" w:rsidR="00270042" w:rsidRDefault="00270042" w:rsidP="00270042">
      <w:pPr>
        <w:jc w:val="both"/>
        <w:rPr>
          <w:rFonts w:ascii="Arial" w:hAnsi="Arial" w:cs="Arial"/>
        </w:rPr>
      </w:pPr>
      <w:r>
        <w:rPr>
          <w:rFonts w:ascii="Arial" w:hAnsi="Arial" w:cs="Arial"/>
        </w:rPr>
        <w:tab/>
        <w:t>As conclusões devem ser interpretadas no espoco do que os dados e o desenho identificam: trata-se de um efeito sobre o emprego formal setorial no nível de municipal, sem pretensão de medir diretamente renda, bem-estar, informalidade ou outros desfechos não observados na RAIS. Como agenda de pesquisa, os resultados sugerem aprofundar o mapeamento do ajuste pós-choque no mercado de trabalho formal, distinguindo mudanças de composição setorial/ocupacional e a heterogeneidade entre municípios tratados, sem perder de vista que a baixa cardinalidade do grupo tratado impõe cautela na extrapolação para outros episódios e territórios.</w:t>
      </w:r>
    </w:p>
    <w:p w14:paraId="57AEFAE0" w14:textId="77777777" w:rsidR="00270042" w:rsidRPr="007750BA" w:rsidRDefault="00270042" w:rsidP="00270042">
      <w:pPr>
        <w:pStyle w:val="Ttulo2"/>
        <w:jc w:val="both"/>
        <w:rPr>
          <w:rFonts w:ascii="Arial" w:hAnsi="Arial" w:cs="Arial"/>
          <w:color w:val="000000" w:themeColor="text1"/>
          <w:sz w:val="24"/>
          <w:szCs w:val="24"/>
        </w:rPr>
      </w:pPr>
      <w:bookmarkStart w:id="26" w:name="_Toc225542328"/>
      <w:r w:rsidRPr="007750BA">
        <w:rPr>
          <w:rFonts w:ascii="Arial" w:hAnsi="Arial" w:cs="Arial"/>
          <w:color w:val="000000" w:themeColor="text1"/>
          <w:sz w:val="24"/>
          <w:szCs w:val="24"/>
        </w:rPr>
        <w:lastRenderedPageBreak/>
        <w:t>3.6 Referências</w:t>
      </w:r>
      <w:bookmarkEnd w:id="26"/>
    </w:p>
    <w:p w14:paraId="6EDB406F" w14:textId="77777777" w:rsidR="00270042" w:rsidRPr="007750BA" w:rsidRDefault="00270042" w:rsidP="00270042">
      <w:pPr>
        <w:pStyle w:val="EstiloJustificado"/>
      </w:pPr>
      <w:r w:rsidRPr="007750BA">
        <w:fldChar w:fldCharType="begin"/>
      </w:r>
      <w:r w:rsidRPr="007750BA">
        <w:instrText xml:space="preserve"> ADDIN ZOTERO_BIBL {"uncited":[],"omitted":[],"custom":[]} CSL_BIBLIOGRAPHY </w:instrText>
      </w:r>
      <w:r w:rsidRPr="007750BA">
        <w:fldChar w:fldCharType="separate"/>
      </w:r>
      <w:r w:rsidRPr="007750BA">
        <w:t xml:space="preserve">ANGRIST, Joshua D.; PISCHKE, Jörn-Steffen. Mostly Harmless Econometrics: An Empiricistís Companion. 2008. </w:t>
      </w:r>
    </w:p>
    <w:p w14:paraId="6C43D317" w14:textId="77777777" w:rsidR="00270042" w:rsidRPr="007750BA" w:rsidRDefault="00270042" w:rsidP="00270042">
      <w:pPr>
        <w:pStyle w:val="EstiloJustificado"/>
      </w:pPr>
      <w:r w:rsidRPr="007750BA">
        <w:t xml:space="preserve">ANFAVEA. Anuário da Indústria Automobilística Brasileira. São Paulo: ANFAVEA, 2021. 148 p. </w:t>
      </w:r>
    </w:p>
    <w:p w14:paraId="0106016F" w14:textId="77777777" w:rsidR="00270042" w:rsidRPr="007750BA" w:rsidRDefault="00270042" w:rsidP="00270042">
      <w:pPr>
        <w:pStyle w:val="EstiloJustificado"/>
      </w:pPr>
      <w:r w:rsidRPr="007750BA">
        <w:t xml:space="preserve">BEER, Andrew </w:t>
      </w:r>
      <w:r w:rsidRPr="007750BA">
        <w:rPr>
          <w:i/>
          <w:iCs/>
        </w:rPr>
        <w:t>et al.</w:t>
      </w:r>
      <w:r w:rsidRPr="007750BA">
        <w:t xml:space="preserve"> The urban and regional impacts of plant closures: new methods and perspectives. Regional Studies, Regional Science, v. 6, n. 1, p. 380–394, 1 jan. 2019. </w:t>
      </w:r>
    </w:p>
    <w:p w14:paraId="5E71BE56" w14:textId="77777777" w:rsidR="00270042" w:rsidRPr="007750BA" w:rsidRDefault="00270042" w:rsidP="00270042">
      <w:pPr>
        <w:pStyle w:val="EstiloJustificado"/>
      </w:pPr>
      <w:r w:rsidRPr="007750BA">
        <w:t xml:space="preserve">BERCK, Peter; VILLAS-BOAS, Sofia B. A note on the triple difference in economic models. Applied Economics Letters, v. 23, n. 4, p. 239–242, 3 mar. 2016. </w:t>
      </w:r>
    </w:p>
    <w:p w14:paraId="4C9FE03B" w14:textId="77777777" w:rsidR="00270042" w:rsidRPr="007750BA" w:rsidRDefault="00270042" w:rsidP="00270042">
      <w:pPr>
        <w:pStyle w:val="EstiloJustificado"/>
      </w:pPr>
      <w:r w:rsidRPr="007750BA">
        <w:t xml:space="preserve">BERTRAND, Marianne; DUFLO, Esther; MULLAINATHAN, Sendhil. HOW MUCH SHOULD WE TRUST DIFFERENCES-IN-DIFFERENCES ESTIMATES? 2004. </w:t>
      </w:r>
    </w:p>
    <w:p w14:paraId="2C6A0775" w14:textId="77777777" w:rsidR="00270042" w:rsidRPr="007750BA" w:rsidRDefault="00270042" w:rsidP="00270042">
      <w:pPr>
        <w:pStyle w:val="EstiloJustificado"/>
      </w:pPr>
      <w:r w:rsidRPr="007750BA">
        <w:t xml:space="preserve">CHAPAIN, Caroline; MURIE, Alan. The impact of factory closure on local communities and economies: the case of the MG Rover Longbridge closure in Birmingham. Policy Studies, v. 29, n. 3, p. 305–317, set. 2008. </w:t>
      </w:r>
    </w:p>
    <w:p w14:paraId="7AACED0A" w14:textId="77777777" w:rsidR="00270042" w:rsidRPr="007750BA" w:rsidRDefault="00270042" w:rsidP="00270042">
      <w:pPr>
        <w:pStyle w:val="EstiloJustificado"/>
      </w:pPr>
      <w:r w:rsidRPr="007750BA">
        <w:t xml:space="preserve">COLIN CAMERON, A.; MILLER, Douglas L. A Practitioner’s Guide to Cluster-Robust Inference. Journal of Human Resources, v. 50, n. 2, p. 317–372, 2015. </w:t>
      </w:r>
    </w:p>
    <w:p w14:paraId="570E9B28" w14:textId="77777777" w:rsidR="00270042" w:rsidRPr="007750BA" w:rsidRDefault="00270042" w:rsidP="00270042">
      <w:pPr>
        <w:pStyle w:val="EstiloJustificado"/>
      </w:pPr>
      <w:r w:rsidRPr="007750BA">
        <w:t xml:space="preserve">DAVID, Francesco. Gli effetti della chiusura di un grande stabilimento industriale sull’economia locale. IT: Banca d’Italia, 2025. </w:t>
      </w:r>
    </w:p>
    <w:p w14:paraId="6663378E" w14:textId="77777777" w:rsidR="00270042" w:rsidRPr="007750BA" w:rsidRDefault="00270042" w:rsidP="00270042">
      <w:pPr>
        <w:pStyle w:val="EstiloJustificado"/>
      </w:pPr>
      <w:r w:rsidRPr="007750BA">
        <w:t xml:space="preserve">DEMIR, Gökay. Labor Market Frictions and Spillover Effects from Publicly Announced Sectoral Minimum Wages. Essen: RWI – Leibniz-Institut für Wirtschaftsforschung, 2022. </w:t>
      </w:r>
    </w:p>
    <w:p w14:paraId="07571D41" w14:textId="77777777" w:rsidR="00270042" w:rsidRPr="007750BA" w:rsidRDefault="00270042" w:rsidP="00270042">
      <w:pPr>
        <w:pStyle w:val="EstiloJustificado"/>
      </w:pPr>
      <w:r w:rsidRPr="007750BA">
        <w:t xml:space="preserve">DIEESE. Nota à imprensa: algumas informações sobre a presença da FORD no Brasil e o potencial impacto do encerramento das atividades da montadora no país. São Paulo, 15 jan. 2021. </w:t>
      </w:r>
    </w:p>
    <w:p w14:paraId="3409F1D9" w14:textId="77777777" w:rsidR="00270042" w:rsidRPr="007750BA" w:rsidRDefault="00270042" w:rsidP="00270042">
      <w:pPr>
        <w:pStyle w:val="EstiloJustificado"/>
      </w:pPr>
      <w:r w:rsidRPr="007750BA">
        <w:t xml:space="preserve">DOMINGUES, Edson Paulo; MAGALHÃES, Aline Souza; CARDOSO, Débora Freire. Impactos de médio e longo prazo do fim da produção doméstica de automóveis da Ford em 202. 2020. </w:t>
      </w:r>
    </w:p>
    <w:p w14:paraId="7C8FE440" w14:textId="77777777" w:rsidR="00270042" w:rsidRPr="007750BA" w:rsidRDefault="00270042" w:rsidP="00270042">
      <w:pPr>
        <w:pStyle w:val="EstiloJustificado"/>
      </w:pPr>
      <w:r w:rsidRPr="007750BA">
        <w:t xml:space="preserve">DULCI, João Assis. CRISE, EMPREGO E RENDA NA INDÚSTRIA AUTOMOTIVA: OS CASOS DO SUL FLUMINENSE, CAMAÇARI E GRANDE ABC PAULISTA EM PERSPECTIVA COMPARADA. Sociologia &amp; Antropologia, v. 11, n. 1, p. 219–247, abr. 2021. </w:t>
      </w:r>
    </w:p>
    <w:p w14:paraId="373463F6" w14:textId="77777777" w:rsidR="00270042" w:rsidRPr="007750BA" w:rsidRDefault="00270042" w:rsidP="00270042">
      <w:pPr>
        <w:pStyle w:val="EstiloJustificado"/>
      </w:pPr>
      <w:r w:rsidRPr="007750BA">
        <w:t xml:space="preserve">FERNANDES, Raphael P.; HADDAD, Eduardo A.; DIAS, Lucas C. C. IMPACTOS ECONÔMICOS DA SAÍDA DA FORD DO ESTADO DE SÃO PAULO (NOTA TÉCNICA). 2021. </w:t>
      </w:r>
    </w:p>
    <w:p w14:paraId="6FEB9FD1" w14:textId="77777777" w:rsidR="00270042" w:rsidRPr="007750BA" w:rsidRDefault="00270042" w:rsidP="00270042">
      <w:pPr>
        <w:pStyle w:val="EstiloJustificado"/>
      </w:pPr>
      <w:r w:rsidRPr="007750BA">
        <w:lastRenderedPageBreak/>
        <w:t xml:space="preserve">FRANCO, Angela. EM TEMPOS GLOBAIS, UM “NOVO” LOCAL: a Ford na Bahia. CADERNO CRH, v. 22, n. 56, 2009. </w:t>
      </w:r>
    </w:p>
    <w:p w14:paraId="3D5F11C2" w14:textId="77777777" w:rsidR="00270042" w:rsidRPr="007750BA" w:rsidRDefault="00270042" w:rsidP="00270042">
      <w:pPr>
        <w:pStyle w:val="EstiloJustificado"/>
      </w:pPr>
      <w:r w:rsidRPr="007750BA">
        <w:t xml:space="preserve">HENRIQUES, Márcio Júlio Pereira; CAMPOS, Rafael Faria De Abreu; SANTOS, Marcelo Figueiredo. O FECHAMENTO DA FÁBRICA DA FORD NA BAHIA: UMA ANÁLISE DA ESTRUTURA SETORIAL DO EMPREGO EM CAMAÇARI. Revista Econômica do Nordeste, v. 55, n. 4, p. 156–178, 31 out. 2024. </w:t>
      </w:r>
    </w:p>
    <w:p w14:paraId="03390AA2" w14:textId="77777777" w:rsidR="00270042" w:rsidRPr="007750BA" w:rsidRDefault="00270042" w:rsidP="00270042">
      <w:pPr>
        <w:pStyle w:val="EstiloJustificado"/>
      </w:pPr>
      <w:r w:rsidRPr="007750BA">
        <w:t xml:space="preserve">JOFRE-MONSENY, Jordi; SÁNCHEZ-VIDAL, Maria; VILADECANS-MARSAL, Elisabet. Big plant closures and local employment. Journal of Economic Geography, v. 18, n. 1, p. 163–186, 1 jan. 2018. </w:t>
      </w:r>
    </w:p>
    <w:p w14:paraId="3E59A372" w14:textId="77777777" w:rsidR="00270042" w:rsidRPr="007750BA" w:rsidRDefault="00270042" w:rsidP="00270042">
      <w:pPr>
        <w:pStyle w:val="EstiloJustificado"/>
      </w:pPr>
      <w:r w:rsidRPr="007750BA">
        <w:t xml:space="preserve">MARX, Roberto; MUNIZ, Jorge. The Brazilian Automotive Industry: Ups, Downs, and Future Challenges. </w:t>
      </w:r>
      <w:r w:rsidRPr="007750BA">
        <w:rPr>
          <w:i/>
          <w:iCs/>
        </w:rPr>
        <w:t>In</w:t>
      </w:r>
      <w:r w:rsidRPr="007750BA">
        <w:t xml:space="preserve">: MONACO, Lorenza; SCHRÖDER, Martin (Orgs.). Emerging Auto Industries in a World of Global Value Chains. Palgrave Studies of Internationalization in Emerging Markets. Cham: Springer Nature Switzerland, 2026. p. 179–192. </w:t>
      </w:r>
    </w:p>
    <w:p w14:paraId="0FE027E8" w14:textId="77777777" w:rsidR="00270042" w:rsidRPr="007750BA" w:rsidRDefault="00270042" w:rsidP="00270042">
      <w:pPr>
        <w:pStyle w:val="EstiloJustificado"/>
      </w:pPr>
      <w:r w:rsidRPr="007750BA">
        <w:t xml:space="preserve">MONTEIRO NETO, Aristides; SILVA, Raphael De Oliveira; SEVERIAN, Danilo. Discussion Paper 266 - THE ROLE OF INDUSTRIAL SECTOR  IN THE BRAZILIAN TERRITORIAL  RECONFIGURATION: NEW  EXPRESSIONS FOR XXI CENTURY  NATIONAL DILEMMAS. </w:t>
      </w:r>
      <w:r w:rsidRPr="007750BA">
        <w:rPr>
          <w:i/>
          <w:iCs/>
        </w:rPr>
        <w:t>[S.l.]</w:t>
      </w:r>
      <w:r w:rsidRPr="007750BA">
        <w:t xml:space="preserve">: Instituto de Pesquisa Econômica Aplicada, 2022. </w:t>
      </w:r>
    </w:p>
    <w:p w14:paraId="2567B172" w14:textId="77777777" w:rsidR="00270042" w:rsidRPr="007750BA" w:rsidRDefault="00270042" w:rsidP="00270042">
      <w:pPr>
        <w:pStyle w:val="EstiloJustificado"/>
      </w:pPr>
      <w:r w:rsidRPr="007750BA">
        <w:t xml:space="preserve">OLDEN, Andreas; MØEN, Jarle. The triple difference estimator. The Econometrics Journal, v. 25, n. 3, p. 531–553, 14 set. 2022. </w:t>
      </w:r>
    </w:p>
    <w:p w14:paraId="160F24CE" w14:textId="77777777" w:rsidR="00270042" w:rsidRDefault="00270042" w:rsidP="00270042">
      <w:pPr>
        <w:pStyle w:val="EstiloJustificado"/>
      </w:pPr>
      <w:r w:rsidRPr="007750BA">
        <w:t xml:space="preserve">PEROBELLI, Fernando Salgueiro; BASTOS, Suzana Quinet De Andrade; OLIVEIRA, Juliana Carreiro De. Avaliação sistêmica do setor industrial brasileiro: 1995-2009. Estudos Econômicos (São Paulo), v. 47, n. 1, p. 125–152, mar. 2017. </w:t>
      </w:r>
    </w:p>
    <w:p w14:paraId="5E03A3C3" w14:textId="77777777" w:rsidR="00270042" w:rsidRPr="00A667E5" w:rsidRDefault="00270042" w:rsidP="00270042">
      <w:pPr>
        <w:pStyle w:val="EstiloJustificado"/>
      </w:pPr>
      <w:r w:rsidRPr="003C3A36">
        <w:t>PERROUX, François. A economia do século XX. Lisboa: Livraria Morais, 1967.</w:t>
      </w:r>
    </w:p>
    <w:p w14:paraId="4CAE6122" w14:textId="77777777" w:rsidR="00270042" w:rsidRPr="007750BA" w:rsidRDefault="00270042" w:rsidP="00270042">
      <w:pPr>
        <w:pStyle w:val="EstiloJustificado"/>
      </w:pPr>
      <w:r w:rsidRPr="007750BA">
        <w:t xml:space="preserve">PORTER, Michael E. The Competitive Advantage of Nations. 1990. </w:t>
      </w:r>
    </w:p>
    <w:p w14:paraId="58D12167" w14:textId="77777777" w:rsidR="00270042" w:rsidRPr="007750BA" w:rsidRDefault="00270042" w:rsidP="00270042">
      <w:pPr>
        <w:pStyle w:val="EstiloJustificado"/>
      </w:pPr>
      <w:r w:rsidRPr="007750BA">
        <w:t xml:space="preserve">ROWTHORN, Robert; RAMASWAMY, Ramana. Growth, Trade, and Deindustrialization. IMF Staff Papers, v. 46, n. 1, p. 18–41, 1 mar. 1999. </w:t>
      </w:r>
    </w:p>
    <w:p w14:paraId="69FB5444" w14:textId="77777777" w:rsidR="00270042" w:rsidRPr="007750BA" w:rsidRDefault="00270042" w:rsidP="00270042">
      <w:pPr>
        <w:pStyle w:val="EstiloJustificado"/>
      </w:pPr>
      <w:r w:rsidRPr="007750BA">
        <w:t xml:space="preserve">SANTORO, Miguel Cezar; MORAES, Luiz Henrique. Simulação de uma linha de montagem de motores. Gestão &amp; Produção, v. 7, n. 3, p. 338–351, dez. 2000. </w:t>
      </w:r>
    </w:p>
    <w:p w14:paraId="69DCAB76" w14:textId="77777777" w:rsidR="00270042" w:rsidRPr="007750BA" w:rsidRDefault="00270042" w:rsidP="00270042">
      <w:pPr>
        <w:pStyle w:val="EstiloJustificado"/>
      </w:pPr>
      <w:r w:rsidRPr="007750BA">
        <w:t xml:space="preserve">SUN, Liyang; ABRAHAM, Sarah. Estimating dynamic treatment effects in event studies with heterogeneous treatment effects. Journal of Econometrics, v. 225, n. 2, p. 175–199, dez. 2021. </w:t>
      </w:r>
    </w:p>
    <w:p w14:paraId="51AACA3F" w14:textId="77777777" w:rsidR="00270042" w:rsidRPr="007750BA" w:rsidRDefault="00270042" w:rsidP="00270042">
      <w:pPr>
        <w:pStyle w:val="EstiloJustificado"/>
      </w:pPr>
      <w:r w:rsidRPr="007750BA">
        <w:t xml:space="preserve">VARGAS, Priscila Gonçalves; BUNDE, Altacir. INDÚSTRIA AUTOMOBILÍSTICA BRASILEIRA: UMA ANÁLISE DAS PRINCIPAIS TRANSFORMAÇÕES TECNOLÓGICAS NO SISTEMA PRODUTIVO E SEU IMPACTO SOBRE O </w:t>
      </w:r>
      <w:r w:rsidRPr="007750BA">
        <w:lastRenderedPageBreak/>
        <w:t xml:space="preserve">EMPREGO. PEGADA - A Revista da Geografia do Trabalho, v. 22, n. 2, p. 49–84, 26 out. 2021. </w:t>
      </w:r>
    </w:p>
    <w:p w14:paraId="201DC0CF" w14:textId="77777777" w:rsidR="00270042" w:rsidRPr="007750BA" w:rsidRDefault="00270042" w:rsidP="00270042">
      <w:pPr>
        <w:pStyle w:val="EstiloJustificado"/>
      </w:pPr>
      <w:r w:rsidRPr="007750BA">
        <w:t xml:space="preserve">VARGAS, Tiago Bernardino; AUGUSTO PINTO, Geraldo; LOBATO TORRES, Ricardo. As limitações da política industrial do Inovar-Auto: um caso de Transferência Tecnológica. Produto &amp; Produção, v. 25, n. 3, p. 68–91, 28 out. 2024. </w:t>
      </w:r>
    </w:p>
    <w:p w14:paraId="307A8A96" w14:textId="77777777" w:rsidR="00270042" w:rsidRPr="007750BA" w:rsidRDefault="00270042" w:rsidP="00270042">
      <w:pPr>
        <w:pStyle w:val="EstiloJustificado"/>
      </w:pPr>
      <w:r w:rsidRPr="007750BA">
        <w:t xml:space="preserve">VENKATARAMANI, Atheendar S. </w:t>
      </w:r>
      <w:r w:rsidRPr="007750BA">
        <w:rPr>
          <w:i/>
          <w:iCs/>
        </w:rPr>
        <w:t>et al.</w:t>
      </w:r>
      <w:r w:rsidRPr="007750BA">
        <w:t xml:space="preserve"> Association Between Automotive Assembly Plant Closures and Opioid Overdose Mortality in the United States: A Difference-in-Differences Analysis. JAMA Internal Medicine, v. 180, n. 2, p. 254, 1 fev. 2020. </w:t>
      </w:r>
    </w:p>
    <w:p w14:paraId="6823579C" w14:textId="77777777" w:rsidR="00270042" w:rsidRPr="007750BA" w:rsidRDefault="00270042" w:rsidP="00270042">
      <w:pPr>
        <w:pStyle w:val="EstiloJustificado"/>
      </w:pPr>
      <w:r w:rsidRPr="007750BA">
        <w:t xml:space="preserve">VERÍSSIMO, Michele Polline; ARAÚJO, Vanessa Marzano. Desempenho da indústria automobilística brasileira no período 2000-2012: uma análise sobre a hipótese de desindustrialização setorial. Economia e Sociedade, v. 24, n. 1, p. 151–176, abr. 2015. </w:t>
      </w:r>
    </w:p>
    <w:p w14:paraId="2EE4E193" w14:textId="77777777" w:rsidR="00270042" w:rsidRPr="007750BA" w:rsidRDefault="00270042" w:rsidP="00270042">
      <w:pPr>
        <w:pStyle w:val="EstiloJustificado"/>
      </w:pPr>
      <w:r w:rsidRPr="007750BA">
        <w:t xml:space="preserve">WOOLDRIDGE, Je¤rey M. Econometric Analysis of Cross Section and Panel Data. livro, 2010. </w:t>
      </w:r>
    </w:p>
    <w:p w14:paraId="1DAE9F71" w14:textId="77777777" w:rsidR="00270042" w:rsidRPr="007750BA" w:rsidRDefault="00270042" w:rsidP="00270042">
      <w:pPr>
        <w:pStyle w:val="EstiloJustificado"/>
      </w:pPr>
      <w:r w:rsidRPr="007750BA">
        <w:t xml:space="preserve">YEUNG, Henry Wai-chung. The strategy of economic development. Regional Studies, v. 51, n. 2, p. 348–349, 1 fev. 2017. </w:t>
      </w:r>
    </w:p>
    <w:p w14:paraId="4F6D9A84" w14:textId="4709FB55" w:rsidR="00D8530D" w:rsidRPr="00270042" w:rsidRDefault="00270042">
      <w:pPr>
        <w:rPr>
          <w:rFonts w:ascii="Arial" w:eastAsia="Times New Roman" w:hAnsi="Arial" w:cs="Arial"/>
          <w:b/>
          <w:bCs/>
          <w:szCs w:val="20"/>
        </w:rPr>
      </w:pPr>
      <w:r w:rsidRPr="007750BA">
        <w:fldChar w:fldCharType="end"/>
      </w:r>
    </w:p>
    <w:sectPr w:rsidR="00D8530D" w:rsidRPr="0027004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C0153"/>
    <w:multiLevelType w:val="multilevel"/>
    <w:tmpl w:val="1A94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227C3"/>
    <w:multiLevelType w:val="multilevel"/>
    <w:tmpl w:val="3956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82D93"/>
    <w:multiLevelType w:val="hybridMultilevel"/>
    <w:tmpl w:val="75CA26B2"/>
    <w:lvl w:ilvl="0" w:tplc="E5860418">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61EE40F1"/>
    <w:multiLevelType w:val="multilevel"/>
    <w:tmpl w:val="4A54D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1285894"/>
    <w:multiLevelType w:val="multilevel"/>
    <w:tmpl w:val="1388855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5" w15:restartNumberingAfterBreak="0">
    <w:nsid w:val="78151683"/>
    <w:multiLevelType w:val="multilevel"/>
    <w:tmpl w:val="BA14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569955">
    <w:abstractNumId w:val="4"/>
  </w:num>
  <w:num w:numId="2" w16cid:durableId="257520329">
    <w:abstractNumId w:val="1"/>
  </w:num>
  <w:num w:numId="3" w16cid:durableId="1976249292">
    <w:abstractNumId w:val="5"/>
  </w:num>
  <w:num w:numId="4" w16cid:durableId="1540894877">
    <w:abstractNumId w:val="0"/>
  </w:num>
  <w:num w:numId="5" w16cid:durableId="498079417">
    <w:abstractNumId w:val="2"/>
  </w:num>
  <w:num w:numId="6" w16cid:durableId="20404693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042"/>
    <w:rsid w:val="00270042"/>
    <w:rsid w:val="00470938"/>
    <w:rsid w:val="005D3590"/>
    <w:rsid w:val="00774436"/>
    <w:rsid w:val="00A545D3"/>
    <w:rsid w:val="00D63F5B"/>
    <w:rsid w:val="00D8530D"/>
    <w:rsid w:val="00E84741"/>
    <w:rsid w:val="00F523D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ED56C"/>
  <w15:chartTrackingRefBased/>
  <w15:docId w15:val="{B6682245-63B2-426F-97A1-766C99531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0042"/>
  </w:style>
  <w:style w:type="paragraph" w:styleId="Ttulo1">
    <w:name w:val="heading 1"/>
    <w:basedOn w:val="Normal"/>
    <w:next w:val="Normal"/>
    <w:link w:val="Ttulo1Char"/>
    <w:uiPriority w:val="9"/>
    <w:qFormat/>
    <w:rsid w:val="002700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2700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27004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unhideWhenUsed/>
    <w:qFormat/>
    <w:rsid w:val="0027004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7004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7004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7004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7004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7004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Legenda">
    <w:name w:val="caption"/>
    <w:basedOn w:val="Normal"/>
    <w:next w:val="Normal"/>
    <w:uiPriority w:val="35"/>
    <w:unhideWhenUsed/>
    <w:qFormat/>
    <w:rsid w:val="005D3590"/>
    <w:pPr>
      <w:spacing w:after="0" w:line="240" w:lineRule="auto"/>
      <w:jc w:val="center"/>
    </w:pPr>
    <w:rPr>
      <w:rFonts w:ascii="Arial" w:hAnsi="Arial"/>
      <w:iCs/>
      <w:color w:val="000000" w:themeColor="text1"/>
      <w:szCs w:val="18"/>
    </w:rPr>
  </w:style>
  <w:style w:type="paragraph" w:customStyle="1" w:styleId="EstiloJustificadoPrimeiralinha125cm">
    <w:name w:val="Estilo Justificado Primeira linha:  125 cm"/>
    <w:basedOn w:val="Normal"/>
    <w:rsid w:val="005D3590"/>
    <w:pPr>
      <w:ind w:firstLine="708"/>
      <w:jc w:val="both"/>
    </w:pPr>
    <w:rPr>
      <w:rFonts w:ascii="Arial" w:eastAsia="Times New Roman" w:hAnsi="Arial" w:cs="Times New Roman"/>
      <w:szCs w:val="20"/>
    </w:rPr>
  </w:style>
  <w:style w:type="paragraph" w:customStyle="1" w:styleId="EstiloJustificadoPrimeiralinha127cmDepoisde0pt">
    <w:name w:val="Estilo Justificado Primeira linha:  127 cm Depois de:  0 pt"/>
    <w:basedOn w:val="Normal"/>
    <w:rsid w:val="005D3590"/>
    <w:pPr>
      <w:spacing w:after="0"/>
      <w:ind w:firstLine="720"/>
      <w:jc w:val="both"/>
    </w:pPr>
    <w:rPr>
      <w:rFonts w:ascii="Arial" w:eastAsia="Times New Roman" w:hAnsi="Arial" w:cs="Times New Roman"/>
      <w:szCs w:val="20"/>
    </w:rPr>
  </w:style>
  <w:style w:type="paragraph" w:customStyle="1" w:styleId="EstiloJustificadoPrimeiralinha063cmDepoisde0pt">
    <w:name w:val="Estilo Justificado Primeira linha:  063 cm Depois de:  0 pt"/>
    <w:basedOn w:val="Normal"/>
    <w:rsid w:val="005D3590"/>
    <w:pPr>
      <w:spacing w:after="0"/>
      <w:ind w:firstLine="360"/>
      <w:jc w:val="both"/>
    </w:pPr>
    <w:rPr>
      <w:rFonts w:ascii="Arial" w:eastAsia="Times New Roman" w:hAnsi="Arial" w:cs="Times New Roman"/>
      <w:color w:val="000000" w:themeColor="text1"/>
      <w:szCs w:val="20"/>
    </w:rPr>
  </w:style>
  <w:style w:type="paragraph" w:customStyle="1" w:styleId="EstiloLegenda">
    <w:name w:val="Estilo Legenda"/>
    <w:basedOn w:val="Legenda"/>
    <w:rsid w:val="00A545D3"/>
    <w:pPr>
      <w:jc w:val="both"/>
    </w:pPr>
    <w:rPr>
      <w:rFonts w:eastAsia="Times New Roman" w:cs="Times New Roman"/>
      <w:iCs w:val="0"/>
      <w:szCs w:val="20"/>
    </w:rPr>
  </w:style>
  <w:style w:type="paragraph" w:customStyle="1" w:styleId="EstiloEstiloLegendaCentralizado">
    <w:name w:val="Estilo Estilo Legenda + Centralizado"/>
    <w:basedOn w:val="EstiloLegenda"/>
    <w:rsid w:val="00A545D3"/>
    <w:pPr>
      <w:jc w:val="center"/>
    </w:pPr>
  </w:style>
  <w:style w:type="paragraph" w:customStyle="1" w:styleId="EstiloJustificadoPrimeiralinha125cmDepoisde0pt">
    <w:name w:val="Estilo Justificado Primeira linha:  125 cm Depois de:  0 pt"/>
    <w:basedOn w:val="Normal"/>
    <w:rsid w:val="00A545D3"/>
    <w:pPr>
      <w:spacing w:after="0"/>
      <w:ind w:firstLine="708"/>
      <w:jc w:val="both"/>
    </w:pPr>
    <w:rPr>
      <w:rFonts w:ascii="Arial" w:eastAsia="Times New Roman" w:hAnsi="Arial" w:cs="Times New Roman"/>
      <w:szCs w:val="20"/>
    </w:rPr>
  </w:style>
  <w:style w:type="paragraph" w:customStyle="1" w:styleId="EstiloJustificadoPrimeiralinha125cmDepoisde0pt1">
    <w:name w:val="Estilo Justificado Primeira linha:  125 cm Depois de:  0 pt1"/>
    <w:basedOn w:val="Normal"/>
    <w:rsid w:val="00A545D3"/>
    <w:pPr>
      <w:spacing w:after="0"/>
      <w:ind w:firstLine="708"/>
      <w:jc w:val="both"/>
    </w:pPr>
    <w:rPr>
      <w:rFonts w:ascii="Arial" w:eastAsia="Times New Roman" w:hAnsi="Arial" w:cs="Times New Roman"/>
      <w:szCs w:val="20"/>
    </w:rPr>
  </w:style>
  <w:style w:type="paragraph" w:customStyle="1" w:styleId="EstiloJustificadoPrimeiralinha125cmDepoisde0pt2">
    <w:name w:val="Estilo Justificado Primeira linha:  125 cm Depois de:  0 pt2"/>
    <w:basedOn w:val="Normal"/>
    <w:rsid w:val="00A545D3"/>
    <w:pPr>
      <w:spacing w:after="0"/>
      <w:ind w:firstLine="708"/>
      <w:jc w:val="both"/>
    </w:pPr>
    <w:rPr>
      <w:rFonts w:ascii="Arial" w:eastAsia="Times New Roman" w:hAnsi="Arial" w:cs="Times New Roman"/>
      <w:szCs w:val="20"/>
    </w:rPr>
  </w:style>
  <w:style w:type="paragraph" w:customStyle="1" w:styleId="EstiloJustificadoPrimeiralinha125cm5">
    <w:name w:val="Estilo Justificado Primeira linha:  125 cm5"/>
    <w:basedOn w:val="Normal"/>
    <w:rsid w:val="00A545D3"/>
    <w:pPr>
      <w:ind w:firstLine="708"/>
      <w:jc w:val="both"/>
    </w:pPr>
    <w:rPr>
      <w:rFonts w:ascii="Arial" w:eastAsia="Times New Roman" w:hAnsi="Arial" w:cs="Times New Roman"/>
      <w:color w:val="000000" w:themeColor="text1"/>
      <w:szCs w:val="20"/>
    </w:rPr>
  </w:style>
  <w:style w:type="character" w:customStyle="1" w:styleId="Ttulo1Char">
    <w:name w:val="Título 1 Char"/>
    <w:basedOn w:val="Fontepargpadro"/>
    <w:link w:val="Ttulo1"/>
    <w:uiPriority w:val="9"/>
    <w:rsid w:val="0027004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27004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27004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rsid w:val="0027004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7004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7004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7004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7004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70042"/>
    <w:rPr>
      <w:rFonts w:eastAsiaTheme="majorEastAsia" w:cstheme="majorBidi"/>
      <w:color w:val="272727" w:themeColor="text1" w:themeTint="D8"/>
    </w:rPr>
  </w:style>
  <w:style w:type="paragraph" w:styleId="Ttulo">
    <w:name w:val="Title"/>
    <w:basedOn w:val="Normal"/>
    <w:next w:val="Normal"/>
    <w:link w:val="TtuloChar"/>
    <w:uiPriority w:val="10"/>
    <w:qFormat/>
    <w:rsid w:val="002700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7004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7004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7004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70042"/>
    <w:pPr>
      <w:spacing w:before="160"/>
      <w:jc w:val="center"/>
    </w:pPr>
    <w:rPr>
      <w:i/>
      <w:iCs/>
      <w:color w:val="404040" w:themeColor="text1" w:themeTint="BF"/>
    </w:rPr>
  </w:style>
  <w:style w:type="character" w:customStyle="1" w:styleId="CitaoChar">
    <w:name w:val="Citação Char"/>
    <w:basedOn w:val="Fontepargpadro"/>
    <w:link w:val="Citao"/>
    <w:uiPriority w:val="29"/>
    <w:rsid w:val="00270042"/>
    <w:rPr>
      <w:i/>
      <w:iCs/>
      <w:color w:val="404040" w:themeColor="text1" w:themeTint="BF"/>
    </w:rPr>
  </w:style>
  <w:style w:type="paragraph" w:styleId="PargrafodaLista">
    <w:name w:val="List Paragraph"/>
    <w:basedOn w:val="Normal"/>
    <w:uiPriority w:val="34"/>
    <w:qFormat/>
    <w:rsid w:val="00270042"/>
    <w:pPr>
      <w:ind w:left="720"/>
      <w:contextualSpacing/>
    </w:pPr>
  </w:style>
  <w:style w:type="character" w:styleId="nfaseIntensa">
    <w:name w:val="Intense Emphasis"/>
    <w:basedOn w:val="Fontepargpadro"/>
    <w:uiPriority w:val="21"/>
    <w:qFormat/>
    <w:rsid w:val="00270042"/>
    <w:rPr>
      <w:i/>
      <w:iCs/>
      <w:color w:val="0F4761" w:themeColor="accent1" w:themeShade="BF"/>
    </w:rPr>
  </w:style>
  <w:style w:type="paragraph" w:styleId="CitaoIntensa">
    <w:name w:val="Intense Quote"/>
    <w:basedOn w:val="Normal"/>
    <w:next w:val="Normal"/>
    <w:link w:val="CitaoIntensaChar"/>
    <w:uiPriority w:val="30"/>
    <w:qFormat/>
    <w:rsid w:val="002700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70042"/>
    <w:rPr>
      <w:i/>
      <w:iCs/>
      <w:color w:val="0F4761" w:themeColor="accent1" w:themeShade="BF"/>
    </w:rPr>
  </w:style>
  <w:style w:type="character" w:styleId="RefernciaIntensa">
    <w:name w:val="Intense Reference"/>
    <w:basedOn w:val="Fontepargpadro"/>
    <w:uiPriority w:val="32"/>
    <w:qFormat/>
    <w:rsid w:val="00270042"/>
    <w:rPr>
      <w:b/>
      <w:bCs/>
      <w:smallCaps/>
      <w:color w:val="0F4761" w:themeColor="accent1" w:themeShade="BF"/>
      <w:spacing w:val="5"/>
    </w:rPr>
  </w:style>
  <w:style w:type="paragraph" w:styleId="Textodenotaderodap">
    <w:name w:val="footnote text"/>
    <w:basedOn w:val="Normal"/>
    <w:link w:val="TextodenotaderodapChar"/>
    <w:uiPriority w:val="99"/>
    <w:semiHidden/>
    <w:unhideWhenUsed/>
    <w:rsid w:val="00270042"/>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270042"/>
    <w:rPr>
      <w:sz w:val="20"/>
      <w:szCs w:val="20"/>
    </w:rPr>
  </w:style>
  <w:style w:type="character" w:styleId="Refdenotaderodap">
    <w:name w:val="footnote reference"/>
    <w:basedOn w:val="Fontepargpadro"/>
    <w:uiPriority w:val="99"/>
    <w:semiHidden/>
    <w:unhideWhenUsed/>
    <w:rsid w:val="00270042"/>
    <w:rPr>
      <w:vertAlign w:val="superscript"/>
    </w:rPr>
  </w:style>
  <w:style w:type="paragraph" w:styleId="CabealhodoSumrio">
    <w:name w:val="TOC Heading"/>
    <w:basedOn w:val="Ttulo1"/>
    <w:next w:val="Normal"/>
    <w:uiPriority w:val="39"/>
    <w:unhideWhenUsed/>
    <w:qFormat/>
    <w:rsid w:val="00270042"/>
    <w:pPr>
      <w:spacing w:before="240" w:after="0" w:line="259" w:lineRule="auto"/>
      <w:outlineLvl w:val="9"/>
    </w:pPr>
    <w:rPr>
      <w:kern w:val="0"/>
      <w:sz w:val="32"/>
      <w:szCs w:val="32"/>
      <w:lang w:eastAsia="pt-BR"/>
      <w14:ligatures w14:val="none"/>
    </w:rPr>
  </w:style>
  <w:style w:type="paragraph" w:styleId="Bibliografia">
    <w:name w:val="Bibliography"/>
    <w:basedOn w:val="Normal"/>
    <w:next w:val="Normal"/>
    <w:uiPriority w:val="37"/>
    <w:unhideWhenUsed/>
    <w:rsid w:val="00270042"/>
    <w:pPr>
      <w:spacing w:after="240" w:line="240" w:lineRule="auto"/>
    </w:pPr>
  </w:style>
  <w:style w:type="paragraph" w:styleId="Sumrio1">
    <w:name w:val="toc 1"/>
    <w:basedOn w:val="Normal"/>
    <w:next w:val="Normal"/>
    <w:autoRedefine/>
    <w:uiPriority w:val="39"/>
    <w:unhideWhenUsed/>
    <w:rsid w:val="00270042"/>
    <w:pPr>
      <w:spacing w:after="100"/>
    </w:pPr>
  </w:style>
  <w:style w:type="paragraph" w:styleId="Sumrio2">
    <w:name w:val="toc 2"/>
    <w:basedOn w:val="Normal"/>
    <w:next w:val="Normal"/>
    <w:autoRedefine/>
    <w:uiPriority w:val="39"/>
    <w:unhideWhenUsed/>
    <w:rsid w:val="00270042"/>
    <w:pPr>
      <w:spacing w:after="100"/>
      <w:ind w:left="240"/>
    </w:pPr>
  </w:style>
  <w:style w:type="paragraph" w:styleId="Sumrio3">
    <w:name w:val="toc 3"/>
    <w:basedOn w:val="Normal"/>
    <w:next w:val="Normal"/>
    <w:autoRedefine/>
    <w:uiPriority w:val="39"/>
    <w:unhideWhenUsed/>
    <w:rsid w:val="00270042"/>
    <w:pPr>
      <w:spacing w:after="100"/>
      <w:ind w:left="480"/>
    </w:pPr>
  </w:style>
  <w:style w:type="character" w:styleId="Hyperlink">
    <w:name w:val="Hyperlink"/>
    <w:basedOn w:val="Fontepargpadro"/>
    <w:uiPriority w:val="99"/>
    <w:unhideWhenUsed/>
    <w:rsid w:val="00270042"/>
    <w:rPr>
      <w:color w:val="467886" w:themeColor="hyperlink"/>
      <w:u w:val="single"/>
    </w:rPr>
  </w:style>
  <w:style w:type="paragraph" w:customStyle="1" w:styleId="EstiloCentralizadoPrimeiralinha125cm">
    <w:name w:val="Estilo Centralizado Primeira linha:  125 cm"/>
    <w:basedOn w:val="Normal"/>
    <w:rsid w:val="00270042"/>
    <w:pPr>
      <w:ind w:firstLine="708"/>
      <w:jc w:val="center"/>
    </w:pPr>
    <w:rPr>
      <w:rFonts w:ascii="Arial" w:eastAsia="Times New Roman" w:hAnsi="Arial" w:cs="Times New Roman"/>
      <w:szCs w:val="20"/>
    </w:rPr>
  </w:style>
  <w:style w:type="paragraph" w:customStyle="1" w:styleId="EstiloJustificadoPrimeiralinha125cm1">
    <w:name w:val="Estilo Justificado Primeira linha:  125 cm1"/>
    <w:basedOn w:val="Normal"/>
    <w:rsid w:val="00270042"/>
    <w:pPr>
      <w:ind w:firstLine="708"/>
      <w:jc w:val="both"/>
    </w:pPr>
    <w:rPr>
      <w:rFonts w:ascii="Arial" w:eastAsia="Times New Roman" w:hAnsi="Arial" w:cs="Times New Roman"/>
      <w:szCs w:val="20"/>
    </w:rPr>
  </w:style>
  <w:style w:type="paragraph" w:customStyle="1" w:styleId="EstiloJustificadoPrimeiralinha125cm2">
    <w:name w:val="Estilo Justificado Primeira linha:  125 cm2"/>
    <w:basedOn w:val="Normal"/>
    <w:rsid w:val="00270042"/>
    <w:pPr>
      <w:ind w:firstLine="708"/>
      <w:jc w:val="both"/>
    </w:pPr>
    <w:rPr>
      <w:rFonts w:ascii="Arial" w:eastAsia="Times New Roman" w:hAnsi="Arial" w:cs="Times New Roman"/>
      <w:szCs w:val="20"/>
    </w:rPr>
  </w:style>
  <w:style w:type="paragraph" w:customStyle="1" w:styleId="EstiloJustificadoPrimeiralinha125cm3">
    <w:name w:val="Estilo Justificado Primeira linha:  125 cm3"/>
    <w:basedOn w:val="Normal"/>
    <w:rsid w:val="00270042"/>
    <w:pPr>
      <w:ind w:firstLine="708"/>
      <w:jc w:val="both"/>
    </w:pPr>
    <w:rPr>
      <w:rFonts w:ascii="Arial" w:eastAsia="Times New Roman" w:hAnsi="Arial" w:cs="Times New Roman"/>
      <w:szCs w:val="20"/>
    </w:rPr>
  </w:style>
  <w:style w:type="paragraph" w:customStyle="1" w:styleId="EstiloJustificadoDepoisde0pt">
    <w:name w:val="Estilo Justificado Depois de:  0 pt"/>
    <w:basedOn w:val="Normal"/>
    <w:rsid w:val="00270042"/>
    <w:pPr>
      <w:spacing w:after="0"/>
      <w:jc w:val="both"/>
    </w:pPr>
    <w:rPr>
      <w:rFonts w:ascii="Arial" w:eastAsia="Times New Roman" w:hAnsi="Arial" w:cs="Times New Roman"/>
      <w:szCs w:val="20"/>
    </w:rPr>
  </w:style>
  <w:style w:type="paragraph" w:customStyle="1" w:styleId="EstiloJustificadoPrimeiralinha125cm4">
    <w:name w:val="Estilo Justificado Primeira linha:  125 cm4"/>
    <w:basedOn w:val="Normal"/>
    <w:rsid w:val="00270042"/>
    <w:pPr>
      <w:ind w:firstLine="708"/>
      <w:jc w:val="both"/>
    </w:pPr>
    <w:rPr>
      <w:rFonts w:ascii="Arial" w:eastAsia="Times New Roman" w:hAnsi="Arial" w:cs="Times New Roman"/>
      <w:szCs w:val="20"/>
    </w:rPr>
  </w:style>
  <w:style w:type="paragraph" w:customStyle="1" w:styleId="EstiloJustificadoPrimeiralinha125cmDepoisde0pt3">
    <w:name w:val="Estilo Justificado Primeira linha:  125 cm Depois de:  0 pt3"/>
    <w:basedOn w:val="Normal"/>
    <w:rsid w:val="00270042"/>
    <w:pPr>
      <w:spacing w:after="0"/>
      <w:ind w:firstLine="708"/>
      <w:jc w:val="both"/>
    </w:pPr>
    <w:rPr>
      <w:rFonts w:ascii="Arial" w:eastAsia="Times New Roman" w:hAnsi="Arial" w:cs="Times New Roman"/>
      <w:szCs w:val="20"/>
    </w:rPr>
  </w:style>
  <w:style w:type="paragraph" w:customStyle="1" w:styleId="EstiloJustificadoPrimeiralinha125cmDepoisde0pt4">
    <w:name w:val="Estilo Justificado Primeira linha:  125 cm Depois de:  0 pt4"/>
    <w:basedOn w:val="Normal"/>
    <w:rsid w:val="00270042"/>
    <w:pPr>
      <w:spacing w:after="0"/>
      <w:ind w:firstLine="708"/>
      <w:jc w:val="both"/>
    </w:pPr>
    <w:rPr>
      <w:rFonts w:ascii="Arial" w:eastAsia="Times New Roman" w:hAnsi="Arial" w:cs="Times New Roman"/>
      <w:szCs w:val="20"/>
    </w:rPr>
  </w:style>
  <w:style w:type="paragraph" w:customStyle="1" w:styleId="EstiloJustificadoPrimeiralinha125cm6">
    <w:name w:val="Estilo Justificado Primeira linha:  125 cm6"/>
    <w:basedOn w:val="Normal"/>
    <w:rsid w:val="00270042"/>
    <w:pPr>
      <w:ind w:firstLine="708"/>
      <w:jc w:val="both"/>
    </w:pPr>
    <w:rPr>
      <w:rFonts w:ascii="Arial" w:eastAsia="Times New Roman" w:hAnsi="Arial" w:cs="Times New Roman"/>
      <w:szCs w:val="20"/>
    </w:rPr>
  </w:style>
  <w:style w:type="paragraph" w:customStyle="1" w:styleId="EstiloJustificadoPrimeiralinha125cm7">
    <w:name w:val="Estilo Justificado Primeira linha:  125 cm7"/>
    <w:basedOn w:val="Normal"/>
    <w:rsid w:val="00270042"/>
    <w:pPr>
      <w:ind w:firstLine="708"/>
      <w:jc w:val="both"/>
    </w:pPr>
    <w:rPr>
      <w:rFonts w:ascii="Arial" w:eastAsia="Times New Roman" w:hAnsi="Arial" w:cs="Times New Roman"/>
      <w:szCs w:val="20"/>
    </w:rPr>
  </w:style>
  <w:style w:type="paragraph" w:customStyle="1" w:styleId="EstiloJustificado">
    <w:name w:val="Estilo Justificado"/>
    <w:basedOn w:val="Normal"/>
    <w:rsid w:val="00270042"/>
    <w:pPr>
      <w:jc w:val="both"/>
    </w:pPr>
    <w:rPr>
      <w:rFonts w:ascii="Arial" w:eastAsia="Times New Roman" w:hAnsi="Arial" w:cs="Times New Roman"/>
      <w:szCs w:val="20"/>
    </w:rPr>
  </w:style>
  <w:style w:type="paragraph" w:customStyle="1" w:styleId="EstiloJustificadoPrimeiralinha125cm8">
    <w:name w:val="Estilo Justificado Primeira linha:  125 cm8"/>
    <w:basedOn w:val="Normal"/>
    <w:rsid w:val="00270042"/>
    <w:pPr>
      <w:ind w:firstLine="708"/>
      <w:jc w:val="both"/>
    </w:pPr>
    <w:rPr>
      <w:rFonts w:ascii="Arial" w:eastAsia="Times New Roman" w:hAnsi="Arial" w:cs="Times New Roman"/>
      <w:szCs w:val="20"/>
    </w:rPr>
  </w:style>
  <w:style w:type="paragraph" w:styleId="ndicedeilustraes">
    <w:name w:val="table of figures"/>
    <w:basedOn w:val="Normal"/>
    <w:next w:val="Normal"/>
    <w:uiPriority w:val="99"/>
    <w:unhideWhenUsed/>
    <w:rsid w:val="00270042"/>
    <w:pPr>
      <w:spacing w:after="0"/>
    </w:pPr>
  </w:style>
  <w:style w:type="paragraph" w:styleId="Cabealho">
    <w:name w:val="header"/>
    <w:basedOn w:val="Normal"/>
    <w:link w:val="CabealhoChar"/>
    <w:uiPriority w:val="99"/>
    <w:unhideWhenUsed/>
    <w:rsid w:val="0027004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70042"/>
  </w:style>
  <w:style w:type="paragraph" w:styleId="Rodap">
    <w:name w:val="footer"/>
    <w:basedOn w:val="Normal"/>
    <w:link w:val="RodapChar"/>
    <w:uiPriority w:val="99"/>
    <w:unhideWhenUsed/>
    <w:rsid w:val="00270042"/>
    <w:pPr>
      <w:tabs>
        <w:tab w:val="center" w:pos="4252"/>
        <w:tab w:val="right" w:pos="8504"/>
      </w:tabs>
      <w:spacing w:after="0" w:line="240" w:lineRule="auto"/>
    </w:pPr>
  </w:style>
  <w:style w:type="character" w:customStyle="1" w:styleId="RodapChar">
    <w:name w:val="Rodapé Char"/>
    <w:basedOn w:val="Fontepargpadro"/>
    <w:link w:val="Rodap"/>
    <w:uiPriority w:val="99"/>
    <w:rsid w:val="00270042"/>
  </w:style>
  <w:style w:type="character" w:styleId="Refdenotadefim">
    <w:name w:val="endnote reference"/>
    <w:basedOn w:val="Fontepargpadro"/>
    <w:uiPriority w:val="99"/>
    <w:semiHidden/>
    <w:unhideWhenUsed/>
    <w:rsid w:val="0027004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21959</Words>
  <Characters>118582</Characters>
  <Application>Microsoft Office Word</Application>
  <DocSecurity>0</DocSecurity>
  <Lines>988</Lines>
  <Paragraphs>280</Paragraphs>
  <ScaleCrop>false</ScaleCrop>
  <Company/>
  <LinksUpToDate>false</LinksUpToDate>
  <CharactersWithSpaces>140261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Shauana Bobadilha Rodrigues de Lima</dc:creator>
  <cp:keywords/>
  <dc:description/>
  <cp:lastModifiedBy>Shauana Bobadilha Rodrigues de Lima</cp:lastModifiedBy>
  <cp:revision>1</cp:revision>
  <dcterms:created xsi:type="dcterms:W3CDTF">2026-05-27T21:46:00Z</dcterms:created>
  <dcterms:modified xsi:type="dcterms:W3CDTF">2026-05-27T21:47:00Z</dcterms:modified>
</cp:coreProperties>
</file>