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☐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☐ H1 namespace, Deployments, StatefulSet+PVC for Postgres, ClusterIP Services, Ingress routing / and /api — 5</w:t>
      </w:r>
    </w:p>
    <w:p>
      <w:pPr>
        <w:pStyle w:val="ListBullet"/>
      </w:pPr>
      <w:r>
        <w:t>☐ H2 ConfigMap and Secret separated; committed manifests carry placeholders only — 2</w:t>
      </w:r>
    </w:p>
    <w:p>
      <w:pPr>
        <w:pStyle w:val="ListBullet"/>
      </w:pPr>
      <w:r>
        <w:t>☐ H3 all three probes correct: liveness independent of DB, readiness dependent — 4</w:t>
      </w:r>
    </w:p>
    <w:p>
      <w:pPr>
        <w:pStyle w:val="ListBullet"/>
      </w:pPr>
      <w:r>
        <w:t>☐ H4 resources.requests and limits set on every container — 2</w:t>
      </w:r>
    </w:p>
    <w:p>
      <w:pPr>
        <w:pStyle w:val="ListBullet"/>
      </w:pPr>
      <w:r>
        <w:t>☐ H5 HPA v2 with tuned behavior + captured kubectl get hpa -w output + replicas-vs-load chart from real load test — 4</w:t>
      </w:r>
    </w:p>
    <w:p>
      <w:pPr>
        <w:pStyle w:val="ListBullet"/>
      </w:pPr>
      <w:r>
        <w:t>☐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☐ I4 cd.yml with needs: gating publish, images pushed to GHCR tagged by commit SHA — 4</w:t>
      </w:r>
    </w:p>
    <w:p>
      <w:pPr>
        <w:pStyle w:val="ListBullet"/>
      </w:pPr>
      <w:r>
        <w:t>☐ I5 Kubernetes deploy job on ephemeral cluster, waiting on rollout status and smoke-testing the Ingress — 3</w:t>
      </w:r>
    </w:p>
    <w:p>
      <w:pPr>
        <w:pStyle w:val="ListBullet"/>
      </w:pPr>
      <w:r>
        <w:t>☐ I6 secrets from GitHub Secrets with scoped token and least-privilege permissions: block — 2</w:t>
      </w:r>
    </w:p>
    <w:p>
      <w:pPr>
        <w:pStyle w:val="ListBullet"/>
      </w:pPr>
      <w:r>
        <w:t>☐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 manifests</w:t>
            </w:r>
          </w:p>
        </w:tc>
        <w:tc>
          <w:tcPr>
            <w:tcW w:type="dxa" w:w="2880"/>
          </w:tcPr>
          <w:p>
            <w:r>
              <w:t>Validated with kubeconform (16/16); Ali reviewed probe/resource rationale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system on http://localhost:8080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