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☐ F4 content-hash caching of triage results with measured, reported hit rate — 3 (mechanism proven in evidence/24 miss→hit + hit counter; still owes the duplicate-submit script + hit-rate number in notes)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being built in `backend/` (see docs/ASHAR-HANDOFF.md).</w:t>
      </w:r>
    </w:p>
    <w:p>
      <w:r>
        <w:rPr>
          <w:rFonts w:ascii="Consolas" w:hAnsi="Consolas"/>
          <w:sz w:val="18"/>
        </w:rPr>
        <w:t># Until it lands, the contract stub serves the identical API on the same port: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`backend/` exists this is the only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