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☐ C6 SIGTERM handled: in-flight requests drain before exit — 2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>☐ E4 Redis AOF on a named volume, justification written down — 1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☐ F4 content-hash caching of triage results with measured, reported hit rate — 3 (mechanism proven in evidence/24 miss→hit + hit counter; still owes the duplicate-submit script + hit-rate number in notes)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☐ G1 both images multi-stage, pinned base, non-root USER, exec-form CMD, cache-correct layer order — 4</w:t>
      </w:r>
    </w:p>
    <w:p>
      <w:pPr>
        <w:pStyle w:val="ListBullet"/>
      </w:pPr>
      <w:r>
        <w:t>☐ G2 .dockerignore per build context, before/after context sizes reported — 2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being built in `backend/` (see docs/ASHAR-HANDOFF.md).</w:t>
      </w:r>
    </w:p>
    <w:p>
      <w:r>
        <w:rPr>
          <w:rFonts w:ascii="Consolas" w:hAnsi="Consolas"/>
          <w:sz w:val="18"/>
        </w:rPr>
        <w:t># Until it lands, the contract stub serves the identical API on the same port: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`backend/` exists this is the only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