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jc w:val="center"/>
      </w:pPr>
      <w:r>
        <w:rPr>
          <w:rFonts w:ascii="Calibri" w:hAnsi="Calibri"/>
          <w:b/>
          <w:color w:val="2E74B5"/>
          <w:sz w:val="22"/>
        </w:rPr>
        <w:t>MSc Thesis - Evidence-Ready Supervisor Review Draft</w:t>
      </w:r>
    </w:p>
    <w:p>
      <w:pPr>
        <w:spacing w:before="280" w:after="240"/>
        <w:jc w:val="center"/>
      </w:pPr>
      <w:r>
        <w:rPr>
          <w:rFonts w:ascii="Calibri" w:hAnsi="Calibri"/>
          <w:b/>
          <w:color w:val="0B2545"/>
          <w:sz w:val="56"/>
        </w:rPr>
        <w:t>Reusable Human Judgment in</w:t>
        <w:br/>
        <w:t>AI-Assisted Domain Model Assessment</w:t>
      </w:r>
    </w:p>
    <w:p>
      <w:pPr>
        <w:spacing w:after="560"/>
        <w:jc w:val="center"/>
      </w:pPr>
      <w:r>
        <w:rPr>
          <w:rFonts w:ascii="Calibri" w:hAnsi="Calibri"/>
          <w:color w:val="1F4D78"/>
          <w:sz w:val="34"/>
        </w:rPr>
        <w:t>The VEGO-AI Case</w:t>
      </w:r>
    </w:p>
    <w:p>
      <w:pPr>
        <w:spacing w:after="440"/>
        <w:jc w:val="center"/>
      </w:pPr>
      <w:r>
        <w:rPr>
          <w:rFonts w:ascii="Calibri" w:hAnsi="Calibri"/>
          <w:color w:val="596573"/>
          <w:sz w:val="22"/>
        </w:rPr>
        <w:t>Prepared for supervisor review: Iris and Arnon</w:t>
        <w:br/>
        <w:t>24 July 2026</w:t>
        <w:br/>
        <w:t>Source revision adc56a3ccfec</w:t>
      </w:r>
    </w:p>
    <w:p>
      <w:pPr>
        <w:pStyle w:val="EvidenceCallout"/>
        <w:jc w:val="center"/>
        <w:shd w:fill="FFF6DA"/>
        <w:pBdr>
          <w:left w:val="single" w:sz="18" w:space="8" w:color="BF9000"/>
        </w:pBdr>
      </w:pPr>
      <w:r>
        <w:rPr>
          <w:rFonts w:ascii="Calibri" w:hAnsi="Calibri"/>
          <w:b/>
          <w:color w:val="5F4800"/>
          <w:sz w:val="21"/>
        </w:rPr>
        <w:t>Current evidence gate: 0 / 24 generalization-safe expert labels. Accuracy, macro-F1, net correction, and paired significance are not yet computable.</w:t>
      </w:r>
    </w:p>
    <w:p>
      <w:r>
        <w:br w:type="page"/>
      </w:r>
    </w:p>
    <w:p>
      <w:pPr>
        <w:pStyle w:val="Heading1"/>
      </w:pPr>
      <w:r>
        <w:t>Review status and evidence boundary</w:t>
      </w:r>
    </w:p>
    <w:p>
      <w:pPr>
        <w:pStyle w:val="EvidenceCallout"/>
        <w:shd w:fill="FFF6DA"/>
        <w:pBdr>
          <w:left w:val="single" w:sz="18" w:space="8" w:color="BF9000"/>
        </w:pBdr>
      </w:pPr>
      <w:r>
        <w:t>This draft demonstrates the reusable-human-judgment mechanism and its governance. It does not claim improved accuracy, generalization, reduced human effort, benchmark superiority, clinical performance, or automatic correction.</w:t>
      </w:r>
    </w:p>
    <w:tbl>
      <w:tblPr>
        <w:tblStyle w:val="TableGrid"/>
        <w:tblW w:type="dxa" w:w="9360"/>
        <w:jc w:val="left"/>
        <w:tblLayout w:type="fixed"/>
        <w:tblLook w:firstColumn="1" w:firstRow="1" w:lastColumn="0" w:lastRow="0" w:noHBand="0" w:noVBand="1" w:val="04A0"/>
        <w:tblInd w:w="120" w:type="dxa"/>
      </w:tblPr>
      <w:tblGrid>
        <w:gridCol w:w="2031"/>
        <w:gridCol w:w="3267"/>
        <w:gridCol w:w="4062"/>
      </w:tblGrid>
      <w:tr>
        <w:trPr>
          <w:cantSplit/>
          <w:tblHeader w:val="true"/>
        </w:trPr>
        <w:tc>
          <w:tcPr>
            <w:tcW w:type="dxa" w:w="20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26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406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20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Accepted iteration</w:t>
            </w:r>
          </w:p>
        </w:tc>
        <w:tc>
          <w:tcPr>
            <w:tcW w:type="dxa" w:w="326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14 - NEUTRAL</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Reliability-only; selects no default</w:t>
            </w:r>
          </w:p>
        </w:tc>
      </w:tr>
      <w:tr>
        <w:trPr>
          <w:cantSplit/>
        </w:trPr>
        <w:tc>
          <w:tcPr>
            <w:tcW w:type="dxa" w:w="20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Safe labels</w:t>
            </w:r>
          </w:p>
        </w:tc>
        <w:tc>
          <w:tcPr>
            <w:tcW w:type="dxa" w:w="326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 / 24</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Accuracy not yet computable</w:t>
            </w:r>
          </w:p>
        </w:tc>
      </w:tr>
      <w:tr>
        <w:trPr>
          <w:cantSplit/>
        </w:trPr>
        <w:tc>
          <w:tcPr>
            <w:tcW w:type="dxa" w:w="20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Agent 4 patterns</w:t>
            </w:r>
          </w:p>
        </w:tc>
        <w:tc>
          <w:tcPr>
            <w:tcW w:type="dxa" w:w="326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Frozen baseline outputs</w:t>
            </w:r>
          </w:p>
        </w:tc>
      </w:tr>
      <w:tr>
        <w:trPr>
          <w:cantSplit/>
        </w:trPr>
        <w:tc>
          <w:tcPr>
            <w:tcW w:type="dxa" w:w="20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Memory-informed changes</w:t>
            </w:r>
          </w:p>
        </w:tc>
        <w:tc>
          <w:tcPr>
            <w:tcW w:type="dxa" w:w="326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 / 27</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Current policy cannot create an accuracy delta</w:t>
            </w:r>
          </w:p>
        </w:tc>
      </w:tr>
      <w:tr>
        <w:trPr>
          <w:cantSplit/>
        </w:trPr>
        <w:tc>
          <w:tcPr>
            <w:tcW w:type="dxa" w:w="20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Next human action</w:t>
            </w:r>
          </w:p>
        </w:tc>
        <w:tc>
          <w:tcPr>
            <w:tcW w:type="dxa" w:w="326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Approve protocol; calibrate and label</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Two reviewers plus adjudication</w:t>
            </w:r>
          </w:p>
        </w:tc>
      </w:tr>
      <w:tr>
        <w:trPr>
          <w:cantSplit/>
        </w:trPr>
        <w:tc>
          <w:tcPr>
            <w:tcW w:type="dxa" w:w="20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Formal claim gate</w:t>
            </w:r>
          </w:p>
        </w:tc>
        <w:tc>
          <w:tcPr>
            <w:tcW w:type="dxa" w:w="326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External N &gt;= 30; target 48</w:t>
            </w:r>
          </w:p>
        </w:tc>
        <w:tc>
          <w:tcPr>
            <w:tcW w:type="dxa" w:w="406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All statistical and safety criteria required</w:t>
            </w:r>
          </w:p>
        </w:tc>
      </w:tr>
    </w:tbl>
    <w:p>
      <w:pPr>
        <w:spacing w:after="40"/>
      </w:pPr>
    </w:p>
    <w:p>
      <w:pPr>
        <w:pStyle w:val="Heading2"/>
      </w:pPr>
      <w:r>
        <w:t>Document map</w:t>
      </w:r>
    </w:p>
    <w:p>
      <w:pPr>
        <w:pStyle w:val="ListBullet"/>
      </w:pPr>
      <w:r>
        <w:t>Front matter: evidence ladder, architecture, current plots, and experiment roadmap.</w:t>
      </w:r>
    </w:p>
    <w:p>
      <w:pPr>
        <w:pStyle w:val="ListBullet"/>
      </w:pPr>
      <w:r>
        <w:t>Chapters 1-5: problem, literature, baseline, and implemented artifact.</w:t>
      </w:r>
    </w:p>
    <w:p>
      <w:pPr>
        <w:pStyle w:val="ListBullet"/>
      </w:pPr>
      <w:r>
        <w:t>Chapter 6: preregistered evaluation and stopping rules.</w:t>
      </w:r>
    </w:p>
    <w:p>
      <w:pPr>
        <w:pStyle w:val="ListBullet"/>
      </w:pPr>
      <w:r>
        <w:t>Chapter 7: current evidence and deliberately blank performance fields.</w:t>
      </w:r>
    </w:p>
    <w:p>
      <w:pPr>
        <w:pStyle w:val="ListBullet"/>
      </w:pPr>
      <w:r>
        <w:t>Chapters 8-10: validity, conditional interpretation, and conclusion.</w:t>
      </w:r>
    </w:p>
    <w:p>
      <w:pPr>
        <w:pStyle w:val="ListBullet"/>
      </w:pPr>
      <w:r>
        <w:t>References, design-theory supplement, and Appendix A.</w:t>
      </w:r>
    </w:p>
    <w:p>
      <w:r>
        <w:br w:type="page"/>
      </w:r>
    </w:p>
    <w:p>
      <w:pPr>
        <w:pStyle w:val="Heading1"/>
      </w:pPr>
      <w:r>
        <w:t>Evidence ladder</w:t>
      </w:r>
    </w:p>
    <w:p>
      <w:pPr>
        <w:jc w:val="center"/>
      </w:pPr>
      <w:r>
        <w:drawing>
          <wp:inline xmlns:a="http://schemas.openxmlformats.org/drawingml/2006/main" xmlns:pic="http://schemas.openxmlformats.org/drawingml/2006/picture">
            <wp:extent cx="5943600" cy="2113280"/>
            <wp:docPr id="1" name="Picture 1"/>
            <wp:cNvGraphicFramePr>
              <a:graphicFrameLocks noChangeAspect="1"/>
            </wp:cNvGraphicFramePr>
            <a:graphic>
              <a:graphicData uri="http://schemas.openxmlformats.org/drawingml/2006/picture">
                <pic:pic>
                  <pic:nvPicPr>
                    <pic:cNvPr id="0" name="b0-b5-evidence-ladder.png"/>
                    <pic:cNvPicPr/>
                  </pic:nvPicPr>
                  <pic:blipFill>
                    <a:blip r:embed="rId11"/>
                    <a:stretch>
                      <a:fillRect/>
                    </a:stretch>
                  </pic:blipFill>
                  <pic:spPr>
                    <a:xfrm>
                      <a:off x="0" y="0"/>
                      <a:ext cx="5943600" cy="2113280"/>
                    </a:xfrm>
                    <a:prstGeom prst="rect"/>
                  </pic:spPr>
                </pic:pic>
              </a:graphicData>
            </a:graphic>
          </wp:inline>
        </w:drawing>
      </w:r>
    </w:p>
    <w:p>
      <w:pPr>
        <w:keepNext w:val="0"/>
        <w:jc w:val="center"/>
      </w:pPr>
      <w:r>
        <w:rPr>
          <w:rFonts w:ascii="Calibri" w:hAnsi="Calibri"/>
          <w:i/>
          <w:color w:val="596573"/>
          <w:sz w:val="18"/>
        </w:rPr>
        <w:t>Figure R1. B0-B5 separates implemented mechanism evidence from human-gated, holdout, and external evidence.</w:t>
      </w:r>
    </w:p>
    <w:p>
      <w:r>
        <w:br w:type="page"/>
      </w:r>
    </w:p>
    <w:p>
      <w:pPr>
        <w:pStyle w:val="Heading1"/>
      </w:pPr>
      <w:r>
        <w:t>Architecture and safety boundary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human-judgment-architecture.png"/>
                    <pic:cNvPicPr/>
                  </pic:nvPicPr>
                  <pic:blipFill>
                    <a:blip r:embed="rId12"/>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R2. Human judgment surrounds the frozen baseline; no path overwrites Agent 4.</w:t>
      </w:r>
    </w:p>
    <w:p>
      <w:r>
        <w:br w:type="page"/>
      </w:r>
    </w:p>
    <w:p>
      <w:pPr>
        <w:pStyle w:val="Heading1"/>
      </w:pPr>
      <w:r>
        <w:t>Current evidence profile</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current-evidence-profile.png"/>
                    <pic:cNvPicPr/>
                  </pic:nvPicPr>
                  <pic:blipFill>
                    <a:blip r:embed="rId13"/>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R3. Descriptive counts and the zero-label stop state; mixed units are not additive.</w:t>
      </w:r>
    </w:p>
    <w:p>
      <w:r>
        <w:br w:type="page"/>
      </w:r>
    </w:p>
    <w:p>
      <w:pPr>
        <w:pStyle w:val="Heading1"/>
      </w:pPr>
      <w:r>
        <w:t>Preregistered experiment sequence</w:t>
      </w: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exp019-027-roadmap.png"/>
                    <pic:cNvPicPr/>
                  </pic:nvPicPr>
                  <pic:blipFill>
                    <a:blip r:embed="rId14"/>
                    <a:stretch>
                      <a:fillRect/>
                    </a:stretch>
                  </pic:blipFill>
                  <pic:spPr>
                    <a:xfrm>
                      <a:off x="0" y="0"/>
                      <a:ext cx="5943600" cy="3467100"/>
                    </a:xfrm>
                    <a:prstGeom prst="rect"/>
                  </pic:spPr>
                </pic:pic>
              </a:graphicData>
            </a:graphic>
          </wp:inline>
        </w:drawing>
      </w:r>
    </w:p>
    <w:p>
      <w:pPr>
        <w:keepNext w:val="0"/>
        <w:jc w:val="center"/>
      </w:pPr>
      <w:r>
        <w:rPr>
          <w:rFonts w:ascii="Calibri" w:hAnsi="Calibri"/>
          <w:i/>
          <w:color w:val="596573"/>
          <w:sz w:val="18"/>
        </w:rPr>
        <w:t>Figure R4. EXP-019-EXP-027 advances only when the prior evidence and approval gate passes.</w:t>
      </w:r>
    </w:p>
    <w:p>
      <w:r>
        <w:br w:type="page"/>
      </w:r>
    </w:p>
    <w:p>
      <w:pPr>
        <w:pStyle w:val="Heading1"/>
        <w:pageBreakBefore w:val="0"/>
      </w:pPr>
      <w:r>
        <w:t>Abstract</w:t>
      </w:r>
    </w:p>
    <w:p>
      <w:r>
        <w:rPr>
          <w:b/>
        </w:rPr>
        <w:t>Context.</w:t>
      </w:r>
      <w:r>
        <w:t xml:space="preserve"> AI-assisted assessment of domain models requires interpretive judgment  -  deciding whether a recurring deviation from a reference model is a valid alternative or an error. VEGO-AI addresses this with a four-agent LLM pipeline that distinguishes substantial variability (valid alternatives) from occasional variability (errors). The pipeline already produces review signals and confidence scores that anticipate human involvement, yet no mechanism captures, stores, or reuses a human expert's response.</w:t>
      </w:r>
    </w:p>
    <w:p>
      <w:r>
        <w:rPr>
          <w:b/>
        </w:rPr>
        <w:t>Gap.</w:t>
      </w:r>
      <w:r>
        <w:t xml:space="preserve"> Across the human-AI collaboration, explainable AI, and model-assessment literatures, human feedback is treated as a transient correction: it resolves one case and is consumed. No existing system combines selective triggering, structured capture, provenance-tracked storage, and cross-case reuse of human judgment for model-variability interpretation.</w:t>
      </w:r>
    </w:p>
    <w:p>
      <w:r>
        <w:rPr>
          <w:b/>
        </w:rPr>
        <w:t>Method.</w:t>
      </w:r>
      <w:r>
        <w:t xml:space="preserve"> Following design-science methodology (Hevner et al., 2004; Peffers et al., 2007; Gregor &amp; Hevner, 2013), this thesis designs, implements, and evaluates a five-layer human-AI co-reasoning artifact that extends VEGO-AI without modifying its baseline. The layers are: a Selective Intervention Policy (M1) that routes uncertain cases to human review; a Feedback Manager (M2) that captures schema-validated expert decisions; a Human Judgment Memory (M3) that stores reusable, provenance-tracked judgments with conflict detection and explainable retrieval; an Advisory Layer (M4A) that surfaces past judgments as graded evidence while preserving the original AI classification; and a Deterministic Comparison (M4B-1) that evaluates the memory-informed assessment against the original in a parallel, non-destructive artifact.</w:t>
      </w:r>
    </w:p>
    <w:p>
      <w:r>
        <w:rPr>
          <w:b/>
        </w:rPr>
        <w:t>Results.</w:t>
      </w:r>
      <w:r>
        <w:t xml:space="preserve"> The artifact is implemented in pure Python (no LLM dependencies) and governed by evidence-consistency and protected-path checks. The accepted verification record reports both the VEGO-AI and research-script suites passing; exact counts remain attached to that dated record. It processes 179 student models across four settings, producing 27 comparison records with provenance traceability. A bias- and leakage-controlled evaluation methodology with reviewer calibration, blind expert annotation, a sealed 16/8 development/holdout split, paired net-correction analysis, and an external replication gate is preregistered.</w:t>
      </w:r>
    </w:p>
    <w:p>
      <w:r>
        <w:rPr>
          <w:b/>
        </w:rPr>
        <w:t>Honest status.</w:t>
      </w:r>
      <w:r>
        <w:t xml:space="preserve"> The thesis demonstrates mechanism validity  -  the reusable human-judgment lifecycle exists, is reproducible, and preserves the baseline. It makes no accuracy-improvement claim: independent expert labels have not yet been collected (0 of 24 generalization-safe rows labeled), and the current conservative policy changes zero classifications by design. The first next step is human-gated calibration and annotation. An eight-row holdout can provide only pilot evidence; a formal improvement claim requires a separate new education-domain set with at least 30 adjudicated rows and all preregistered statistical and safety criteria. The design-science contribution stands independently of whether the later result is positive, null, mixed, or harmful.</w:t>
      </w:r>
    </w:p>
    <w:p>
      <w:r>
        <w:rPr>
          <w:b/>
        </w:rPr>
        <w:t>Keywords:</w:t>
      </w:r>
      <w:r>
        <w:t xml:space="preserve"> human-AI collaboration, reusable human judgment, domain model assessment, variability interpretation, design-science research, VEGO-AI, human-in-the-loop</w:t>
      </w:r>
    </w:p>
    <w:p>
      <w:pPr>
        <w:pStyle w:val="Heading1"/>
        <w:pageBreakBefore/>
      </w:pPr>
      <w:r>
        <w:t>Chapter 1  -  Introduction</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docs/agent-memory/shared-state-report.md</w:t>
      </w:r>
      <w:r>
        <w:t>. States the motivation, gap, contribution, and honest scope; makes no accuracy claim.</w:t>
      </w:r>
    </w:p>
    <w:p>
      <w:pPr>
        <w:pStyle w:val="Heading2"/>
      </w:pPr>
      <w:r>
        <w:t>1.1 Motivation</w:t>
      </w:r>
    </w:p>
    <w:p>
      <w:r>
        <w:t xml:space="preserve">Consider a use-case diagram submitted by a software-engineering student. The diagram models a cinema-booking system, but instead of placing </w:t>
      </w:r>
      <w:r>
        <w:rPr>
          <w:i/>
        </w:rPr>
        <w:t>Customer</w:t>
      </w:r>
      <w:r>
        <w:t xml:space="preserve"> as a single actor connected to every use case, the student splits the role into </w:t>
      </w:r>
      <w:r>
        <w:rPr>
          <w:i/>
        </w:rPr>
        <w:t>Registered Customer</w:t>
      </w:r>
      <w:r>
        <w:t xml:space="preserve"> and </w:t>
      </w:r>
      <w:r>
        <w:rPr>
          <w:i/>
        </w:rPr>
        <w:t>Walk-In Customer</w:t>
      </w:r>
      <w:r>
        <w:t>, each linked to different interactions. An automated grading tool that compares the submission to a single reference model would flag this as an error  -  the reference has one actor, the student has two. Yet a human expert, informed by domain context and pedagogical intent, might recognize the split as a valid alternative: a defensible modeling choice that reveals the student's understanding of role-based behavior, not a misconception.</w:t>
      </w:r>
    </w:p>
    <w:p>
      <w:r>
        <w:t xml:space="preserve">This kind of interpretive judgment sits at the heart of domain-model assessment. Assessing whether a student's model is correct is not a mechanical diff against a reference; it requires reasoning about the </w:t>
      </w:r>
      <w:r>
        <w:rPr>
          <w:i/>
        </w:rPr>
        <w:t>meaning</w:t>
      </w:r>
      <w:r>
        <w:t xml:space="preserve"> of deviations  -  whether they reflect genuine errors, valid alternatives, language-level issues, or design choices that might even improve the reference. VEGO-AI (Ahmed et al., 2026) addresses this challenge with a four-agent LLM pipeline that distinguishes </w:t>
      </w:r>
      <w:r>
        <w:rPr>
          <w:b/>
        </w:rPr>
        <w:t>substantial variability</w:t>
      </w:r>
      <w:r>
        <w:t xml:space="preserve"> (valid alternatives) from </w:t>
      </w:r>
      <w:r>
        <w:rPr>
          <w:b/>
        </w:rPr>
        <w:t>occasional variability</w:t>
      </w:r>
      <w:r>
        <w:t xml:space="preserve"> (errors). Unlike single-reference grading tools (Bian et al., 2019; Ibáñez et al., 2025), VEGO-AI reasons about whether a recurring deviation is a legitimate alternative or a mistake.</w:t>
      </w:r>
    </w:p>
    <w:p>
      <w:r>
        <w:t>But VEGO-AI is fully automated. Where genuine judgment is required  -  about context, ambiguity, pedagogy, or whether a guideline itself should change  -  there is no person in the loop. The system already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even implements advanced skills for probing missed alternatives, yet these affordances remain latent: no human is asked, and no human response is captured. The judgment gap is not architectural but operational  -  VEGO-AI anticipates human involvement in its data schema but never closes the loop. A concrete instance of this gap  -  Agent 4 classifying "Customer as an actor" as an error when a human expert would recognize it as a valid alternative  -  serves as a running example throughout this thesis (§4.4, §5.6, §6.4, §7.3).</w:t>
      </w:r>
    </w:p>
    <w:p>
      <w:pPr>
        <w:pStyle w:val="Heading2"/>
      </w:pPr>
      <w:r>
        <w:t>1.2 The gap</w:t>
      </w:r>
    </w:p>
    <w:p>
      <w:r>
        <w:t xml:space="preserve">Across the human-AI collaboration literature, explanation flows mostly one way: systems explain </w:t>
      </w:r>
      <w:r>
        <w:rPr>
          <w:i/>
        </w:rPr>
        <w:t>to</w:t>
      </w:r>
      <w:r>
        <w:t xml:space="preserve"> people  -  evidence, confidence, justification  -  but rarely ingest </w:t>
      </w:r>
      <w:r>
        <w:rPr>
          <w:i/>
        </w:rPr>
        <w:t>why a human disagrees</w:t>
      </w:r>
      <w:r>
        <w:t xml:space="preserve"> (Amershi et al., 2019). Where human feedback is collected, it is typically treated as a transient correction for one case: an annotator labels a single instance, that label trains or adjusts the current model, and the judgment is consumed. It does not persist as structured, retrievable knowledge that can inform future, similar cases  -  it is not </w:t>
      </w:r>
      <w:r>
        <w:rPr>
          <w:i/>
        </w:rPr>
        <w:t>reusable</w:t>
      </w:r>
      <w:r>
        <w:t>.</w:t>
      </w:r>
    </w:p>
    <w:p>
      <w:r>
        <w:t xml:space="preserve">For AI-assisted </w:t>
      </w:r>
      <w:r>
        <w:rPr>
          <w:b/>
        </w:rPr>
        <w:t>model assessment</w:t>
      </w:r>
      <w:r>
        <w:t xml:space="preserve"> specifically  -  interpreting variability rather than generating or generically grading models  -  there is no established mechanism that captures human judgment as structured, reusable knowledge. The HITL literature offers patterns for selective oversight (Mosqueira-Rey et al., 2023), the XAI community provides transparency methods (Silva Mercado, 2024), and the AI governance literature establishes accountability principles (NIST, 2023). But none of these combine selective triggering, structured capture, provenance tracking, and cross-case reuse into a single operational loop for model-variability interpretation.</w:t>
      </w:r>
    </w:p>
    <w:p>
      <w:r>
        <w:t>VEGO-AI exhibits this gap concretely: it already explains to humans and anticipates human review in its data schema, yet never captures, stores, or reuses the expert's response. The system generates review signals that go unanswered and produces AI-only classifications where a domain expert's past judgment could inform the assessment.</w:t>
      </w:r>
    </w:p>
    <w:p>
      <w:pPr>
        <w:pStyle w:val="Heading2"/>
      </w:pPr>
      <w:r>
        <w:t>1.3 Contribution</w:t>
      </w:r>
    </w:p>
    <w:p>
      <w:r>
        <w:t xml:space="preserve">This thesis extends VEGO-AI from an automated agentic pipeline into a staged </w:t>
      </w:r>
      <w:r>
        <w:rPr>
          <w:b/>
        </w:rPr>
        <w:t>human-AI co-reasoning</w:t>
      </w:r>
      <w:r>
        <w:t xml:space="preserve"> system. The central contribution is to </w:t>
      </w:r>
      <w:r>
        <w:rPr>
          <w:b/>
        </w:rPr>
        <w:t>transform human judgment into structured, reusable knowledge for AI-assisted domain-model assessment</w:t>
      </w:r>
      <w:r>
        <w:t>. The implemented artifact proceeds in five layers:</w:t>
      </w:r>
    </w:p>
    <w:p>
      <w:pPr>
        <w:pStyle w:val="ListParagraph"/>
        <w:spacing w:after="60"/>
        <w:ind w:left="403" w:hanging="259"/>
      </w:pPr>
      <w:r>
        <w:t xml:space="preserve">1. </w:t>
      </w:r>
      <w:r>
        <w:rPr>
          <w:b/>
        </w:rPr>
        <w:t>Selective review (M1):</w:t>
      </w:r>
      <w:r>
        <w:t xml:space="preserve"> a pure-Python intervention policy identifies</w:t>
      </w:r>
    </w:p>
    <w:p>
      <w:r>
        <w:t>cases that satisfy explicit uncertainty and governance triggers and produces a persistent review queue. Whether those triggers capture the most important expert-confirmed errors is an evaluation question.</w:t>
      </w:r>
    </w:p>
    <w:p>
      <w:pPr>
        <w:pStyle w:val="ListParagraph"/>
        <w:spacing w:after="60"/>
        <w:ind w:left="403" w:hanging="259"/>
      </w:pPr>
      <w:r>
        <w:t xml:space="preserve">2. </w:t>
      </w:r>
      <w:r>
        <w:rPr>
          <w:b/>
        </w:rPr>
        <w:t>Structured feedback (M2):</w:t>
      </w:r>
      <w:r>
        <w:t xml:space="preserve"> expert decisions are captured in a schema-validated format, linked to specific AI decisions by a deterministic signature, and attached to the review queue without overwriting it.</w:t>
      </w:r>
    </w:p>
    <w:p>
      <w:pPr>
        <w:pStyle w:val="ListParagraph"/>
        <w:spacing w:after="60"/>
        <w:ind w:left="403" w:hanging="259"/>
      </w:pPr>
      <w:r>
        <w:t xml:space="preserve">3. </w:t>
      </w:r>
      <w:r>
        <w:rPr>
          <w:b/>
        </w:rPr>
        <w:t>Reusable judgment memory (M3):</w:t>
      </w:r>
      <w:r>
        <w:t xml:space="preserve"> approved, reusable feedback is promoted to a provenance-tracked memory store with conflict detection, explainable retrieval, and human-readable match reasons  -  without embeddings or LLM calls.</w:t>
      </w:r>
    </w:p>
    <w:p>
      <w:pPr>
        <w:pStyle w:val="ListParagraph"/>
        <w:spacing w:after="60"/>
        <w:ind w:left="403" w:hanging="259"/>
      </w:pPr>
      <w:r>
        <w:t xml:space="preserve">4. </w:t>
      </w:r>
      <w:r>
        <w:rPr>
          <w:b/>
        </w:rPr>
        <w:t>Advisory retrieval (M4A):</w:t>
      </w:r>
      <w:r>
        <w:t xml:space="preserve"> candidate past judgments are surfaced through</w:t>
      </w:r>
    </w:p>
    <w:p>
      <w:r>
        <w:t>deterministic match reasons as graded advisory evidence alongside each Agent 4 pattern, while preserving the original AI classification verbatim.</w:t>
      </w:r>
    </w:p>
    <w:p>
      <w:pPr>
        <w:pStyle w:val="ListParagraph"/>
        <w:spacing w:after="60"/>
        <w:ind w:left="403" w:hanging="259"/>
      </w:pPr>
      <w:r>
        <w:t xml:space="preserve">5. </w:t>
      </w:r>
      <w:r>
        <w:rPr>
          <w:b/>
        </w:rPr>
        <w:t>Non-destructive comparison (M4B-1):</w:t>
      </w:r>
      <w:r>
        <w:t xml:space="preserve"> a deterministic, parallel comparison evaluates whether the memory-informed assessment would differ from the original, writing to a separate artifact and never overwriting the baseline.</w:t>
      </w:r>
    </w:p>
    <w:p>
      <w:r>
        <w:t xml:space="preserve">The contribution is not a single "add a human step" intervention but a </w:t>
      </w:r>
      <w:r>
        <w:rPr>
          <w:i/>
        </w:rPr>
        <w:t>complete lifecycle</w:t>
      </w:r>
      <w:r>
        <w:t xml:space="preserve"> for human judgment: from selective trigger through structured capture, provenance-tracked storage, advisory retrieval, and controlled comparison  -  each layer additive and non-destructive.</w:t>
      </w:r>
    </w:p>
    <w:p>
      <w:pPr>
        <w:pStyle w:val="Heading2"/>
      </w:pPr>
      <w:r>
        <w:t>1.4 What this thesis does and does not claim</w:t>
      </w:r>
    </w:p>
    <w:p>
      <w:r>
        <w:t xml:space="preserve">The thesis claims, and demonstrates, </w:t>
      </w:r>
      <w:r>
        <w:rPr>
          <w:b/>
        </w:rPr>
        <w:t>mechanism validity</w:t>
      </w:r>
      <w:r>
        <w:t xml:space="preserve">: the reusable human-judgment loop exists, is reproducible, preserves the baseline, and produces controlled artifacts for evaluating its effect. It also contributes a </w:t>
      </w:r>
      <w:r>
        <w:rPr>
          <w:b/>
        </w:rPr>
        <w:t>bias- and leakage-controlled evaluation methodology</w:t>
      </w:r>
      <w:r>
        <w:t xml:space="preserve"> with an independent expert-annotation protocol that makes the artifact's empirical effect measurable.</w:t>
      </w:r>
    </w:p>
    <w:p>
      <w:r>
        <w:t xml:space="preserve">The thesis explicitly makes </w:t>
      </w:r>
      <w:r>
        <w:rPr>
          <w:b/>
        </w:rPr>
        <w:t>no accuracy-improvement claim</w:t>
      </w:r>
      <w:r>
        <w:t>. The reason is methodological and is treated honestly throughout: there is no independent benchmark in the data (the author-reviewed labels duplicate the AI's own output byte-for-byte), and the only existing human-memory labels are same-pattern (leakage), giving zero generalization-safe labels. Furthermore, the current deterministic comparison policy changes zero of 27 classifications, so original and memory-informed results are identical by construction.</w:t>
      </w:r>
    </w:p>
    <w:p>
      <w:r>
        <w:t>The evidence plan uses a B0-B5 ladder: frozen baseline, implemented mechanism, independent expert-labeled baseline, one development-only deterministic candidate, an eight-row sealed holdout pilot, and a new external education batch. Progress through this ladder improves evidence quality; it does not guarantee a positive accuracy result. The demonstrated value at this stage is reusable human judgment, traceability, provenance, and escalation. A formal improvement statement remains conditional on external paired evidence and all preregistered safety gates.</w:t>
      </w:r>
    </w:p>
    <w:p>
      <w:pPr>
        <w:pStyle w:val="Heading2"/>
      </w:pPr>
      <w:r>
        <w:t>1.5 Thesis structure</w:t>
      </w:r>
    </w:p>
    <w:p>
      <w:r>
        <w:t>The remainder of this thesis is organized as follows.</w:t>
      </w:r>
    </w:p>
    <w:p>
      <w:r>
        <w:rPr>
          <w:b/>
        </w:rPr>
        <w:t>Chapter 2</w:t>
      </w:r>
      <w:r>
        <w:t xml:space="preserve"> surveys related work across LLM-assisted domain modeling, AI-assisted model assessment, human-AI collaboration patterns, explainability and expert feedback, and design-science methodology. It identifies the gap that motivates this work: human judgment is treated as transient correction rather than reusable knowledge.</w:t>
      </w:r>
    </w:p>
    <w:p>
      <w:r>
        <w:rPr>
          <w:b/>
        </w:rPr>
        <w:t>Chapter 3</w:t>
      </w:r>
      <w:r>
        <w:t xml:space="preserve"> defines the research problem, the main research question and five design sub-questions, plus three empirical evaluation questions and four explicitly testable hypotheses.</w:t>
      </w:r>
    </w:p>
    <w:p>
      <w:r>
        <w:rPr>
          <w:b/>
        </w:rPr>
        <w:t>Chapter 4</w:t>
      </w:r>
      <w:r>
        <w:t xml:space="preserve"> describes the original, unmodified VEGO-AI baseline pipeline (C0), including its four-agent architecture, evaluation pipeline, datasets, and the latent human-review affordances that motivate the thesis contribution.</w:t>
      </w:r>
    </w:p>
    <w:p>
      <w:r>
        <w:rPr>
          <w:b/>
        </w:rPr>
        <w:t>Chapter 5</w:t>
      </w:r>
      <w:r>
        <w:t xml:space="preserve"> presents the human-AI co-reasoning artifact (M1-M4B-1), detailing the design rationale, implementation, and schema decisions for each layer.</w:t>
      </w:r>
    </w:p>
    <w:p>
      <w:r>
        <w:rPr>
          <w:b/>
        </w:rPr>
        <w:t>Chapter 6</w:t>
      </w:r>
      <w:r>
        <w:t xml:space="preserve"> defines the evaluation methodology, including the B0-B5 ladder, paired net-correction metric, reviewer calibration, independent annotation, sealed development/holdout split, external replication, and evidence gates.</w:t>
      </w:r>
    </w:p>
    <w:p>
      <w:r>
        <w:rPr>
          <w:b/>
        </w:rPr>
        <w:t>Chapter 7</w:t>
      </w:r>
      <w:r>
        <w:t xml:space="preserve"> reports the experimental results available at the time of writing  -  mechanism evidence and prototype-scale evidence  -  and identifies the pending empirical results that require expert labels.</w:t>
      </w:r>
    </w:p>
    <w:p>
      <w:r>
        <w:rPr>
          <w:b/>
        </w:rPr>
        <w:t>Chapter 8</w:t>
      </w:r>
      <w:r>
        <w:t xml:space="preserve"> analyses threats to validity across construct, internal, conclusion, external, and ethical dimensions.</w:t>
      </w:r>
    </w:p>
    <w:p>
      <w:r>
        <w:rPr>
          <w:b/>
        </w:rPr>
        <w:t>Chapter 9</w:t>
      </w:r>
      <w:r>
        <w:t xml:space="preserve"> discusses the implications of the work, derives transferable design principles, compares findings with related work, and addresses each research question.</w:t>
      </w:r>
    </w:p>
    <w:p>
      <w:r>
        <w:rPr>
          <w:b/>
        </w:rPr>
        <w:t>Chapter 10</w:t>
      </w:r>
      <w:r>
        <w:t xml:space="preserve"> concludes the thesis, summarizes contributions and honest status, and outlines PhD continuation directions.</w:t>
      </w:r>
    </w:p>
    <w:p>
      <w:pPr>
        <w:pStyle w:val="Heading1"/>
        <w:pageBreakBefore/>
      </w:pPr>
      <w:r>
        <w:t>Chapter 2  -  Background and Related Work</w:t>
      </w:r>
    </w:p>
    <w:p>
      <w:pPr>
        <w:pStyle w:val="EvidenceCallout"/>
        <w:shd w:fill="EEF5FA"/>
        <w:pBdr>
          <w:left w:val="single" w:sz="18" w:space="8" w:color="2E74B5"/>
        </w:pBdr>
      </w:pPr>
      <w:r>
        <w:t xml:space="preserve">Draft. </w:t>
      </w:r>
      <w:r>
        <w:rPr>
          <w:b/>
        </w:rPr>
        <w:t>All citations are real</w:t>
      </w:r>
      <w:r>
        <w:t>, taken from the VEGO-AI (MAS4Models 2026) paper's own bibliography and the curated resource pack (</w:t>
      </w:r>
      <w:r>
        <w:rPr>
          <w:rFonts w:ascii="Consolas" w:hAnsi="Consolas"/>
          <w:color w:val="1F4D78"/>
          <w:sz w:val="18"/>
        </w:rPr>
        <w:t>literature/hitl-resource-pack/bibliography.bib</w:t>
      </w:r>
      <w:r>
        <w:t xml:space="preserve">). Full entries are listed in §2.9. Organized by the taxonomy in </w:t>
      </w:r>
      <w:r>
        <w:rPr>
          <w:rFonts w:ascii="Consolas" w:hAnsi="Consolas"/>
          <w:color w:val="1F4D78"/>
          <w:sz w:val="18"/>
        </w:rPr>
        <w:t>docs/research/literature-review-taxonomy.md</w:t>
      </w:r>
      <w:r>
        <w:t>. No accuracy claim.</w:t>
      </w:r>
    </w:p>
    <w:p>
      <w:pPr>
        <w:pStyle w:val="Heading2"/>
      </w:pPr>
      <w:r>
        <w:t>2.1 Review lens and scope</w:t>
      </w:r>
    </w:p>
    <w:p>
      <w:r>
        <w:t xml:space="preserve">This chapter positions the thesis contribution  -  </w:t>
      </w:r>
      <w:r>
        <w:rPr>
          <w:i/>
        </w:rPr>
        <w:t>human judgment that is selectively triggered, structurally captured, and stored as reusable knowledge for future variability interpretation</w:t>
      </w:r>
      <w:r>
        <w:t xml:space="preserve">  -  against prior work. The review spans six areas: LLM-assisted domain modeling, AI-assisted model assessment, the meaning of </w:t>
      </w:r>
      <w:r>
        <w:rPr>
          <w:i/>
        </w:rPr>
        <w:t>variability</w:t>
      </w:r>
      <w:r>
        <w:t xml:space="preserve"> in models, human-AI collaboration patterns, explainability and reusable expert knowledge, and design-science methodology.</w:t>
      </w:r>
    </w:p>
    <w:p>
      <w:r>
        <w:t xml:space="preserve">For each area, the relevant question is not only </w:t>
      </w:r>
      <w:r>
        <w:rPr>
          <w:i/>
        </w:rPr>
        <w:t>what the system does</w:t>
      </w:r>
      <w:r>
        <w:t xml:space="preserve"> but </w:t>
      </w:r>
      <w:r>
        <w:rPr>
          <w:i/>
        </w:rPr>
        <w:t>what role it assigns to human judgment</w:t>
      </w:r>
      <w:r>
        <w:t xml:space="preserve"> and </w:t>
      </w:r>
      <w:r>
        <w:rPr>
          <w:i/>
        </w:rPr>
        <w:t>whether that judgment is reused</w:t>
      </w:r>
      <w:r>
        <w:t>. This lens is intentional: the thesis does not claim to introduce human involvement into AI systems for the first time, but rather to show that the specific combination of selective triggering, structured capture, provenance-tracked storage, and cross-case reuse is absent from prior work in the model-assessment context. The review concludes with a gap synthesis (§2.8) that positions the contribution.</w:t>
      </w:r>
    </w:p>
    <w:p>
      <w:pPr>
        <w:pStyle w:val="Heading2"/>
      </w:pPr>
      <w:r>
        <w:t>2.2 LLM-assisted domain modeling and generation</w:t>
      </w:r>
    </w:p>
    <w:p>
      <w:r>
        <w:t>A growing body of work applies large language models to produce or assist conceptual models, establishing the technical context in which VEGO-AI operates. Cámara et al. (2023) report on generative AI in modeling tasks with ChatGPT and UML, finding that while LLMs can produce syntactically plausible diagrams, the semantic quality varies considerably and human verification remains essential. Chaaben et al. (2024) study the utility of domain-modeling assistance with LLMs and reach a similar conclusion: human modelers are still necessary to repair inaccuracies, particularly for domain-specific constraints that the LLM does not encode.</w:t>
      </w:r>
    </w:p>
    <w:p>
      <w:r>
        <w:t>On the generation side, Calamo et al. (2025) assess LLM suitability for generating UML class diagrams as conceptual models, reporting that generated diagrams often capture surface-level structure but miss deeper domain relationships. Bragilovski et al. (2025) derive domain models from user stories, demonstrating that LLMs can bridge the requirements-to-model gap but introducing new questions about how to validate the resulting models. Rajbhoj et al. (2025, LLM4Model) author requirements-specification models with LLM assistance, and Ferrari et al. (2024) generate UML sequence diagrams from requirements.</w:t>
      </w:r>
    </w:p>
    <w:p>
      <w:r>
        <w:t>At the architecture level, multi-agent approaches are emerging as a way to distribute modeling concerns across specialized roles. Dam (2025) proposes multi-agentic AI for automated software design and modeling, arguing that single-agent approaches cannot handle the combinatorial complexity of real-world design. Sami et al. (2024) experiment with multi-agent software development, and Jin et al. (2024) survey the broader shift from monolithic LLMs to LLM-based agent systems in software engineering.</w:t>
      </w:r>
    </w:p>
    <w:p>
      <w:r>
        <w:t xml:space="preserve">Three patterns emerge from this body of work. First, LLMs are increasingly capable of producing models, but human judgment remains necessary for semantic validation. Second, multi-agent architectures are gaining traction as a way to manage modeling complexity. Third, none of these systems provide a mechanism for </w:t>
      </w:r>
      <w:r>
        <w:rPr>
          <w:i/>
        </w:rPr>
        <w:t>capturing and reusing</w:t>
      </w:r>
      <w:r>
        <w:t xml:space="preserve"> the human judgments that arise during validation  -  the expert corrects the model, but the correction is consumed once and not stored for similar future cases. VEGO-AI belongs to this multi-agent lineage but targets </w:t>
      </w:r>
      <w:r>
        <w:rPr>
          <w:i/>
        </w:rPr>
        <w:t>assessment and variability interpretation</w:t>
      </w:r>
      <w:r>
        <w:t xml:space="preserve"> rather than generation, and  -  unlike these systems  -  it operationalizes a reusable human-judgment loop.</w:t>
      </w:r>
    </w:p>
    <w:p>
      <w:pPr>
        <w:pStyle w:val="Heading2"/>
      </w:pPr>
      <w:r>
        <w:t>2.3 AI-assisted model assessment and grading</w:t>
      </w:r>
    </w:p>
    <w:p>
      <w:r>
        <w:t>A second line of research automates the grading or criticism of student and domain models. This is the most directly relevant technical context for VEGO-AI, because the thesis artifact operates within an assessment pipeline rather than a generation pipeline.</w:t>
      </w:r>
    </w:p>
    <w:p>
      <w:r>
        <w:t>Early work by Auxepaules et al. (2008) matches class diagrams in a learning environment, establishing the pattern of comparing student submissions against a reference model. Bian et al. (2019, 2020) automate class-diagram grading and then critically examine whether such automated grading is effective, finding that while structural matching can identify surface-level deviations, it struggles with semantically equivalent alternatives. Singh et al. (2022) detect mistakes in a domain model, and Hamann et al. (2024) build an interoperable automated assessment system for CS education, focusing on architectural integration across assessment tools.</w:t>
      </w:r>
    </w:p>
    <w:p>
      <w:r>
        <w:t>More recently, LLM-as-grader studies have produced cautionary findings about the limits of fully automated assessment. Bouali et al. (2025) compare LLM-generated scores with teaching-assistant grades and find significant discrepancies, particularly for models that deviate from the expected structure in valid ways. Ibáñez et al. (2025) ask whether multimodal LLMs can grade UML class diagrams like an expert and report systematic accuracy limits, especially for nuanced quality judgments that require domain context. Chen et al. (2024) propose embedding-based automated assessment of domain models, achieving structural similarity scores but not interpretive classification. Ahmed et al. (2025, MCeT) evaluate behavioral-model correctness with LLMs, focusing on state machines and sequence diagrams.</w:t>
      </w:r>
    </w:p>
    <w:p>
      <w:r>
        <w:t>These works share a common limitation: a single-reference, error-centric stance in which deviation from the reference is treated as defect. This is appropriate when the reference is authoritative and deviations are unambiguously wrong, but it breaks down precisely where domain-model assessment is most interesting  -  when a student's deviation represents a valid alternative interpretation. VEGO-AI's substantial-vs-occasional distinction is a direct response to this limitation, and this thesis adds the missing capability: capturing and reusing the human judgment that decides which deviations are valid.</w:t>
      </w:r>
    </w:p>
    <w:p>
      <w:pPr>
        <w:pStyle w:val="Heading2"/>
      </w:pPr>
      <w:r>
        <w:t>2.4 Variability in models</w:t>
      </w:r>
    </w:p>
    <w:p>
      <w:r>
        <w:t xml:space="preserve">The term </w:t>
      </w:r>
      <w:r>
        <w:rPr>
          <w:i/>
        </w:rPr>
        <w:t>variability</w:t>
      </w:r>
      <w:r>
        <w:t xml:space="preserve"> has a rich software-engineering heritage that grounds VEGO-AI's usage and distinguishes it from generic notions of "difference" or "error."</w:t>
      </w:r>
    </w:p>
    <w:p>
      <w:r>
        <w:t>In software product lines, variability refers to the planned, managed ability of a system to differ across configurations. Pohl et al. (2005) establish the foundational framework for software-product-line engineering, defining variability as a first-class design concern. Metzger and Pohl (2014) survey achievements and challenges in variability management, noting that the field has matured from ad-hoc difference management to systematic, tool-supported variability modeling. Systematic literature reviews by Galster et al. (2013), Pol'la et al. (2021), and El-Sharkawy et al. (2019) survey variability and its metrics across software systems. Rosa et al. (2017) extend variability modeling to business processes, and Ananieva et al. (2022) propose a conceptual model unifying variability in space (across product variants) and time (across evolution).</w:t>
      </w:r>
    </w:p>
    <w:p>
      <w:r>
        <w:t xml:space="preserve">VEGO-AI narrows this broad concept to </w:t>
      </w:r>
      <w:r>
        <w:rPr>
          <w:b/>
        </w:rPr>
        <w:t>assessment-time variability</w:t>
      </w:r>
      <w:r>
        <w:t xml:space="preserve">  -  distinguishing valid alternatives from errors in student domain models at the point of evaluation. This is a different concern from product-line variability management: the question is not "how should we plan for variation" but "is this observed variation a valid interpretation or a mistake." The product-line-centric treatments do not address this interpretive, judgment-laden aspect of variability. It is precisely this interpretive nature that makes human judgment essential: an automated tool can detect that a deviation exists, but deciding whether it represents a valid alternative requires contextual reasoning that draws on domain expertise, pedagogical goals, and precedent  -  the kind of reasoning that, once made, should be preserved for reuse.</w:t>
      </w:r>
    </w:p>
    <w:p>
      <w:pPr>
        <w:pStyle w:val="Heading2"/>
      </w:pPr>
      <w:r>
        <w:t>2.5 Human-AI collaboration: in-the-loop, on-the-loop, and co-reasoning</w:t>
      </w:r>
    </w:p>
    <w:p>
      <w:r>
        <w:t>The most directly relevant work for the thesis contribution concerns where the human sits relative to the AI system and what role their input plays. The literature distinguishes several patterns, which this section organizes into a progression from supervisory to collaborative.</w:t>
      </w:r>
    </w:p>
    <w:p>
      <w:r>
        <w:rPr>
          <w:b/>
        </w:rPr>
        <w:t>Human-in-the-loop (HITL)</w:t>
      </w:r>
      <w:r>
        <w:t xml:space="preserve"> systems place the human as a necessary participant in each decision cycle. The human labels, corrects, or approves before the system proceeds. Mosqueira-Rey et al. (2023) provide a comprehensive survey of HITL machine learning, identifying patterns such as active learning, interactive labeling, and human-guided training. The defining characteristic is that the human's input is consumed immediately  -  it improves the current model iteration but is not stored as a separable, retrievable knowledge asset.</w:t>
      </w:r>
    </w:p>
    <w:p>
      <w:r>
        <w:rPr>
          <w:b/>
        </w:rPr>
        <w:t>Human-on-the-loop (HOTL)</w:t>
      </w:r>
      <w:r>
        <w:t xml:space="preserve"> systems allow the AI to operate autonomously by default, with the human monitoring and intervening by exception. The NIST AI Risk Management Framework (2023) frames human oversight in these terms, emphasizing accountable use and the importance of meaningful human control. This pattern reduces the human's workload but retains the same transience problem: when the human does intervene, their judgment typically corrects the current case without being preserved for future similar cases.</w:t>
      </w:r>
    </w:p>
    <w:p>
      <w:r>
        <w:rPr>
          <w:b/>
        </w:rPr>
        <w:t>Human-AI co-reasoning</w:t>
      </w:r>
      <w:r>
        <w:t xml:space="preserve"> is a newer, less standardized concept in which both the human and the AI contribute reasoning that remains visible, attributable, and potentially reusable. The term implies a partnership in which neither party's contribution is consumed and discarded: the AI's evidence and the human's judgment coexist as inspectable, persistent artifacts.</w:t>
      </w:r>
    </w:p>
    <w:p>
      <w:r>
        <w:t xml:space="preserve">In the domain-modeling context, Silva et al. (2025) explicitly propose </w:t>
      </w:r>
      <w:r>
        <w:rPr>
          <w:i/>
        </w:rPr>
        <w:t>human-in-the-loop LLM-enabled domain modeling</w:t>
      </w:r>
      <w:r>
        <w:t xml:space="preserve">, establishing the most directly relevant precedent. Ali et al. (2024) study how LLMs are used for conceptual modeling, examining interaction behavior and user perception. Klievtsova et al. (2023) investigate conversational and iterative process modeling, where the human and AI take turns refining a model. At the earliest end of the timeline, Tselonis et al. (2005) frame diagram matching as </w:t>
      </w:r>
      <w:r>
        <w:rPr>
          <w:i/>
        </w:rPr>
        <w:t>human-computer collaborative assessment</w:t>
      </w:r>
      <w:r>
        <w:t>, anticipating the idea that assessment is a joint activity.</w:t>
      </w:r>
    </w:p>
    <w:p>
      <w:r>
        <w:t xml:space="preserve">Beyond the modeling literature, Amershi et al. (2019) provide widely-adopted </w:t>
      </w:r>
      <w:r>
        <w:rPr>
          <w:i/>
        </w:rPr>
        <w:t>Guidelines for Human-AI Interaction</w:t>
      </w:r>
      <w:r>
        <w:t xml:space="preserve"> that establish principles for when and how AI systems should involve humans  -  principles that inform the selective intervention policy of this thesis. The guidelines emphasize making the AI's uncertainty visible, supporting efficient correction, and learning from human input  -  but they do not prescribe how that input should be stored and reused across cases.</w:t>
      </w:r>
    </w:p>
    <w:p>
      <w:r>
        <w:t xml:space="preserve">The thesis positions its contribution between the on-the-loop and co-reasoning patterns. It is on-the-loop in that the Selective Intervention Policy escalates by exception rather than reviewing every case. It is co-reasoning in that the human's rationale becomes durable, retrievable evidence that informs later assessments  -  not a correction that is consumed and forgotten. The distinctive move relative to the surveyed literature is </w:t>
      </w:r>
      <w:r>
        <w:rPr>
          <w:b/>
        </w:rPr>
        <w:t>persistence and reuse</w:t>
      </w:r>
      <w:r>
        <w:t>: a judgment about, say, "Customer as an actor" is not discarded after one case but stored with scope, provenance, and conflict status, and surfaced when a similar pattern recurs in a different setting or model.</w:t>
      </w:r>
    </w:p>
    <w:p>
      <w:pPr>
        <w:pStyle w:val="Heading2"/>
      </w:pPr>
      <w:r>
        <w:t>2.6 Explainability, expert feedback, and reusable knowledge</w:t>
      </w:r>
    </w:p>
    <w:p>
      <w:r>
        <w:t xml:space="preserve">VEGO-AI already exposes evidence, justification, and confidence to its users, placing it within the explainable AI tradition. The relevant external anchor is Silva Mercado (2024) on </w:t>
      </w:r>
      <w:r>
        <w:rPr>
          <w:i/>
        </w:rPr>
        <w:t>AI-assisted domain modeling explainability and traceability</w:t>
      </w:r>
      <w:r>
        <w:t xml:space="preserve">, which motivates the transparent, embedding-free </w:t>
      </w:r>
      <w:r>
        <w:rPr>
          <w:rFonts w:ascii="Consolas" w:hAnsi="Consolas"/>
          <w:color w:val="1F4D78"/>
          <w:sz w:val="18"/>
        </w:rPr>
        <w:t>match_reasons</w:t>
      </w:r>
      <w:r>
        <w:t xml:space="preserve"> of the judgment memory (M3)  -  the idea that reuse decisions should be as inspectable as the original AI decisions.</w:t>
      </w:r>
    </w:p>
    <w:p>
      <w:r>
        <w:t>The crucial gap across the surveyed assessment and collaboration work is that human feedback, when collected, is consumed once and discarded. In HITL machine learning, annotator labels feed into the training loop and are absorbed into model weights  -  the individual judgment is no longer retrievable as a separable knowledge item. In interactive modeling tools, the user's correction fixes the current model but does not create a persistent record that can be retrieved when a similar situation arises later. In assessment systems, the grader's override resolves a single case but is not indexed by pattern, domain, or diagram type for future lookup.</w:t>
      </w:r>
    </w:p>
    <w:p>
      <w:r>
        <w:t>This thesis's Human Judgment Memory (M3) is precisely such a store: a structured, provenance-tracked collection of expert judgments that can be queried by domain, diagram type, guideline, and keyword overlap, with human-readable match reasons explaining why a past judgment is relevant to a current case. The store does not rely on embeddings or LLM calls  -  it uses deterministic, explainable matching  -  and it surfaces conflicts rather than auto-resolving them. This design choice reflects a deliberate stance: the reuse mechanism should be as transparent and auditable as the original AI decision, so that the human can trust and verify the advice rather than accepting it as an opaque recommendation.</w:t>
      </w:r>
    </w:p>
    <w:p>
      <w:pPr>
        <w:pStyle w:val="Heading2"/>
      </w:pPr>
      <w:r>
        <w:t>2.7 Design-science methodology</w:t>
      </w:r>
    </w:p>
    <w:p>
      <w:r>
        <w:t>The work is framed as design science, following the established tradition of building and evaluating IT artifacts to solve identified field problems. Hevner et al. (2004) define the foundational framework for design-science research in information systems, establishing seven guidelines including relevance, design as an artifact, design evaluation, and research contributions. Peffers et al. (2007) refine this into a structured process model  -  problem identification, objectives, design and development, demonstration, evaluation, and communication  -  that this thesis follows. Gregor and Hevner (2013) further classify design-science contributions into levels of maturity, from specific instantiations to generalizable design theories.</w:t>
      </w:r>
    </w:p>
    <w:p>
      <w:r>
        <w:t xml:space="preserve">This thesis operates at the </w:t>
      </w:r>
      <w:r>
        <w:rPr>
          <w:i/>
        </w:rPr>
        <w:t>situated implementation</w:t>
      </w:r>
      <w:r>
        <w:t xml:space="preserve"> level: the artifact (the reusable human-judgment layer) is built and demonstrated within a specific system (VEGO-AI), and the evaluation methodology is designed to establish both mechanism validity (the artifact works as intended) and empirical effect (the artifact changes assessment quality). The design-science framing is important because it legitimizes the mechanism contribution even before empirical results are available: a well-designed, well-evaluated artifact that closes a real gap is a research contribution in its own right, independent of whether the eventual accuracy measurements show improvement (Hevner et al., 2004).</w:t>
      </w:r>
    </w:p>
    <w:p>
      <w:r>
        <w:t>The contribution types are kept distinct throughout the thesis: a literature-review contribution (the taxonomy and gap analysis of §2.1-§2.8), a design contribution (the co-reasoning architecture, feedback schema, and judgment-memory concept of Chapter 5), a technical prototype (the implemented and tested M1-M4B-1 pipeline of Chapter 5), and a planned empirical contribution (the leakage-aware evaluation of Chapter 6). This separation follows Gregor and Hevner's (2013) recommendation to be explicit about which knowledge types a design-science study contributes.</w:t>
      </w:r>
    </w:p>
    <w:p>
      <w:pPr>
        <w:pStyle w:val="Heading2"/>
      </w:pPr>
      <w:r>
        <w:t>2.8 Gap and positioning</w:t>
      </w:r>
    </w:p>
    <w:p>
      <w:r>
        <w:t>Synthesizing the above six areas, four interrelated gaps emerge that together define the space this thesis occupies:</w:t>
      </w:r>
    </w:p>
    <w:p>
      <w:pPr>
        <w:pStyle w:val="ListParagraph"/>
        <w:spacing w:after="60"/>
        <w:ind w:left="403" w:hanging="259"/>
      </w:pPr>
      <w:r>
        <w:t xml:space="preserve">1. </w:t>
      </w:r>
      <w:r>
        <w:rPr>
          <w:b/>
        </w:rPr>
        <w:t>One-way explanation.</w:t>
      </w:r>
      <w:r>
        <w:t xml:space="preserve"> Explanation is mature but mostly flows AI→human. Systems explain their decisions to people (evidence, confidence, justification) but rarely ingest </w:t>
      </w:r>
      <w:r>
        <w:rPr>
          <w:i/>
        </w:rPr>
        <w:t>why</w:t>
      </w:r>
      <w:r>
        <w:t xml:space="preserve"> a human disagrees in a structured, reusable form.</w:t>
      </w:r>
    </w:p>
    <w:p>
      <w:pPr>
        <w:pStyle w:val="ListParagraph"/>
        <w:spacing w:after="60"/>
        <w:ind w:left="403" w:hanging="259"/>
      </w:pPr>
      <w:r>
        <w:t xml:space="preserve">2. </w:t>
      </w:r>
      <w:r>
        <w:rPr>
          <w:b/>
        </w:rPr>
        <w:t>Transient judgment.</w:t>
      </w:r>
      <w:r>
        <w:t xml:space="preserve"> Human judgment is treated as a transient correction  -  a label, an override, a free-text comment  -  that resolves one case. It is not stored as durable, indexed knowledge that can be retrieved for similar future cases.</w:t>
      </w:r>
    </w:p>
    <w:p>
      <w:pPr>
        <w:pStyle w:val="ListParagraph"/>
        <w:spacing w:after="60"/>
        <w:ind w:left="403" w:hanging="259"/>
      </w:pPr>
      <w:r>
        <w:t xml:space="preserve">3. </w:t>
      </w:r>
      <w:r>
        <w:rPr>
          <w:b/>
        </w:rPr>
        <w:t>Generation over assessment.</w:t>
      </w:r>
      <w:r>
        <w:t xml:space="preserve"> Collaboration is studied extensively for model </w:t>
      </w:r>
      <w:r>
        <w:rPr>
          <w:i/>
        </w:rPr>
        <w:t>generation</w:t>
      </w:r>
      <w:r>
        <w:t xml:space="preserve"> and generic </w:t>
      </w:r>
      <w:r>
        <w:rPr>
          <w:i/>
        </w:rPr>
        <w:t>grading</w:t>
      </w:r>
      <w:r>
        <w:t xml:space="preserve">, but not for </w:t>
      </w:r>
      <w:r>
        <w:rPr>
          <w:i/>
        </w:rPr>
        <w:t>interpreting model variability</w:t>
      </w:r>
      <w:r>
        <w:t xml:space="preserve">  -  the specific task of deciding whether a recurring deviation is a valid alternative or an error.</w:t>
      </w:r>
    </w:p>
    <w:p>
      <w:pPr>
        <w:pStyle w:val="ListParagraph"/>
        <w:spacing w:after="60"/>
        <w:ind w:left="403" w:hanging="259"/>
      </w:pPr>
      <w:r>
        <w:t xml:space="preserve">4. </w:t>
      </w:r>
      <w:r>
        <w:rPr>
          <w:b/>
        </w:rPr>
        <w:t>Unused signals.</w:t>
      </w:r>
      <w:r>
        <w:t xml:space="preserve"> Where systems even compute the signals that would route work to a human (confidence scores, review flags, uncertainty indicators), they rarely act on them. VEGO-AI is a concrete example: it produces </w:t>
      </w:r>
      <w:r>
        <w:rPr>
          <w:rFonts w:ascii="Consolas" w:hAnsi="Consolas"/>
          <w:color w:val="1F4D78"/>
          <w:sz w:val="18"/>
        </w:rPr>
        <w:t>requires_human_review</w:t>
      </w:r>
      <w:r>
        <w:t xml:space="preserve"> and </w:t>
      </w:r>
      <w:r>
        <w:rPr>
          <w:rFonts w:ascii="Consolas" w:hAnsi="Consolas"/>
          <w:color w:val="1F4D78"/>
          <w:sz w:val="18"/>
        </w:rPr>
        <w:t>human_review_reason</w:t>
      </w:r>
      <w:r>
        <w:t xml:space="preserve"> fields that no component ever reads.</w:t>
      </w:r>
    </w:p>
    <w:p>
      <w:r>
        <w:t xml:space="preserve">VEGO-AI exhibits all four gaps concretely. This thesis closes them with a layer that </w:t>
      </w:r>
      <w:r>
        <w:rPr>
          <w:b/>
        </w:rPr>
        <w:t>captures human judgment as structured, reusable knowledge and applies it non-destructively to variability assessment</w:t>
      </w:r>
      <w:r>
        <w:t xml:space="preserve">  -  the contribution detailed in Chapters 3-5.</w:t>
      </w:r>
    </w:p>
    <w:p>
      <w:r>
        <w:t>Table 2.1 summarizes the positioning against the surveyed literature.</w:t>
      </w:r>
    </w:p>
    <w:tbl>
      <w:tblPr>
        <w:tblStyle w:val="TableGrid"/>
        <w:tblW w:type="dxa" w:w="9360"/>
        <w:jc w:val="left"/>
        <w:tblLayout w:type="fixed"/>
        <w:tblLook w:firstColumn="1" w:firstRow="1" w:lastColumn="0" w:lastRow="0" w:noHBand="0" w:noVBand="1" w:val="04A0"/>
        <w:tblInd w:w="120" w:type="dxa"/>
      </w:tblPr>
      <w:tblGrid>
        <w:gridCol w:w="1806"/>
        <w:gridCol w:w="3613"/>
        <w:gridCol w:w="3941"/>
      </w:tblGrid>
      <w:tr>
        <w:trPr>
          <w:cantSplit/>
          <w:tblHeader w:val="true"/>
        </w:trPr>
        <w:tc>
          <w:tcPr>
            <w:tcW w:type="dxa" w:w="18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Dimension</w:t>
            </w:r>
          </w:p>
        </w:tc>
        <w:tc>
          <w:tcPr>
            <w:tcW w:type="dxa" w:w="36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Prior work</w:t>
            </w:r>
          </w:p>
        </w:tc>
        <w:tc>
          <w:tcPr>
            <w:tcW w:type="dxa" w:w="394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This thesis</w:t>
            </w:r>
          </w:p>
        </w:tc>
      </w:tr>
      <w:tr>
        <w:trPr>
          <w:cantSplit/>
        </w:trPr>
        <w:tc>
          <w:tcPr>
            <w:tcW w:type="dxa" w:w="180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Human role</w:t>
            </w:r>
          </w:p>
        </w:tc>
        <w:tc>
          <w:tcPr>
            <w:tcW w:type="dxa" w:w="36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Correct, label, or approve (consumed once)</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Capture as reusable, provenance-tracked knowledge</w:t>
            </w:r>
          </w:p>
        </w:tc>
      </w:tr>
      <w:tr>
        <w:trPr>
          <w:cantSplit/>
        </w:trPr>
        <w:tc>
          <w:tcPr>
            <w:tcW w:type="dxa" w:w="18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Feedback persistence</w:t>
            </w:r>
          </w:p>
        </w:tc>
        <w:tc>
          <w:tcPr>
            <w:tcW w:type="dxa" w:w="36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Transient (absorbed into model or discarded)</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Durable memory with conflict detection and retrieval</w:t>
            </w:r>
          </w:p>
        </w:tc>
      </w:tr>
      <w:tr>
        <w:trPr>
          <w:cantSplit/>
        </w:trPr>
        <w:tc>
          <w:tcPr>
            <w:tcW w:type="dxa" w:w="180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Reuse mechanism</w:t>
            </w:r>
          </w:p>
        </w:tc>
        <w:tc>
          <w:tcPr>
            <w:tcW w:type="dxa" w:w="36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None (or implicit via retraining)</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Explicit, explainable, embedding-free matching</w:t>
            </w:r>
          </w:p>
        </w:tc>
      </w:tr>
      <w:tr>
        <w:trPr>
          <w:cantSplit/>
        </w:trPr>
        <w:tc>
          <w:tcPr>
            <w:tcW w:type="dxa" w:w="180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Assessment target</w:t>
            </w:r>
          </w:p>
        </w:tc>
        <w:tc>
          <w:tcPr>
            <w:tcW w:type="dxa" w:w="36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Generic grading or generation</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Variability interpretation (substantial vs occasional)</w:t>
            </w:r>
          </w:p>
        </w:tc>
      </w:tr>
      <w:tr>
        <w:trPr>
          <w:cantSplit/>
        </w:trPr>
        <w:tc>
          <w:tcPr>
            <w:tcW w:type="dxa" w:w="18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AI output preservation</w:t>
            </w:r>
          </w:p>
        </w:tc>
        <w:tc>
          <w:tcPr>
            <w:tcW w:type="dxa" w:w="36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Often modified by human input</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Preserved verbatim; comparison is parallel and non-destructive</w:t>
            </w:r>
          </w:p>
        </w:tc>
      </w:tr>
      <w:tr>
        <w:trPr>
          <w:cantSplit/>
        </w:trPr>
        <w:tc>
          <w:tcPr>
            <w:tcW w:type="dxa" w:w="18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Explanation direction</w:t>
            </w:r>
          </w:p>
        </w:tc>
        <w:tc>
          <w:tcPr>
            <w:tcW w:type="dxa" w:w="36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AI→human</w:t>
            </w:r>
          </w:p>
        </w:tc>
        <w:tc>
          <w:tcPr>
            <w:tcW w:type="dxa" w:w="394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Bidirectional (AI explains; human explains back)</w:t>
            </w:r>
          </w:p>
        </w:tc>
      </w:tr>
    </w:tbl>
    <w:p>
      <w:pPr>
        <w:spacing w:after="40"/>
      </w:pPr>
    </w:p>
    <w:p>
      <w:pPr>
        <w:pStyle w:val="Heading2"/>
      </w:pPr>
      <w:r>
        <w:t>2.9 References (verified)</w:t>
      </w:r>
    </w:p>
    <w:p>
      <w:r>
        <w:t>From the VEGO-AI (MAS4Models 2026) bibliography:</w:t>
      </w:r>
    </w:p>
    <w:p>
      <w:pPr>
        <w:pStyle w:val="ListBullet"/>
      </w:pPr>
      <w:r>
        <w:t xml:space="preserve">Ahmed, K., Song, J., Chen, B., Wei, O., &amp; Zheng, B. (2025). </w:t>
      </w:r>
      <w:r>
        <w:rPr>
          <w:i/>
        </w:rPr>
        <w:t>MCeT: Behavioral Model Correctness Evaluation using Large Language Models.</w:t>
      </w:r>
      <w:r>
        <w:t xml:space="preserve"> Proc. ACM/IEEE 28th MODELS, 84-95.</w:t>
      </w:r>
    </w:p>
    <w:p>
      <w:pPr>
        <w:pStyle w:val="ListBullet"/>
      </w:pPr>
      <w:r>
        <w:t xml:space="preserve">Ali, S. J., Reinhartz-Berger, I., &amp; Bork, D. (2024). </w:t>
      </w:r>
      <w:r>
        <w:rPr>
          <w:i/>
        </w:rPr>
        <w:t>How are LLMs used for conceptual modeling? An exploratory study on interaction behavior and user perception.</w:t>
      </w:r>
      <w:r>
        <w:t xml:space="preserve"> Int. Conf. Conceptual Modeling, 257-275. Springer.</w:t>
      </w:r>
    </w:p>
    <w:p>
      <w:pPr>
        <w:pStyle w:val="ListBullet"/>
      </w:pPr>
      <w:r>
        <w:t xml:space="preserve">Ananieva, S., et al. (2022). </w:t>
      </w:r>
      <w:r>
        <w:rPr>
          <w:i/>
        </w:rPr>
        <w:t>A conceptual model for unifying variability in space and time.</w:t>
      </w:r>
      <w:r>
        <w:t xml:space="preserve"> Empirical Software Engineering, 27(5), 101.</w:t>
      </w:r>
    </w:p>
    <w:p>
      <w:pPr>
        <w:pStyle w:val="ListBullet"/>
      </w:pPr>
      <w:r>
        <w:t xml:space="preserve">Auxepaules, L., Py, D., &amp; Lemeunier, T. (2008). </w:t>
      </w:r>
      <w:r>
        <w:rPr>
          <w:i/>
        </w:rPr>
        <w:t>A diagnosis method that matches class diagrams in a learning environment for object-oriented modeling.</w:t>
      </w:r>
      <w:r>
        <w:t xml:space="preserve"> 8th IEEE ICALT, 26-30.</w:t>
      </w:r>
    </w:p>
    <w:p>
      <w:pPr>
        <w:pStyle w:val="ListBullet"/>
      </w:pPr>
      <w:r>
        <w:t xml:space="preserve">Bian, W., Alam, O., &amp; Kienzle, J. (2019). </w:t>
      </w:r>
      <w:r>
        <w:rPr>
          <w:i/>
        </w:rPr>
        <w:t>Automated grading of class diagrams.</w:t>
      </w:r>
      <w:r>
        <w:t xml:space="preserve"> MODELS Companion (MODELSC), 700-709. IEEE.</w:t>
      </w:r>
    </w:p>
    <w:p>
      <w:pPr>
        <w:pStyle w:val="ListBullet"/>
      </w:pPr>
      <w:r>
        <w:t xml:space="preserve">Bian, W., Alam, O., &amp; Kienzle, J. (2020). </w:t>
      </w:r>
      <w:r>
        <w:rPr>
          <w:i/>
        </w:rPr>
        <w:t>Is automated grading of models effective? Assessing automated grading of class diagrams.</w:t>
      </w:r>
      <w:r>
        <w:t xml:space="preserve"> 23rd ACM/IEEE MODELS, 365-376.</w:t>
      </w:r>
    </w:p>
    <w:p>
      <w:pPr>
        <w:pStyle w:val="ListBullet"/>
      </w:pPr>
      <w:r>
        <w:t xml:space="preserve">Bouali, N., Gerhold, M., Rehman, T. U., &amp; Ahmed, F. (2025). </w:t>
      </w:r>
      <w:r>
        <w:rPr>
          <w:i/>
        </w:rPr>
        <w:t>Toward Automated UML Diagram Assessment: Comparing LLM-Generated Scores with Teaching Assistants.</w:t>
      </w:r>
      <w:r>
        <w:t xml:space="preserve"> Proc. CSEDU, 158-169.</w:t>
      </w:r>
    </w:p>
    <w:p>
      <w:pPr>
        <w:pStyle w:val="ListBullet"/>
      </w:pPr>
      <w:r>
        <w:t xml:space="preserve">Bragilovski, M., van Can, A. T., Dalpiaz, F., &amp; Sturm, A. (2025). </w:t>
      </w:r>
      <w:r>
        <w:rPr>
          <w:i/>
        </w:rPr>
        <w:t>Leveraging machines to derive domain models from user stories.</w:t>
      </w:r>
      <w:r>
        <w:t xml:space="preserve"> Requirements Engineering, 30(2), 241-262.</w:t>
      </w:r>
    </w:p>
    <w:p>
      <w:pPr>
        <w:pStyle w:val="ListBullet"/>
      </w:pPr>
      <w:r>
        <w:t xml:space="preserve">Calamo, M., Mecella, M., &amp; Snoeck, M. (2025). </w:t>
      </w:r>
      <w:r>
        <w:rPr>
          <w:i/>
        </w:rPr>
        <w:t>Assessing the Suitability of Large Language Models in Generating UML Class Diagrams as Conceptual Models.</w:t>
      </w:r>
      <w:r>
        <w:t xml:space="preserve"> Int. Conf. BPMDS, 211-226. Springer.</w:t>
      </w:r>
    </w:p>
    <w:p>
      <w:pPr>
        <w:pStyle w:val="ListBullet"/>
      </w:pPr>
      <w:r>
        <w:t xml:space="preserve">Cámara, J., Troya, J., Burgueño, L., &amp; Vallecillo, A. (2023). </w:t>
      </w:r>
      <w:r>
        <w:rPr>
          <w:i/>
        </w:rPr>
        <w:t>On the assessment of generative AI in modeling tasks: an experience report with ChatGPT and UML.</w:t>
      </w:r>
      <w:r>
        <w:t xml:space="preserve"> Software and Systems Modeling, 22(3), 781-793.</w:t>
      </w:r>
    </w:p>
    <w:p>
      <w:pPr>
        <w:pStyle w:val="ListBullet"/>
      </w:pPr>
      <w:r>
        <w:t xml:space="preserve">Chaaben, M. B., Burgueño, L., David, I., &amp; Sahraoui, H. (2024). </w:t>
      </w:r>
      <w:r>
        <w:rPr>
          <w:i/>
        </w:rPr>
        <w:t>On the utility of domain modeling assistance with large language models.</w:t>
      </w:r>
      <w:r>
        <w:t xml:space="preserve"> arXiv:2410.12577.</w:t>
      </w:r>
    </w:p>
    <w:p>
      <w:pPr>
        <w:pStyle w:val="ListBullet"/>
      </w:pPr>
      <w:r>
        <w:t xml:space="preserve">Chen, K., Chen, B., Yang, Y., Mussbacher, G., &amp; Varró, D. (2024). </w:t>
      </w:r>
      <w:r>
        <w:rPr>
          <w:i/>
        </w:rPr>
        <w:t>Embedding-based Automated Assessment of Domain Models.</w:t>
      </w:r>
      <w:r>
        <w:t xml:space="preserve"> MODELS Companion '24, 87-94.</w:t>
      </w:r>
    </w:p>
    <w:p>
      <w:pPr>
        <w:pStyle w:val="ListBullet"/>
      </w:pPr>
      <w:r>
        <w:t xml:space="preserve">Dam, H. K. (2025). </w:t>
      </w:r>
      <w:r>
        <w:rPr>
          <w:i/>
        </w:rPr>
        <w:t>Towards Multi-Agentic AI for automated software design and modelling.</w:t>
      </w:r>
      <w:r>
        <w:t xml:space="preserve"> Proc. ASEW 2025, 311-314.</w:t>
      </w:r>
    </w:p>
    <w:p>
      <w:pPr>
        <w:pStyle w:val="ListBullet"/>
      </w:pPr>
      <w:r>
        <w:t xml:space="preserve">El-Sharkawy, S., Yamagishi-Eichler, N., &amp; Schmid, K. (2019). </w:t>
      </w:r>
      <w:r>
        <w:rPr>
          <w:i/>
        </w:rPr>
        <w:t>Metrics for analyzing variability and its implementation in software product lines: A systematic literature review.</w:t>
      </w:r>
      <w:r>
        <w:t xml:space="preserve"> Information and Software Technology, 106, 1-30.</w:t>
      </w:r>
    </w:p>
    <w:p>
      <w:pPr>
        <w:pStyle w:val="ListBullet"/>
      </w:pPr>
      <w:r>
        <w:t xml:space="preserve">Ferrari, A., Abualhaija, S., &amp; Arora, C. (2024). </w:t>
      </w:r>
      <w:r>
        <w:rPr>
          <w:i/>
        </w:rPr>
        <w:t>Model generation with LLMs: From requirements to UML sequence diagrams.</w:t>
      </w:r>
      <w:r>
        <w:t xml:space="preserve"> IEEE RE Workshops (REW), 291-300.</w:t>
      </w:r>
    </w:p>
    <w:p>
      <w:pPr>
        <w:pStyle w:val="ListBullet"/>
      </w:pPr>
      <w:r>
        <w:t xml:space="preserve">Galster, M., Weyns, D., Tofan, D., Michalik, B., &amp; Avgeriou, P. (2013). </w:t>
      </w:r>
      <w:r>
        <w:rPr>
          <w:i/>
        </w:rPr>
        <w:t>Variability in software systems  -  a systematic literature review.</w:t>
      </w:r>
      <w:r>
        <w:t xml:space="preserve"> IEEE TSE, 40(3), 282-306.</w:t>
      </w:r>
    </w:p>
    <w:p>
      <w:pPr>
        <w:pStyle w:val="ListBullet"/>
      </w:pPr>
      <w:r>
        <w:t xml:space="preserve">Hamann, M., Götz, S., &amp; Aßmann, U. (2024). </w:t>
      </w:r>
      <w:r>
        <w:rPr>
          <w:i/>
        </w:rPr>
        <w:t>Towards an Interoperable Model-driven Automated Assessment System for Computer Science Education.</w:t>
      </w:r>
      <w:r>
        <w:t xml:space="preserve"> MODELS Companion '24, 95-102.</w:t>
      </w:r>
    </w:p>
    <w:p>
      <w:pPr>
        <w:pStyle w:val="ListBullet"/>
      </w:pPr>
      <w:r>
        <w:t xml:space="preserve">Ibáñez, M. B., Barrón-Estrada, M. L., &amp; Zatarain-Cabada, R. (2025). </w:t>
      </w:r>
      <w:r>
        <w:rPr>
          <w:i/>
        </w:rPr>
        <w:t>Can multimodal large language models grade like an expert? A study on UML class diagram assessment accuracy.</w:t>
      </w:r>
      <w:r>
        <w:t xml:space="preserve"> Computer Applications in Engineering Education, 33(5).</w:t>
      </w:r>
    </w:p>
    <w:p>
      <w:pPr>
        <w:pStyle w:val="ListBullet"/>
      </w:pPr>
      <w:r>
        <w:t xml:space="preserve">Jin, H., Huang, L., Cai, H., Yan, J., Li, B., &amp; Chen, H. (2024). </w:t>
      </w:r>
      <w:r>
        <w:rPr>
          <w:i/>
        </w:rPr>
        <w:t>From LLMs to LLM-based agents for software engineering: A survey.</w:t>
      </w:r>
      <w:r>
        <w:t xml:space="preserve"> arXiv:2408.02479.</w:t>
      </w:r>
    </w:p>
    <w:p>
      <w:pPr>
        <w:pStyle w:val="ListBullet"/>
      </w:pPr>
      <w:r>
        <w:t xml:space="preserve">Klievtsova, N., Benzin, J.-V., Kampik, T., Mangler, J., &amp; Rinderle-Ma, S. (2023). </w:t>
      </w:r>
      <w:r>
        <w:rPr>
          <w:i/>
        </w:rPr>
        <w:t>Conversational process modelling: State of the art, applications, and implications in practice.</w:t>
      </w:r>
      <w:r>
        <w:t xml:space="preserve"> BPM Forum 2023, 319-336. Springer.</w:t>
      </w:r>
    </w:p>
    <w:p>
      <w:pPr>
        <w:pStyle w:val="ListBullet"/>
      </w:pPr>
      <w:r>
        <w:t xml:space="preserve">Metzger, A., &amp; Pohl, K. (2014). </w:t>
      </w:r>
      <w:r>
        <w:rPr>
          <w:i/>
        </w:rPr>
        <w:t>Software product line engineering and variability management: achievements and challenges.</w:t>
      </w:r>
      <w:r>
        <w:t xml:space="preserve"> FOSE, 70-84.</w:t>
      </w:r>
    </w:p>
    <w:p>
      <w:pPr>
        <w:pStyle w:val="ListBullet"/>
      </w:pPr>
      <w:r>
        <w:t xml:space="preserve">Pohl, K., Böckle, G., &amp; Van Der Linden, F. (2005). </w:t>
      </w:r>
      <w:r>
        <w:rPr>
          <w:i/>
        </w:rPr>
        <w:t>Software product line engineering: foundations, principles, and techniques.</w:t>
      </w:r>
      <w:r>
        <w:t xml:space="preserve"> Springer.</w:t>
      </w:r>
    </w:p>
    <w:p>
      <w:pPr>
        <w:pStyle w:val="ListBullet"/>
      </w:pPr>
      <w:r>
        <w:t xml:space="preserve">Pol'la, M., Buccella, A., &amp; Cechich, A. (2021). </w:t>
      </w:r>
      <w:r>
        <w:rPr>
          <w:i/>
        </w:rPr>
        <w:t>Analysis of variability models: a systematic literature review.</w:t>
      </w:r>
      <w:r>
        <w:t xml:space="preserve"> Software and Systems Modeling, 20, 1043-1077.</w:t>
      </w:r>
    </w:p>
    <w:p>
      <w:pPr>
        <w:pStyle w:val="ListBullet"/>
      </w:pPr>
      <w:r>
        <w:t xml:space="preserve">Rajbhoj, A., Somase, A., Sant, T., Vale, S., &amp; Kulkarni, V. (2025). </w:t>
      </w:r>
      <w:r>
        <w:rPr>
          <w:i/>
        </w:rPr>
        <w:t>LLM4Model: Automated Requirements Specification Model Authoring.</w:t>
      </w:r>
      <w:r>
        <w:t xml:space="preserve"> CAiSE, 128-136. Springer.</w:t>
      </w:r>
    </w:p>
    <w:p>
      <w:pPr>
        <w:pStyle w:val="ListBullet"/>
      </w:pPr>
      <w:r>
        <w:t xml:space="preserve">Rosa, M. L., van der Aalst, W. M. P., Dumas, M., &amp; Milani, F. P. (2017). </w:t>
      </w:r>
      <w:r>
        <w:rPr>
          <w:i/>
        </w:rPr>
        <w:t>Business process variability modeling: A survey.</w:t>
      </w:r>
      <w:r>
        <w:t xml:space="preserve"> ACM Computing Surveys, 50(1), 1-45.</w:t>
      </w:r>
    </w:p>
    <w:p>
      <w:pPr>
        <w:pStyle w:val="ListBullet"/>
      </w:pPr>
      <w:r>
        <w:t xml:space="preserve">Sami, M. A., Waseem, M., Rasheed, Z., Saari, M., Systä, K., &amp; Abrahamsson, P. (2024). </w:t>
      </w:r>
      <w:r>
        <w:rPr>
          <w:i/>
        </w:rPr>
        <w:t>Experimenting with multi-agent software development: Towards a unified platform.</w:t>
      </w:r>
      <w:r>
        <w:t xml:space="preserve"> arXiv:2406.05381.</w:t>
      </w:r>
    </w:p>
    <w:p>
      <w:pPr>
        <w:pStyle w:val="ListBullet"/>
      </w:pPr>
      <w:r>
        <w:t xml:space="preserve">Silva, J., Ma, Q., Cabot, J., Kelsen, P., &amp; Proper, H. A. (2025). </w:t>
      </w:r>
      <w:r>
        <w:rPr>
          <w:i/>
        </w:rPr>
        <w:t>Towards Human-in-the-Loop LLM-Enabled Domain Modeling.</w:t>
      </w:r>
      <w:r>
        <w:t xml:space="preserve"> Int. Conf. Conceptual Modeling, 127-145. Springer.</w:t>
      </w:r>
    </w:p>
    <w:p>
      <w:pPr>
        <w:pStyle w:val="ListBullet"/>
      </w:pPr>
      <w:r>
        <w:t xml:space="preserve">Singh, P., Boubekeur, Y., &amp; Mussbacher, G. (2022). </w:t>
      </w:r>
      <w:r>
        <w:rPr>
          <w:i/>
        </w:rPr>
        <w:t>Detecting mistakes in a domain model.</w:t>
      </w:r>
      <w:r>
        <w:t xml:space="preserve"> MODELS '22 Companion, 257-266.</w:t>
      </w:r>
    </w:p>
    <w:p>
      <w:pPr>
        <w:pStyle w:val="ListBullet"/>
      </w:pPr>
      <w:r>
        <w:t xml:space="preserve">Tselonis, C., Sargeant, J., &amp; Wood, M. M. (2005). </w:t>
      </w:r>
      <w:r>
        <w:rPr>
          <w:i/>
        </w:rPr>
        <w:t>Diagram matching for human-computer collaborative assessment.</w:t>
      </w:r>
      <w:r>
        <w:t xml:space="preserve"> 9th Int. Computer Assisted Assessment Conf.</w:t>
      </w:r>
    </w:p>
    <w:p>
      <w:r>
        <w:t>From the curated resource pack (</w:t>
      </w:r>
      <w:r>
        <w:rPr>
          <w:rFonts w:ascii="Consolas" w:hAnsi="Consolas"/>
          <w:color w:val="1F4D78"/>
          <w:sz w:val="18"/>
        </w:rPr>
        <w:t>literature/hitl-resource-pack/bibliography.bib</w:t>
      </w:r>
      <w:r>
        <w:t>):</w:t>
      </w:r>
    </w:p>
    <w:p>
      <w:pPr>
        <w:pStyle w:val="ListBullet"/>
      </w:pPr>
      <w:r>
        <w:t xml:space="preserve">Amershi, S., et al. (2019). </w:t>
      </w:r>
      <w:r>
        <w:rPr>
          <w:i/>
        </w:rPr>
        <w:t>Guidelines for Human-AI Interaction.</w:t>
      </w:r>
      <w:r>
        <w:t xml:space="preserve"> CHI 2019. doi:10.1145/3290605.3300233.</w:t>
      </w:r>
    </w:p>
    <w:p>
      <w:pPr>
        <w:pStyle w:val="ListBullet"/>
      </w:pPr>
      <w:r>
        <w:t xml:space="preserve">Gregor, S., &amp; Hevner, A. R. (2013). </w:t>
      </w:r>
      <w:r>
        <w:rPr>
          <w:i/>
        </w:rPr>
        <w:t>Positioning and presenting design science research for maximum impact.</w:t>
      </w:r>
      <w:r>
        <w:t xml:space="preserve"> MIS Quarterly, 37(2), 337-355.</w:t>
      </w:r>
    </w:p>
    <w:p>
      <w:pPr>
        <w:pStyle w:val="ListBullet"/>
      </w:pPr>
      <w:r>
        <w:t xml:space="preserve">Hevner, A. R., March, S. T., Park, J., &amp; Ram, S. (2004). </w:t>
      </w:r>
      <w:r>
        <w:rPr>
          <w:i/>
        </w:rPr>
        <w:t>Design science in information systems research.</w:t>
      </w:r>
      <w:r>
        <w:t xml:space="preserve"> MIS Quarterly, 28(1), 75-105.</w:t>
      </w:r>
    </w:p>
    <w:p>
      <w:pPr>
        <w:pStyle w:val="ListBullet"/>
      </w:pPr>
      <w:r>
        <w:t xml:space="preserve">Mosqueira-Rey, E., Hernández-Pereira, E., Alonso-Ríos, D., Bobes-Bascarán, J., &amp; Fernández-Leal, Á. (2023). </w:t>
      </w:r>
      <w:r>
        <w:rPr>
          <w:i/>
        </w:rPr>
        <w:t>Human-in-the-loop machine learning: a state of the art.</w:t>
      </w:r>
      <w:r>
        <w:t xml:space="preserve"> Artificial Intelligence Review, 56, 3005-3054.</w:t>
      </w:r>
    </w:p>
    <w:p>
      <w:pPr>
        <w:pStyle w:val="ListBullet"/>
      </w:pPr>
      <w:r>
        <w:t xml:space="preserve">National Institute of Standards and Technology (2023). </w:t>
      </w:r>
      <w:r>
        <w:rPr>
          <w:i/>
        </w:rPr>
        <w:t>Artificial Intelligence Risk Management Framework (AI RMF 1.0).</w:t>
      </w:r>
      <w:r>
        <w:t xml:space="preserve"> NIST AI 100-1. doi:10.6028/NIST.AI.100-1.</w:t>
      </w:r>
    </w:p>
    <w:p>
      <w:pPr>
        <w:pStyle w:val="ListBullet"/>
      </w:pPr>
      <w:r>
        <w:t xml:space="preserve">Peffers, K., Tuunanen, T., Rothenberger, M. A., &amp; Chatterjee, S. (2007). </w:t>
      </w:r>
      <w:r>
        <w:rPr>
          <w:i/>
        </w:rPr>
        <w:t>A design science research methodology for information systems research.</w:t>
      </w:r>
      <w:r>
        <w:t xml:space="preserve"> Journal of Management Information Systems, 24(3), 45-77.</w:t>
      </w:r>
    </w:p>
    <w:p>
      <w:pPr>
        <w:pStyle w:val="ListBullet"/>
      </w:pPr>
      <w:r>
        <w:t xml:space="preserve">Silva Mercado, J. (2024). </w:t>
      </w:r>
      <w:r>
        <w:rPr>
          <w:i/>
        </w:rPr>
        <w:t>AI Assisted Domain Modeling Explainability and Traceability.</w:t>
      </w:r>
      <w:r>
        <w:t xml:space="preserve"> MODELS Companion 2024. doi:10.1145/3652620.3688197.</w:t>
      </w:r>
    </w:p>
    <w:p>
      <w:pPr>
        <w:pStyle w:val="Heading1"/>
        <w:pageBreakBefore/>
      </w:pPr>
      <w:r>
        <w:t>Chapter 3  -  Problem Definition and Research Questions</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docs/research/methodology.md</w:t>
      </w:r>
      <w:r>
        <w:t>. Frames the study as design science and fixes the research question and sub-questions.</w:t>
      </w:r>
    </w:p>
    <w:p>
      <w:pPr>
        <w:pStyle w:val="Heading2"/>
      </w:pPr>
      <w:r>
        <w:t>3.1 Problem statement</w:t>
      </w:r>
    </w:p>
    <w:p>
      <w:r>
        <w:t xml:space="preserve">AI-assisted assessment of domain models must do more than detect deviations from a reference; it must </w:t>
      </w:r>
      <w:r>
        <w:rPr>
          <w:b/>
        </w:rPr>
        <w:t>interpret</w:t>
      </w:r>
      <w:r>
        <w:t xml:space="preserve"> them  -  deciding whether a recurring deviation is a valid alternative, an error, a domain-specific choice, a language-level issue, a guideline-update candidate, or an ambiguity requiring adjudication. These are judgments that depend on context, domain knowledge, and pedagogy. They cannot be reduced to a mechanical diff, and reasonable experts may disagree about them.</w:t>
      </w:r>
    </w:p>
    <w:p>
      <w:r>
        <w:t xml:space="preserve">VEGO-AI automates this interpretation with a four-agent LLM pipeline that distinguishes substantial variability (valid alternatives) from occasional variability (errors). The pipeline produces confidence scores, review flags, and justification fields that anticipate human involvement  -  yet it provides no operational way to </w:t>
      </w:r>
      <w:r>
        <w:rPr>
          <w:i/>
        </w:rPr>
        <w:t>incorporate</w:t>
      </w:r>
      <w:r>
        <w:t xml:space="preserve"> human judgment where it is most needed, and no way to </w:t>
      </w:r>
      <w:r>
        <w:rPr>
          <w:i/>
        </w:rPr>
        <w:t>reuse</w:t>
      </w:r>
      <w:r>
        <w:t xml:space="preserve"> a judgment once made. An expert who reviews a flagged case and decides that a particular deviation is a valid alternative must communicate that decision outside the system; the next time a similar deviation appears, the expert must make the same judgment again from scratch.</w:t>
      </w:r>
    </w:p>
    <w:p>
      <w:r>
        <w:t xml:space="preserve">The problem this thesis addresses is therefore: </w:t>
      </w:r>
      <w:r>
        <w:rPr>
          <w:b/>
        </w:rPr>
        <w:t>how to capture human judgment about model variability as structured, reusable knowledge, and feed it back into AI-assisted assessment without replacing or corrupting the original AI pipeline.</w:t>
      </w:r>
    </w:p>
    <w:p>
      <w:r>
        <w:t xml:space="preserve">This problem has three dimensions. First, it is a </w:t>
      </w:r>
      <w:r>
        <w:rPr>
          <w:i/>
        </w:rPr>
        <w:t>design</w:t>
      </w:r>
      <w:r>
        <w:t xml:space="preserve"> problem: what mechanisms are needed to selectively trigger human review, capture structured feedback, store reusable judgments, and retrieve them for future cases? Second, it is an </w:t>
      </w:r>
      <w:r>
        <w:rPr>
          <w:i/>
        </w:rPr>
        <w:t>integration</w:t>
      </w:r>
      <w:r>
        <w:t xml:space="preserve"> problem: how can these mechanisms be added to an existing, functioning pipeline without changing its behavior or corrupting its baseline outputs? Third, it is an </w:t>
      </w:r>
      <w:r>
        <w:rPr>
          <w:i/>
        </w:rPr>
        <w:t>evaluation</w:t>
      </w:r>
      <w:r>
        <w:t xml:space="preserve"> problem: how can the effect of reusable human judgment be measured honestly, given the specific evidence constraints (no independent benchmark, same-pattern leakage, small sample) that characterize this case?</w:t>
      </w:r>
    </w:p>
    <w:p>
      <w:pPr>
        <w:pStyle w:val="Heading2"/>
      </w:pPr>
      <w:r>
        <w:t>3.2 Research question</w:t>
      </w:r>
    </w:p>
    <w:p>
      <w:pPr>
        <w:pStyle w:val="EvidenceCallout"/>
        <w:shd w:fill="EEF5FA"/>
        <w:pBdr>
          <w:left w:val="single" w:sz="18" w:space="8" w:color="2E74B5"/>
        </w:pBdr>
      </w:pPr>
      <w:r>
        <w:rPr>
          <w:b/>
        </w:rPr>
        <w:t>RQ.</w:t>
      </w:r>
      <w:r>
        <w:t xml:space="preserve"> What approaches have been proposed to support human-AI collaboration in AI-assisted domain modeling and model assessment, and how can they inform the design of reusable human-judgment mechanisms in systems such as VEGO-AI?</w:t>
      </w:r>
    </w:p>
    <w:p>
      <w:r>
        <w:t>This is a literature-review-oriented and design-science-compatible question. It asks both about the state of the art (what has been proposed) and about design implications (how prior work informs the artifact). VEGO-AI is the motivating case and the artifact, not the sole object of the review.</w:t>
      </w:r>
    </w:p>
    <w:p>
      <w:pPr>
        <w:pStyle w:val="Heading2"/>
      </w:pPr>
      <w:r>
        <w:t>3.3 Sub-questions</w:t>
      </w:r>
    </w:p>
    <w:p>
      <w:r>
        <w:t>The research question decomposes into five sub-questions, each addressing a distinct aspect of the human-AI collaboration design space and mapped to specific thesis chapters and milestones.</w:t>
      </w:r>
    </w:p>
    <w:p>
      <w:r>
        <w:rPr>
          <w:b/>
        </w:rPr>
        <w:t>SQ1  -  Control and timing.</w:t>
      </w:r>
      <w:r>
        <w:t xml:space="preserve"> How do existing approaches distribute control and timing between human and AI (in-the-loop, on-the-loop, co-reasoning)? This question motivates the Selective Intervention Policy (M1) and its decision to escalate by exception rather than reviewing every case. It is addressed in Chapter 2 (§2.5) and Chapter 5 (§5.2).</w:t>
      </w:r>
    </w:p>
    <w:p>
      <w:r>
        <w:rPr>
          <w:b/>
        </w:rPr>
        <w:t>SQ2  -  Direction of information.</w:t>
      </w:r>
      <w:r>
        <w:t xml:space="preserve"> Does information flow AI→human (explanation), human→AI (feedback), or both? This question underpins the bidirectional design of the artifact: the AI's evidence is preserved and the human's rationale is captured, stored, and resurfaced. It is addressed in Chapter 2 (§2.6) and Chapter 5 (§5.3-§5.5).</w:t>
      </w:r>
    </w:p>
    <w:p>
      <w:r>
        <w:rPr>
          <w:b/>
        </w:rPr>
        <w:t>SQ3  -  Role of judgment.</w:t>
      </w:r>
      <w:r>
        <w:t xml:space="preserve"> Is human judgment treated as a temporary correction for current AI limits, or as an essential, reusable asset? This is the central question of the thesis, and it motivates the Human Judgment Memory (M3) as a provenance-tracked, conflict-aware store rather than a transient label buffer. It is addressed in Chapter 2 (§2.6, §2.8) and Chapter 5 (§5.4).</w:t>
      </w:r>
    </w:p>
    <w:p>
      <w:r>
        <w:rPr>
          <w:b/>
        </w:rPr>
        <w:t>SQ4  -  Structure and reuse.</w:t>
      </w:r>
      <w:r>
        <w:t xml:space="preserve"> How (if at all) is human feedback structured, stored, and reused across cases, models, or runs? This question maps directly to the schema-validated feedback (M2), the judgment memory (M3), and the advisory retrieval (M4A). It is addressed in Chapter 5 and evaluated in Chapter 6.</w:t>
      </w:r>
    </w:p>
    <w:p>
      <w:r>
        <w:rPr>
          <w:b/>
        </w:rPr>
        <w:t>SQ5  -  The MDE-assessment gap.</w:t>
      </w:r>
      <w:r>
        <w:t xml:space="preserve"> What gap remains specifically for interpreting </w:t>
      </w:r>
      <w:r>
        <w:rPr>
          <w:i/>
        </w:rPr>
        <w:t>model variability</w:t>
      </w:r>
      <w:r>
        <w:t>, and where does VEGO-AI sit within it? This question positions the contribution against the broader model-assessment literature and is addressed in Chapter 2 (§2.3, §2.4, §2.8).</w:t>
      </w:r>
    </w:p>
    <w:p>
      <w:pPr>
        <w:pStyle w:val="Heading2"/>
      </w:pPr>
      <w:r>
        <w:t>3.4 Evaluation research questions and hypotheses</w:t>
      </w:r>
    </w:p>
    <w:p>
      <w:r>
        <w:t>The main RQ and SQ1-SQ5 govern the literature synthesis and artifact design. A separate set of empirical questions governs the accuracy-evidence phase. Keeping these sets distinct prevents the absence of performance labels from obscuring what the design-science work has already established.</w:t>
      </w:r>
    </w:p>
    <w:p>
      <w:pPr>
        <w:pStyle w:val="EvidenceCallout"/>
        <w:shd w:fill="EEF5FA"/>
        <w:pBdr>
          <w:left w:val="single" w:sz="18" w:space="8" w:color="2E74B5"/>
        </w:pBdr>
      </w:pPr>
      <w:r>
        <w:rPr>
          <w:b/>
        </w:rPr>
        <w:t>E-RQ1  -  Baseline errors.</w:t>
      </w:r>
      <w:r>
        <w:t xml:space="preserve"> Where, and in which error categories, does the frozen Agent 4 baseline disagree with independent expert judgment?</w:t>
      </w:r>
    </w:p>
    <w:p>
      <w:pPr>
        <w:pStyle w:val="EvidenceCallout"/>
        <w:shd w:fill="EEF5FA"/>
        <w:pBdr>
          <w:left w:val="single" w:sz="18" w:space="8" w:color="2E74B5"/>
        </w:pBdr>
      </w:pPr>
      <w:r>
        <w:rPr>
          <w:b/>
        </w:rPr>
        <w:t>E-RQ2  -  Targeting and retrieval.</w:t>
      </w:r>
      <w:r>
        <w:t xml:space="preserve"> Do selective review and memory retrieval focus attention on expert-identified baseline problems with relevant, scope-correct, traceable evidence?</w:t>
      </w:r>
    </w:p>
    <w:p>
      <w:pPr>
        <w:pStyle w:val="EvidenceCallout"/>
        <w:shd w:fill="EEF5FA"/>
        <w:pBdr>
          <w:left w:val="single" w:sz="18" w:space="8" w:color="2E74B5"/>
        </w:pBdr>
      </w:pPr>
      <w:r>
        <w:rPr>
          <w:b/>
        </w:rPr>
        <w:t>E-RQ3  -  Unseen paired effect.</w:t>
      </w:r>
      <w:r>
        <w:t xml:space="preserve"> Does a frozen deterministic parallel policy produce positive net correction on unseen, leakage-safe data while preserving baseline safety?</w:t>
      </w:r>
    </w:p>
    <w:p>
      <w:r>
        <w:t>These questions are operationalized by four hypotheses. Their status is part of the research result, not an implementation target that must be made positive.</w:t>
      </w:r>
    </w:p>
    <w:tbl>
      <w:tblPr>
        <w:tblStyle w:val="TableGrid"/>
        <w:tblW w:type="dxa" w:w="9360"/>
        <w:jc w:val="left"/>
        <w:tblLayout w:type="fixed"/>
        <w:tblLook w:firstColumn="1" w:firstRow="1" w:lastColumn="0" w:lastRow="0" w:noHBand="0" w:noVBand="1" w:val="04A0"/>
        <w:tblInd w:w="120" w:type="dxa"/>
      </w:tblPr>
      <w:tblGrid>
        <w:gridCol w:w="900"/>
        <w:gridCol w:w="3483"/>
        <w:gridCol w:w="1814"/>
        <w:gridCol w:w="3163"/>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ID</w:t>
            </w:r>
          </w:p>
        </w:tc>
        <w:tc>
          <w:tcPr>
            <w:tcW w:type="dxa" w:w="348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Hypothesis</w:t>
            </w:r>
          </w:p>
        </w:tc>
        <w:tc>
          <w:tcPr>
            <w:tcW w:type="dxa" w:w="181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6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Decisive evidence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H1</w:t>
            </w:r>
          </w:p>
        </w:tc>
        <w:tc>
          <w:tcPr>
            <w:tcW w:type="dxa" w:w="348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Selective review contains a meaningful share of expert-confirmed baseline errors.</w:t>
            </w:r>
          </w:p>
        </w:tc>
        <w:tc>
          <w:tcPr>
            <w:tcW w:type="dxa" w:w="181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EXP-021 and EXP-022</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H2</w:t>
            </w:r>
          </w:p>
        </w:tc>
        <w:tc>
          <w:tcPr>
            <w:tcW w:type="dxa" w:w="348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 Judgment Memory retrieves relevant, scope-correct prior judgments.</w:t>
            </w:r>
          </w:p>
        </w:tc>
        <w:tc>
          <w:tcPr>
            <w:tcW w:type="dxa" w:w="181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EXP-022</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H3</w:t>
            </w:r>
          </w:p>
        </w:tc>
        <w:tc>
          <w:tcPr>
            <w:tcW w:type="dxa" w:w="348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 frozen deterministic parallel policy yields positive net correction on unseen data.</w:t>
            </w:r>
          </w:p>
        </w:tc>
        <w:tc>
          <w:tcPr>
            <w:tcW w:type="dxa" w:w="181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Unproven and blocked</w:t>
            </w:r>
          </w:p>
        </w:tc>
        <w:tc>
          <w:tcPr>
            <w:tcW w:type="dxa" w:w="316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EXP-024 pilot, then EXP-025 external replication</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H4</w:t>
            </w:r>
          </w:p>
        </w:tc>
        <w:tc>
          <w:tcPr>
            <w:tcW w:type="dxa" w:w="348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Reusable memory reduces repeated review effort without reducing escalation quality.</w:t>
            </w:r>
          </w:p>
        </w:tc>
        <w:tc>
          <w:tcPr>
            <w:tcW w:type="dxa" w:w="181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Unproven and not approved</w:t>
            </w:r>
          </w:p>
        </w:tc>
        <w:tc>
          <w:tcPr>
            <w:tcW w:type="dxa" w:w="316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EXP-026 controlled human-effort study</w:t>
            </w:r>
          </w:p>
        </w:tc>
      </w:tr>
    </w:tbl>
    <w:p>
      <w:pPr>
        <w:spacing w:after="40"/>
      </w:pPr>
    </w:p>
    <w:p>
      <w:r>
        <w:t xml:space="preserve">The primary empirical estimand for H3 is </w:t>
      </w:r>
      <w:r>
        <w:rPr>
          <w:b/>
        </w:rPr>
        <w:t>net correction</w:t>
      </w:r>
      <w:r>
        <w:t xml:space="preserve">: </w:t>
      </w:r>
      <w:r>
        <w:rPr>
          <w:rFonts w:ascii="Consolas" w:hAnsi="Consolas"/>
          <w:color w:val="1F4D78"/>
          <w:sz w:val="18"/>
        </w:rPr>
        <w:t>changed-and-correct - changed-and-wrong</w:t>
      </w:r>
      <w:r>
        <w:t>. This paired measure makes benefit and harm visible. Accuracy and macro-F1 are secondary measures. A positive H3 claim requires a separate external education-domain set with at least 30 adjudicated generalization-safe rows and all preregistered statistical and safety criteria to pass; the current 24-row set cannot supply that formal claim.</w:t>
      </w:r>
    </w:p>
    <w:p>
      <w:pPr>
        <w:pStyle w:val="Heading2"/>
      </w:pPr>
      <w:r>
        <w:t>3.5 Design-science framing</w:t>
      </w:r>
    </w:p>
    <w:p>
      <w:r>
        <w:t>The study follows a design-science research methodology (Hevner et al., 2004; Peffers et al., 2007; Gregor &amp; Hevner, 2013). The cycle proceeds through five phases:</w:t>
      </w:r>
    </w:p>
    <w:p>
      <w:r>
        <w:rPr>
          <w:b/>
        </w:rPr>
        <w:t>Problem identification.</w:t>
      </w:r>
      <w:r>
        <w:t xml:space="preserve"> AI-assisted model assessment needs expert judgment, but one-off review does not scale or accumulate knowledge. The problem is real, recurring, and documented in VEGO-AI's own architecture (the latent human hooks of §4.4).</w:t>
      </w:r>
    </w:p>
    <w:p>
      <w:r>
        <w:rPr>
          <w:b/>
        </w:rPr>
        <w:t>Objectives.</w:t>
      </w:r>
      <w:r>
        <w:t xml:space="preserve"> Design a reusable human-judgment layer that selectively triggers review, captures structured feedback, stores judgments with provenance, retrieves them as advisory evidence, and enables controlled comparison  -  all without modifying the host pipeline's behavior.</w:t>
      </w:r>
    </w:p>
    <w:p>
      <w:r>
        <w:rPr>
          <w:b/>
        </w:rPr>
        <w:t>Design and development.</w:t>
      </w:r>
      <w:r>
        <w:t xml:space="preserve"> The artifact comprises five layers (M1-M4B-1) implemented as pure-Python modules with schema-validated data structures, deterministic matching, and non-destructive parallel comparison (Chapter 5).</w:t>
      </w:r>
    </w:p>
    <w:p>
      <w:r>
        <w:rPr>
          <w:b/>
        </w:rPr>
        <w:t>Demonstration.</w:t>
      </w:r>
      <w:r>
        <w:t xml:space="preserve"> The artifact is demonstrated on the VEGO-AI pipeline across four settings (two domains, two diagram types), processing 179 student models aggregated into 27 variability patterns (Chapter 7).</w:t>
      </w:r>
    </w:p>
    <w:p>
      <w:r>
        <w:rPr>
          <w:b/>
        </w:rPr>
        <w:t>Evaluation.</w:t>
      </w:r>
      <w:r>
        <w:t xml:space="preserve"> A bias- and leakage-controlled annotation protocol defines how to obtain independent expert labels and measure the artifact's empirical effect honestly (Chapter 6). The evaluation methodology is itself a contribution.</w:t>
      </w:r>
    </w:p>
    <w:p>
      <w:r>
        <w:t xml:space="preserve">The artifact's novelty is not "a human step" but </w:t>
      </w:r>
      <w:r>
        <w:rPr>
          <w:b/>
        </w:rPr>
        <w:t>turning human judgment into a reusable knowledge asset</w:t>
      </w:r>
      <w:r>
        <w:t xml:space="preserve"> for variability assessment. Contribution types are kept distinct: a literature-review contribution (taxonomy and gap), a design contribution (the co-reasoning architecture, feedback schema, and judgment-memory concept), a technical prototype (the implemented and tested M1-M4B-1 pipeline), and a planned empirical contribution (the leakage-aware evaluation).</w:t>
      </w:r>
    </w:p>
    <w:p>
      <w:pPr>
        <w:pStyle w:val="Heading2"/>
      </w:pPr>
      <w:r>
        <w:t>3.6 Scope and boundaries</w:t>
      </w:r>
    </w:p>
    <w:p>
      <w:r>
        <w:rPr>
          <w:b/>
        </w:rPr>
        <w:t>In scope:</w:t>
      </w:r>
      <w:r>
        <w:t xml:space="preserve"> selective human review triggered by AI uncertainty signals; structured, schema-validated feedback capture with signature verification; reusable judgment memory with provenance tracking, conflict detection, and explainable retrieval; advisory evidence retrieval that preserves original AI output; and a deterministic, non-destructive comparison between original and memory-informed classifications.</w:t>
      </w:r>
    </w:p>
    <w:p>
      <w:r>
        <w:rPr>
          <w:b/>
        </w:rPr>
        <w:t>Out of scope</w:t>
      </w:r>
      <w:r>
        <w:t xml:space="preserve"> (and explicitly blocked for this thesis): LLM-based reclassification (M4B-2); any change to Agent 1-4 prompts, logic, or API behavior; automatic guideline rewriting without human approval; embedding-based retrieval; any overwrite of the baseline evaluation outputs. These boundaries are not limitations of the design but deliberate choices that keep the artifact cleanly evaluable against the preserved baseline.</w:t>
      </w:r>
    </w:p>
    <w:p>
      <w:r>
        <w:rPr>
          <w:b/>
        </w:rPr>
        <w:t>Data scope:</w:t>
      </w:r>
      <w:r>
        <w:t xml:space="preserve"> the evaluation is bounded by the available data  -  four settings, two domains (Cheers, ParkWise), two diagram types (UCD, CD), 179 student models, 27 recurring variability patterns  -  and by the evidence gates of Chapter 6, which require at least 20 generalization-safe expert labels before any quantitative accuracy claim is permitted.</w:t>
      </w:r>
    </w:p>
    <w:p>
      <w:r>
        <w:t>The following table maps the research questions to the thesis structure:</w:t>
      </w:r>
    </w:p>
    <w:tbl>
      <w:tblPr>
        <w:tblStyle w:val="TableGrid"/>
        <w:tblW w:type="dxa" w:w="9360"/>
        <w:jc w:val="left"/>
        <w:tblLayout w:type="fixed"/>
        <w:tblLook w:firstColumn="1" w:firstRow="1" w:lastColumn="0" w:lastRow="0" w:noHBand="0" w:noVBand="1" w:val="04A0"/>
        <w:tblInd w:w="120" w:type="dxa"/>
      </w:tblPr>
      <w:tblGrid>
        <w:gridCol w:w="3009"/>
        <w:gridCol w:w="2786"/>
        <w:gridCol w:w="2117"/>
        <w:gridCol w:w="1448"/>
      </w:tblGrid>
      <w:tr>
        <w:trPr>
          <w:cantSplit/>
          <w:tblHeader w:val="true"/>
        </w:trPr>
        <w:tc>
          <w:tcPr>
            <w:tcW w:type="dxa" w:w="300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Question</w:t>
            </w:r>
          </w:p>
        </w:tc>
        <w:tc>
          <w:tcPr>
            <w:tcW w:type="dxa" w:w="278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Addressed in</w:t>
            </w:r>
          </w:p>
        </w:tc>
        <w:tc>
          <w:tcPr>
            <w:tcW w:type="dxa" w:w="21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Artifact layer</w:t>
            </w:r>
          </w:p>
        </w:tc>
        <w:tc>
          <w:tcPr>
            <w:tcW w:type="dxa" w:w="144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Evaluated in</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SQ1 Control &amp; timing</w:t>
            </w:r>
          </w:p>
        </w:tc>
        <w:tc>
          <w:tcPr>
            <w:tcW w:type="dxa" w:w="278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Ch 2 §2.5, Ch 5 §5.2</w:t>
            </w:r>
          </w:p>
        </w:tc>
        <w:tc>
          <w:tcPr>
            <w:tcW w:type="dxa" w:w="21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M1 Selective Review</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7 §7.3</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SQ2 Information direction</w:t>
            </w:r>
          </w:p>
        </w:tc>
        <w:tc>
          <w:tcPr>
            <w:tcW w:type="dxa" w:w="278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Ch 2 §2.6, Ch 5 §5.3-5.5</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M2-M4A</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7 §7.3</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SQ3 Role of judgment</w:t>
            </w:r>
          </w:p>
        </w:tc>
        <w:tc>
          <w:tcPr>
            <w:tcW w:type="dxa" w:w="278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Ch 2 §2.6/§2.8, Ch 5 §5.4</w:t>
            </w:r>
          </w:p>
        </w:tc>
        <w:tc>
          <w:tcPr>
            <w:tcW w:type="dxa" w:w="21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M3 Judgment Memory</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7 §7.3-7.4</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SQ4 Structure &amp; reuse</w:t>
            </w:r>
          </w:p>
        </w:tc>
        <w:tc>
          <w:tcPr>
            <w:tcW w:type="dxa" w:w="278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5 §5.3-5.6</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M2-M4B-1</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6, Ch 7</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SQ5 MDE-assessment gap</w:t>
            </w:r>
          </w:p>
        </w:tc>
        <w:tc>
          <w:tcPr>
            <w:tcW w:type="dxa" w:w="278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Ch 2 §2.3/§2.4/§2.8</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(positioning)</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9 §9.1</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E-RQ1 Baseline errors</w:t>
            </w:r>
          </w:p>
        </w:tc>
        <w:tc>
          <w:tcPr>
            <w:tcW w:type="dxa" w:w="278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B0/B2</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EXP-020/021</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E-RQ2 Targeting &amp; retrieval</w:t>
            </w:r>
          </w:p>
        </w:tc>
        <w:tc>
          <w:tcPr>
            <w:tcW w:type="dxa" w:w="278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M1/M3/M4A</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EXP-022</w:t>
            </w:r>
          </w:p>
        </w:tc>
      </w:tr>
      <w:tr>
        <w:trPr>
          <w:cantSplit/>
        </w:trPr>
        <w:tc>
          <w:tcPr>
            <w:tcW w:type="dxa" w:w="300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E-RQ3 Unseen paired effect</w:t>
            </w:r>
          </w:p>
        </w:tc>
        <w:tc>
          <w:tcPr>
            <w:tcW w:type="dxa" w:w="278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B3-B5</w:t>
            </w:r>
          </w:p>
        </w:tc>
        <w:tc>
          <w:tcPr>
            <w:tcW w:type="dxa" w:w="144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EXP-023-025</w:t>
            </w:r>
          </w:p>
        </w:tc>
      </w:tr>
    </w:tbl>
    <w:p>
      <w:pPr>
        <w:spacing w:after="40"/>
      </w:pPr>
    </w:p>
    <w:p>
      <w:pPr>
        <w:pStyle w:val="Heading1"/>
        <w:pageBreakBefore/>
      </w:pPr>
      <w:r>
        <w:t>Chapter 4  -  The VEGO-AI Baseline Pipeline (C0)</w:t>
      </w:r>
    </w:p>
    <w:p>
      <w:pPr>
        <w:pStyle w:val="EvidenceCallout"/>
        <w:shd w:fill="EEF5FA"/>
        <w:pBdr>
          <w:left w:val="single" w:sz="18" w:space="8" w:color="2E74B5"/>
        </w:pBdr>
      </w:pPr>
      <w:r>
        <w:t xml:space="preserve">Draft. Describes the original, unmodified VEGO-AI system that serves as the baseline (C0) and as the design artifact's host. Sources: </w:t>
      </w:r>
      <w:r>
        <w:rPr>
          <w:rFonts w:ascii="Consolas" w:hAnsi="Consolas"/>
          <w:color w:val="1F4D78"/>
          <w:sz w:val="18"/>
        </w:rPr>
        <w:t>VEGO-AI/framework/</w:t>
      </w:r>
      <w:r>
        <w:t xml:space="preserve">, </w:t>
      </w:r>
      <w:r>
        <w:rPr>
          <w:rFonts w:ascii="Consolas" w:hAnsi="Consolas"/>
          <w:color w:val="1F4D78"/>
          <w:sz w:val="18"/>
        </w:rPr>
        <w:t>VEGO-AI/eval/</w:t>
      </w:r>
      <w:r>
        <w:t xml:space="preserve">, the MAS4Models 2026 paper, and </w:t>
      </w:r>
      <w:r>
        <w:rPr>
          <w:rFonts w:ascii="Consolas" w:hAnsi="Consolas"/>
          <w:color w:val="1F4D78"/>
          <w:sz w:val="18"/>
        </w:rPr>
        <w:t>docs/research/methodology.md</w:t>
      </w:r>
      <w:r>
        <w:t xml:space="preserve">. Frozen at tag </w:t>
      </w:r>
      <w:r>
        <w:rPr>
          <w:rFonts w:ascii="Consolas" w:hAnsi="Consolas"/>
          <w:color w:val="1F4D78"/>
          <w:sz w:val="18"/>
        </w:rPr>
        <w:t>official-vego-ai-baseline</w:t>
      </w:r>
      <w:r>
        <w:t xml:space="preserve"> (</w:t>
      </w:r>
      <w:r>
        <w:rPr>
          <w:rFonts w:ascii="Consolas" w:hAnsi="Consolas"/>
          <w:color w:val="1F4D78"/>
          <w:sz w:val="18"/>
        </w:rPr>
        <w:t>2eeccb1</w:t>
      </w:r>
      <w:r>
        <w:t>).</w:t>
      </w:r>
    </w:p>
    <w:p>
      <w:pPr>
        <w:pStyle w:val="Heading2"/>
      </w:pPr>
      <w:r>
        <w:t>4.1 Overview</w:t>
      </w:r>
    </w:p>
    <w:p>
      <w:r>
        <w:t xml:space="preserve">VEGO-AI is an asynchronous four-agent LLM pipeline (OpenAI </w:t>
      </w:r>
      <w:r>
        <w:rPr>
          <w:rFonts w:ascii="Consolas" w:hAnsi="Consolas"/>
          <w:color w:val="1F4D78"/>
          <w:sz w:val="18"/>
        </w:rPr>
        <w:t>gpt-4o</w:t>
      </w:r>
      <w:r>
        <w:t xml:space="preserve">) that operationalizes a conceptual distinction central to this thesis: between </w:t>
      </w:r>
      <w:r>
        <w:rPr>
          <w:b/>
        </w:rPr>
        <w:t>substantial variability</w:t>
      </w:r>
      <w:r>
        <w:t xml:space="preserve">  -  contextually justified, valid alternative modeling choices  -  and </w:t>
      </w:r>
      <w:r>
        <w:rPr>
          <w:b/>
        </w:rPr>
        <w:t>occasional variability</w:t>
      </w:r>
      <w:r>
        <w:t xml:space="preserve">  -  errors, misconceptions, or unintended deviations. Unlike single-reference grading tools that treat every deviation from a reference as a defect (Bian et al., 2019; Ibáñez et al., 2025), VEGO-AI reasons about whether a recurring deviation is a legitimate alternative or a mistake. The pipeline is coordinated by </w:t>
      </w:r>
      <w:r>
        <w:rPr>
          <w:rFonts w:ascii="Consolas" w:hAnsi="Consolas"/>
          <w:color w:val="1F4D78"/>
          <w:sz w:val="18"/>
        </w:rPr>
        <w:t>framework/orchestrator.py</w:t>
      </w:r>
      <w:r>
        <w:t xml:space="preserve"> and runs four phases, each handled by a specialized LLM agent with a distinct concern.</w:t>
      </w:r>
    </w:p>
    <w:p>
      <w:r>
        <w:t>This chapter describes the baseline system as it exists before any modification by this thesis. Understanding the baseline is essential for two reasons. First, the thesis artifact (Chapter 5) extends the baseline without modifying it, so the reader must know what the artifact builds upon. Second, the baseline's existing architecture contains latent, unused affordances for human involvement (§4.4)  -  signals and data fields that anticipate human review but are never acted upon  -  and it is precisely these affordances that the thesis artifact completes.</w:t>
      </w:r>
    </w:p>
    <w:p>
      <w:pPr>
        <w:pStyle w:val="EvidenceCallout"/>
        <w:shd w:fill="EEF5FA"/>
        <w:pBdr>
          <w:left w:val="single" w:sz="18" w:space="8" w:color="2E74B5"/>
        </w:pBdr>
      </w:pPr>
      <w:r>
        <w:rPr>
          <w:b/>
        </w:rPr>
        <w:t>Figure 4.1.</w:t>
      </w:r>
      <w:r>
        <w:t xml:space="preserve"> Architecture of the VEGO-AI four-agent pipeline. Agent 4's latent human-review outputs (red) are produced but never acted upon. See </w:t>
      </w:r>
      <w:r>
        <w:rPr>
          <w:rFonts w:ascii="Consolas" w:hAnsi="Consolas"/>
          <w:color w:val="1F4D78"/>
          <w:sz w:val="18"/>
        </w:rPr>
        <w:t>thesis/figures/fig-4-1-baseline-pipeline.mmd</w:t>
      </w:r>
      <w:r>
        <w:t xml:space="preserve"> for the Mermaid source.</w:t>
      </w:r>
    </w:p>
    <w:p>
      <w:pPr>
        <w:pStyle w:val="Heading2"/>
      </w:pPr>
      <w:r>
        <w:t>4.2 The four agents</w:t>
      </w:r>
    </w:p>
    <w:p>
      <w:r>
        <w:t>Each agent is a prompted LLM call with structured JSON output, specialized for a distinct concern in the assessment process.</w:t>
      </w:r>
    </w:p>
    <w:p>
      <w:r>
        <w:rPr>
          <w:b/>
        </w:rPr>
        <w:t>Agent 1  -  Language Advisor</w:t>
      </w:r>
      <w:r>
        <w:t xml:space="preserve"> (</w:t>
      </w:r>
      <w:r>
        <w:rPr>
          <w:rFonts w:ascii="Consolas" w:hAnsi="Consolas"/>
          <w:color w:val="1F4D78"/>
          <w:sz w:val="18"/>
        </w:rPr>
        <w:t>framework/agent1_language_advisor.py</w:t>
      </w:r>
      <w:r>
        <w:t xml:space="preserve">) constructs a fixed </w:t>
      </w:r>
      <w:r>
        <w:rPr>
          <w:i/>
        </w:rPr>
        <w:t>Language Template</w:t>
      </w:r>
      <w:r>
        <w:t xml:space="preserve"> that enumerates the constructs of the modeling language  -  actors, use cases, associations, and multiplicities for UML use-case diagrams; classes, attributes, operations, relationships, and cardinalities for UML class diagrams. The template defines what </w:t>
      </w:r>
      <w:r>
        <w:rPr>
          <w:i/>
        </w:rPr>
        <w:t>can</w:t>
      </w:r>
      <w:r>
        <w:t xml:space="preserve"> appear in a valid model of the given type, independent of any specific domain. Agent 1 runs once per language-diagram-type pair and its output is consumed by all subsequent agents. By separating language-level concerns into a dedicated agent, VEGO-AI ensures that domain-specific reasoning in later agents does not conflate syntactic validity with semantic correctness.</w:t>
      </w:r>
    </w:p>
    <w:p>
      <w:r>
        <w:rPr>
          <w:b/>
        </w:rPr>
        <w:t>Agent 2  -  Domain Advisor</w:t>
      </w:r>
      <w:r>
        <w:t xml:space="preserve"> (</w:t>
      </w:r>
      <w:r>
        <w:rPr>
          <w:rFonts w:ascii="Consolas" w:hAnsi="Consolas"/>
          <w:color w:val="1F4D78"/>
          <w:sz w:val="18"/>
        </w:rPr>
        <w:t>framework/agent2_domain_advisor.py</w:t>
      </w:r>
      <w:r>
        <w:t xml:space="preserve">) takes a </w:t>
      </w:r>
      <w:r>
        <w:rPr>
          <w:i/>
        </w:rPr>
        <w:t>Domain Description</w:t>
      </w:r>
      <w:r>
        <w:t xml:space="preserve"> (a natural-language specification of the problem domain, such as the description of the Cheers cinema-booking system) and produces evolving </w:t>
      </w:r>
      <w:r>
        <w:rPr>
          <w:i/>
        </w:rPr>
        <w:t>Reference Guidelines</w:t>
      </w:r>
      <w:r>
        <w:t xml:space="preserve">. Unlike a single reference model, these guidelines describe what a correct model </w:t>
      </w:r>
      <w:r>
        <w:rPr>
          <w:i/>
        </w:rPr>
        <w:t>should contain</w:t>
      </w:r>
      <w:r>
        <w:t xml:space="preserve"> at the guideline level, with each guideline carrying a </w:t>
      </w:r>
      <w:r>
        <w:rPr>
          <w:rFonts w:ascii="Consolas" w:hAnsi="Consolas"/>
          <w:color w:val="1F4D78"/>
          <w:sz w:val="18"/>
        </w:rPr>
        <w:t>mapping_certainty</w:t>
      </w:r>
      <w:r>
        <w:t xml:space="preserve"> score indicating how confidently the domain description implies that element. Crucially, Agent 2 records valid alternatives  -  for example, that "Customer" could validly be modeled as a single actor or split into "Registered Customer" and "Walk-In Customer"  -  so that later assessment considers multiple valid interpretations rather than insisting on a single correct answer.</w:t>
      </w:r>
    </w:p>
    <w:p>
      <w:r>
        <w:rPr>
          <w:b/>
        </w:rPr>
        <w:t>Agent 3  -  Model Inspector</w:t>
      </w:r>
      <w:r>
        <w:t xml:space="preserve"> (</w:t>
      </w:r>
      <w:r>
        <w:rPr>
          <w:rFonts w:ascii="Consolas" w:hAnsi="Consolas"/>
          <w:color w:val="1F4D78"/>
          <w:sz w:val="18"/>
        </w:rPr>
        <w:t>framework/agent3_model_inspector.py</w:t>
      </w:r>
      <w:r>
        <w:t xml:space="preserve">) scores each student model against the reference guidelines, producing a per-guideline </w:t>
      </w:r>
      <w:r>
        <w:rPr>
          <w:i/>
        </w:rPr>
        <w:t>compliance vector</w:t>
      </w:r>
      <w:r>
        <w:t xml:space="preserve"> (Satisfied, Partially-Satisfied, or Not-Satisfied) and auditing uncovered model fragments as Alternative, Domain Mistake, or Language Mistake with a severity level. Agent 3 processes each of the 179 student models individually, generating a detailed case-level assessment. The output preserves the mapping between model elements and guideline expectations, which later agents use to identify recurring patterns.</w:t>
      </w:r>
    </w:p>
    <w:p>
      <w:r>
        <w:rPr>
          <w:b/>
        </w:rPr>
        <w:t>Agent 4  -  Variability Explorer</w:t>
      </w:r>
      <w:r>
        <w:t xml:space="preserve"> (</w:t>
      </w:r>
      <w:r>
        <w:rPr>
          <w:rFonts w:ascii="Consolas" w:hAnsi="Consolas"/>
          <w:color w:val="1F4D78"/>
          <w:sz w:val="18"/>
        </w:rPr>
        <w:t>framework/agent4_variability_explorer.py</w:t>
      </w:r>
      <w:r>
        <w:t xml:space="preserve">) aggregates the per-model results from Agent 3 into recurring </w:t>
      </w:r>
      <w:r>
        <w:rPr>
          <w:i/>
        </w:rPr>
        <w:t>deviation patterns</w:t>
      </w:r>
      <w:r>
        <w:t xml:space="preserve">  -  groups of models that deviate from the guidelines in the same way  -  and classifies each pattern as </w:t>
      </w:r>
      <w:r>
        <w:rPr>
          <w:b/>
        </w:rPr>
        <w:t>Substantial</w:t>
      </w:r>
      <w:r>
        <w:t xml:space="preserve"> (valid alternative), </w:t>
      </w:r>
      <w:r>
        <w:rPr>
          <w:b/>
        </w:rPr>
        <w:t>Occasional</w:t>
      </w:r>
      <w:r>
        <w:t xml:space="preserve"> (error), or </w:t>
      </w:r>
      <w:r>
        <w:rPr>
          <w:b/>
        </w:rPr>
        <w:t>Undetermined</w:t>
      </w:r>
      <w:r>
        <w:t xml:space="preserve"> (ambiguous). Each classification carries a </w:t>
      </w:r>
      <w:r>
        <w:rPr>
          <w:rFonts w:ascii="Consolas" w:hAnsi="Consolas"/>
          <w:color w:val="1F4D78"/>
          <w:sz w:val="18"/>
        </w:rPr>
        <w:t>confidence</w:t>
      </w:r>
      <w:r>
        <w:t xml:space="preserve"> score, a textual </w:t>
      </w:r>
      <w:r>
        <w:rPr>
          <w:rFonts w:ascii="Consolas" w:hAnsi="Consolas"/>
          <w:color w:val="1F4D78"/>
          <w:sz w:val="18"/>
        </w:rPr>
        <w:t>justification</w:t>
      </w:r>
      <w:r>
        <w:t xml:space="preserve">, a </w:t>
      </w:r>
      <w:r>
        <w:rPr>
          <w:rFonts w:ascii="Consolas" w:hAnsi="Consolas"/>
          <w:color w:val="1F4D78"/>
          <w:sz w:val="18"/>
        </w:rPr>
        <w:t>flag_for_guidelines_update</w:t>
      </w:r>
      <w:r>
        <w:t xml:space="preserve"> boolean, and  -  critically for this thesis  -  a </w:t>
      </w:r>
      <w:r>
        <w:rPr>
          <w:rFonts w:ascii="Consolas" w:hAnsi="Consolas"/>
          <w:color w:val="1F4D78"/>
          <w:sz w:val="18"/>
        </w:rPr>
        <w:t>requires_human_review</w:t>
      </w:r>
      <w:r>
        <w:t xml:space="preserve"> field with an accompanying </w:t>
      </w:r>
      <w:r>
        <w:rPr>
          <w:rFonts w:ascii="Consolas" w:hAnsi="Consolas"/>
          <w:color w:val="1F4D78"/>
          <w:sz w:val="18"/>
        </w:rPr>
        <w:t>human_review_reason</w:t>
      </w:r>
      <w:r>
        <w:t xml:space="preserve">. Agent 4 also implements two advanced skills that are relevant to the thesis: </w:t>
      </w:r>
      <w:r>
        <w:rPr>
          <w:rFonts w:ascii="Consolas" w:hAnsi="Consolas"/>
          <w:color w:val="1F4D78"/>
          <w:sz w:val="18"/>
        </w:rPr>
        <w:t>probe_for_missed_alternatives</w:t>
      </w:r>
      <w:r>
        <w:t xml:space="preserve"> (skill 4-0), which re-examines a pattern for alternatives the initial analysis might have missed, and </w:t>
      </w:r>
      <w:r>
        <w:rPr>
          <w:rFonts w:ascii="Consolas" w:hAnsi="Consolas"/>
          <w:color w:val="1F4D78"/>
          <w:sz w:val="18"/>
        </w:rPr>
        <w:t>resolve_with_answers</w:t>
      </w:r>
      <w:r>
        <w:t xml:space="preserve"> (skill 4-3), which is designed to incorporate externally provided answers. Neither skill is invoked by the orchestrator or evaluator in the baseline.</w:t>
      </w:r>
    </w:p>
    <w:p>
      <w:pPr>
        <w:pStyle w:val="Heading2"/>
      </w:pPr>
      <w:r>
        <w:t>4.3 Coordination, Q&amp;A, and the guideline-refinement loop</w:t>
      </w:r>
    </w:p>
    <w:p>
      <w:r>
        <w:t>The orchestrator (</w:t>
      </w:r>
      <w:r>
        <w:rPr>
          <w:rFonts w:ascii="Consolas" w:hAnsi="Consolas"/>
          <w:color w:val="1F4D78"/>
          <w:sz w:val="18"/>
        </w:rPr>
        <w:t>framework/orchestrator.py</w:t>
      </w:r>
      <w:r>
        <w:t>) coordinates the agents through two interaction mechanisms that go beyond a simple sequential pipeline.</w:t>
      </w:r>
    </w:p>
    <w:p>
      <w:r>
        <w:t xml:space="preserve">First, </w:t>
      </w:r>
      <w:r>
        <w:rPr>
          <w:b/>
        </w:rPr>
        <w:t>cross-agent question-answer loops</w:t>
      </w:r>
      <w:r>
        <w:t xml:space="preserve"> allow downstream agents to query upstream agents for clarification. For example, Agent 3 may ask Agent 2 to clarify whether a particular domain element is required or optional, and Agent 2 responds with a targeted refinement of the relevant guideline. These Q&amp;A rounds are capped at </w:t>
      </w:r>
      <w:r>
        <w:rPr>
          <w:rFonts w:ascii="Consolas" w:hAnsi="Consolas"/>
          <w:color w:val="1F4D78"/>
          <w:sz w:val="18"/>
        </w:rPr>
        <w:t>MAX_QA_ROUNDS = 10</w:t>
      </w:r>
      <w:r>
        <w:t xml:space="preserve"> to prevent infinite loops. A key property for this thesis is that </w:t>
      </w:r>
      <w:r>
        <w:rPr>
          <w:b/>
        </w:rPr>
        <w:t>every question is answered by another LLM agent</w:t>
      </w:r>
      <w:r>
        <w:t>, never by a human; the cross-agent dialogue is entirely automated.</w:t>
      </w:r>
    </w:p>
    <w:p>
      <w:r>
        <w:t xml:space="preserve">Second, a </w:t>
      </w:r>
      <w:r>
        <w:rPr>
          <w:b/>
        </w:rPr>
        <w:t>guideline-refinement feedback loop</w:t>
      </w:r>
      <w:r>
        <w:t xml:space="preserve"> triggers when Agent 4 classifies a pattern as substantial variability and sets </w:t>
      </w:r>
      <w:r>
        <w:rPr>
          <w:rFonts w:ascii="Consolas" w:hAnsi="Consolas"/>
          <w:color w:val="1F4D78"/>
          <w:sz w:val="18"/>
        </w:rPr>
        <w:t>flag_for_guidelines_update = true</w:t>
      </w:r>
      <w:r>
        <w:t>. In this case, the orchestrator re-invokes Agent 2 to consider whether the reference guidelines should be updated to accommodate the newly recognized valid alternative. This loop operationalizes the idea that assessment is not a fixed comparison but an evolving process  -  yet the evolution is driven entirely by AI reasoning, with no human input or approval.</w:t>
      </w:r>
    </w:p>
    <w:p>
      <w:r>
        <w:t xml:space="preserve">The strict separation of </w:t>
      </w:r>
      <w:r>
        <w:rPr>
          <w:i/>
        </w:rPr>
        <w:t>language</w:t>
      </w:r>
      <w:r>
        <w:t xml:space="preserve"> concerns (Agent 1), </w:t>
      </w:r>
      <w:r>
        <w:rPr>
          <w:i/>
        </w:rPr>
        <w:t>domain</w:t>
      </w:r>
      <w:r>
        <w:t xml:space="preserve"> concerns (Agent 2), </w:t>
      </w:r>
      <w:r>
        <w:rPr>
          <w:i/>
        </w:rPr>
        <w:t>per-model inspection</w:t>
      </w:r>
      <w:r>
        <w:t xml:space="preserve"> (Agent 3), and </w:t>
      </w:r>
      <w:r>
        <w:rPr>
          <w:i/>
        </w:rPr>
        <w:t>cross-model variability reasoning</w:t>
      </w:r>
      <w:r>
        <w:t xml:space="preserve"> (Agent 4) is a key architectural decision. It means that each agent's prompts and outputs can be examined independently, and it creates natural points where human oversight could be inserted  -  between any two agents, or at the point where Agent 4 produces its final classification. The thesis artifact (Chapter 5) exploits these natural insertion points.</w:t>
      </w:r>
    </w:p>
    <w:p>
      <w:pPr>
        <w:pStyle w:val="Heading2"/>
      </w:pPr>
      <w:r>
        <w:t>4.4 The latent human hooks (the gap that motivates this work)</w:t>
      </w:r>
    </w:p>
    <w:p>
      <w:r>
        <w:t xml:space="preserve">The baseline is fully automated, yet it already contains </w:t>
      </w:r>
      <w:r>
        <w:rPr>
          <w:i/>
        </w:rPr>
        <w:t>latent, unused</w:t>
      </w:r>
      <w:r>
        <w:t xml:space="preserve"> affordances for human involvement  -  data fields, skills, and architectural patterns that anticipate a human in the loop but never activate one.</w:t>
      </w:r>
    </w:p>
    <w:p>
      <w:r>
        <w:t xml:space="preserve">Agent 4 emits </w:t>
      </w:r>
      <w:r>
        <w:rPr>
          <w:rFonts w:ascii="Consolas" w:hAnsi="Consolas"/>
          <w:color w:val="1F4D78"/>
          <w:sz w:val="18"/>
        </w:rPr>
        <w:t>requires_human_review</w:t>
      </w:r>
      <w:r>
        <w:t xml:space="preserve"> (boolean) and </w:t>
      </w:r>
      <w:r>
        <w:rPr>
          <w:rFonts w:ascii="Consolas" w:hAnsi="Consolas"/>
          <w:color w:val="1F4D78"/>
          <w:sz w:val="18"/>
        </w:rPr>
        <w:t>human_review_reason</w:t>
      </w:r>
      <w:r>
        <w:t xml:space="preserve"> (text) for each variability pattern. In the current data, 11 of the 27 patterns have </w:t>
      </w:r>
      <w:r>
        <w:rPr>
          <w:rFonts w:ascii="Consolas" w:hAnsi="Consolas"/>
          <w:color w:val="1F4D78"/>
          <w:sz w:val="18"/>
        </w:rPr>
        <w:t>requires_human_review = true</w:t>
      </w:r>
      <w:r>
        <w:t>, meaning Agent 4's own assessment is that a human should examine these cases. Yet no component reads these fields; they flow into the output JSON and stop there.</w:t>
      </w:r>
    </w:p>
    <w:p>
      <w:r>
        <w:t xml:space="preserve">Confidence values are produced for every classification but never gate anything. A pattern classified as "Substantial" with </w:t>
      </w:r>
      <w:r>
        <w:rPr>
          <w:rFonts w:ascii="Consolas" w:hAnsi="Consolas"/>
          <w:color w:val="1F4D78"/>
          <w:sz w:val="18"/>
        </w:rPr>
        <w:t>confidence = 0.6</w:t>
      </w:r>
      <w:r>
        <w:t xml:space="preserve"> is treated identically to one with </w:t>
      </w:r>
      <w:r>
        <w:rPr>
          <w:rFonts w:ascii="Consolas" w:hAnsi="Consolas"/>
          <w:color w:val="1F4D78"/>
          <w:sz w:val="18"/>
        </w:rPr>
        <w:t>confidence = 0.95</w:t>
      </w:r>
      <w:r>
        <w:t xml:space="preserve">  -  the system makes no distinction between confident and uncertain classifications.</w:t>
      </w:r>
    </w:p>
    <w:p>
      <w:r>
        <w:t xml:space="preserve">The two advanced skills  -  </w:t>
      </w:r>
      <w:r>
        <w:rPr>
          <w:rFonts w:ascii="Consolas" w:hAnsi="Consolas"/>
          <w:color w:val="1F4D78"/>
          <w:sz w:val="18"/>
        </w:rPr>
        <w:t>probe_for_missed_alternatives</w:t>
      </w:r>
      <w:r>
        <w:t xml:space="preserve"> (4-0) and </w:t>
      </w:r>
      <w:r>
        <w:rPr>
          <w:rFonts w:ascii="Consolas" w:hAnsi="Consolas"/>
          <w:color w:val="1F4D78"/>
          <w:sz w:val="18"/>
        </w:rPr>
        <w:t>resolve_with_answers</w:t>
      </w:r>
      <w:r>
        <w:t xml:space="preserve"> (4-3)  -  are implemented in the Agent 4 codebase but never invoked by the orchestrator or evaluator. Skill 4-3 is particularly relevant: it is designed to receive externally provided answers and incorporate them into the classification process, but no external answers are ever provided.</w:t>
      </w:r>
    </w:p>
    <w:p>
      <w:r>
        <w:t>The read-only Tkinter visualizer (</w:t>
      </w:r>
      <w:r>
        <w:rPr>
          <w:rFonts w:ascii="Consolas" w:hAnsi="Consolas"/>
          <w:color w:val="1F4D78"/>
          <w:sz w:val="18"/>
        </w:rPr>
        <w:t>vego_visualizer_delivery/</w:t>
      </w:r>
      <w:r>
        <w:t xml:space="preserve">) shows AI assessments to a human user with detailed panels for each pattern's classification, justification, and evidence  -  but provides no channel to capture a response. The human can </w:t>
      </w:r>
      <w:r>
        <w:rPr>
          <w:i/>
        </w:rPr>
        <w:t>see</w:t>
      </w:r>
      <w:r>
        <w:t xml:space="preserve"> the AI's reasoning but cannot </w:t>
      </w:r>
      <w:r>
        <w:rPr>
          <w:i/>
        </w:rPr>
        <w:t>respond</w:t>
      </w:r>
      <w:r>
        <w:t xml:space="preserve"> to it.</w:t>
      </w:r>
    </w:p>
    <w:p>
      <w:r>
        <w:t xml:space="preserve">The artifact of this thesis (Chapter 5) does not bolt a human onto an unwilling system. It </w:t>
      </w:r>
      <w:r>
        <w:rPr>
          <w:i/>
        </w:rPr>
        <w:t>completes loops the architecture already implies</w:t>
      </w:r>
      <w:r>
        <w:t>, using the existing data fields, uncertainty signals, and architectural insertion points that the baseline already provides.</w:t>
      </w:r>
    </w:p>
    <w:p>
      <w:pPr>
        <w:pStyle w:val="Heading3"/>
      </w:pPr>
      <w:r>
        <w:t>Running example: "Customer as actor" (ucd_ch, P6)</w:t>
      </w:r>
    </w:p>
    <w:p>
      <w:r>
        <w:t xml:space="preserve">To make these latent hooks concrete, consider pattern P6 in the Cheers use-case-diagram setting. Five student models represent "Customer" as an actor who interacts directly with the system  -  placing orders, browsing the wine catalog, or initiating bookings. Agent 4 classifies this recurring deviation as </w:t>
      </w:r>
      <w:r>
        <w:rPr>
          <w:b/>
        </w:rPr>
        <w:t>occasional variability</w:t>
      </w:r>
      <w:r>
        <w:t xml:space="preserve"> (an error) with </w:t>
      </w:r>
      <w:r>
        <w:rPr>
          <w:b/>
        </w:rPr>
        <w:t>Medium confidence</w:t>
      </w:r>
      <w:r>
        <w:t xml:space="preserve">, reasoning that "the representation of 'Customer' as an actor is consistent; however, frequently marked as an alternative indicates an error." The pattern's </w:t>
      </w:r>
      <w:r>
        <w:rPr>
          <w:rFonts w:ascii="Consolas" w:hAnsi="Consolas"/>
          <w:color w:val="1F4D78"/>
          <w:sz w:val="18"/>
        </w:rPr>
        <w:t>flag_for_guidelines_update</w:t>
      </w:r>
      <w:r>
        <w:t xml:space="preserve"> is </w:t>
      </w:r>
      <w:r>
        <w:rPr>
          <w:rFonts w:ascii="Consolas" w:hAnsi="Consolas"/>
          <w:color w:val="1F4D78"/>
          <w:sz w:val="18"/>
        </w:rPr>
        <w:t>false</w:t>
      </w:r>
      <w:r>
        <w:t xml:space="preserve"> and </w:t>
      </w:r>
      <w:r>
        <w:rPr>
          <w:rFonts w:ascii="Consolas" w:hAnsi="Consolas"/>
          <w:color w:val="1F4D78"/>
          <w:sz w:val="18"/>
        </w:rPr>
        <w:t>requires_human_review</w:t>
      </w:r>
      <w:r>
        <w:t xml:space="preserve"> is </w:t>
      </w:r>
      <w:r>
        <w:rPr>
          <w:rFonts w:ascii="Consolas" w:hAnsi="Consolas"/>
          <w:color w:val="1F4D78"/>
          <w:sz w:val="18"/>
        </w:rPr>
        <w:t>false</w:t>
      </w:r>
      <w:r>
        <w:t>.</w:t>
      </w:r>
    </w:p>
    <w:p>
      <w:r>
        <w:t>Yet a domain expert might reasonably disagree: modeling Customer as an actor who places orders is a defensible interpretation, not a misconception. The five students are not making the same mistake  -  they are making the same valid design choice. Agent 4's Medium confidence reflects genuine uncertainty, but no mechanism exists to capture or act on a human expert's judgment about this case. The confidence score flows into the JSON output and stops there. Chapter 5 (§5.2) shows how the thesis artifact routes this pattern to a human, captures the disagreement, and stores it as reusable knowledge (see also Figure 5.2).</w:t>
      </w:r>
    </w:p>
    <w:p>
      <w:pPr>
        <w:pStyle w:val="Heading2"/>
      </w:pPr>
      <w:r>
        <w:t>4.5 Evaluation pipeline and datasets</w:t>
      </w:r>
    </w:p>
    <w:p>
      <w:r>
        <w:t>A separate evaluation pipeline (</w:t>
      </w:r>
      <w:r>
        <w:rPr>
          <w:rFonts w:ascii="Consolas" w:hAnsi="Consolas"/>
          <w:color w:val="1F4D78"/>
          <w:sz w:val="18"/>
        </w:rPr>
        <w:t>eval/evaluator.py</w:t>
      </w:r>
      <w:r>
        <w:t>) runs in four phases (Agents A-D) that parallel and extend the main pipeline. Phase A measures template stability (whether Agent 1's language template is consistent across runs). Phase B measures guideline stability (whether Agent 2's reference guidelines converge). Phase C scores models against a junior grader's expectations. Phase D re-runs Agent 4 to produce the committed variability classifications that constitute the evaluation output.</w:t>
      </w:r>
    </w:p>
    <w:p>
      <w:r>
        <w:t xml:space="preserve">The study spans </w:t>
      </w:r>
      <w:r>
        <w:rPr>
          <w:b/>
        </w:rPr>
        <w:t>four settings</w:t>
      </w:r>
      <w:r>
        <w:t xml:space="preserve"> defined by the crossing of two factors:</w:t>
      </w:r>
    </w:p>
    <w:tbl>
      <w:tblPr>
        <w:tblStyle w:val="TableGrid"/>
        <w:tblW w:type="dxa" w:w="9360"/>
        <w:jc w:val="left"/>
        <w:tblLayout w:type="fixed"/>
        <w:tblLook w:firstColumn="1" w:firstRow="1" w:lastColumn="0" w:lastRow="0" w:noHBand="0" w:noVBand="1" w:val="04A0"/>
        <w:tblInd w:w="120" w:type="dxa"/>
      </w:tblPr>
      <w:tblGrid>
        <w:gridCol w:w="902"/>
        <w:gridCol w:w="2819"/>
        <w:gridCol w:w="1804"/>
        <w:gridCol w:w="1579"/>
        <w:gridCol w:w="2256"/>
      </w:tblGrid>
      <w:tr>
        <w:trPr>
          <w:cantSplit/>
          <w:tblHeader w:val="true"/>
        </w:trPr>
        <w:tc>
          <w:tcPr>
            <w:tcW w:type="dxa" w:w="90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Setting</w:t>
            </w:r>
          </w:p>
        </w:tc>
        <w:tc>
          <w:tcPr>
            <w:tcW w:type="dxa" w:w="281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Domain</w:t>
            </w:r>
          </w:p>
        </w:tc>
        <w:tc>
          <w:tcPr>
            <w:tcW w:type="dxa" w:w="180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Diagram type</w:t>
            </w:r>
          </w:p>
        </w:tc>
        <w:tc>
          <w:tcPr>
            <w:tcW w:type="dxa" w:w="157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Student models</w:t>
            </w:r>
          </w:p>
        </w:tc>
        <w:tc>
          <w:tcPr>
            <w:tcW w:type="dxa" w:w="22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Variability patterns</w:t>
            </w:r>
          </w:p>
        </w:tc>
      </w:tr>
      <w:tr>
        <w:trPr>
          <w:cantSplit/>
        </w:trPr>
        <w:tc>
          <w:tcPr>
            <w:tcW w:type="dxa" w:w="90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ucd_ch</w:t>
            </w:r>
          </w:p>
        </w:tc>
        <w:tc>
          <w:tcPr>
            <w:tcW w:type="dxa" w:w="2819"/>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ucd_pw</w:t>
            </w:r>
          </w:p>
        </w:tc>
        <w:tc>
          <w:tcPr>
            <w:tcW w:type="dxa" w:w="2819"/>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cd_ch</w:t>
            </w:r>
          </w:p>
        </w:tc>
        <w:tc>
          <w:tcPr>
            <w:tcW w:type="dxa" w:w="2819"/>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cd_pw</w:t>
            </w:r>
          </w:p>
        </w:tc>
        <w:tc>
          <w:tcPr>
            <w:tcW w:type="dxa" w:w="2819"/>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varies</w:t>
            </w:r>
          </w:p>
        </w:tc>
      </w:tr>
    </w:tbl>
    <w:p>
      <w:pPr>
        <w:spacing w:after="40"/>
      </w:pPr>
    </w:p>
    <w:p>
      <w:r>
        <w:t xml:space="preserve">Across the four settings, the pipeline processes </w:t>
      </w:r>
      <w:r>
        <w:rPr>
          <w:b/>
        </w:rPr>
        <w:t>179 student models</w:t>
      </w:r>
      <w:r>
        <w:t xml:space="preserve"> aggregated into </w:t>
      </w:r>
      <w:r>
        <w:rPr>
          <w:b/>
        </w:rPr>
        <w:t>27 recurring variability patterns</w:t>
      </w:r>
      <w:r>
        <w:t xml:space="preserve"> (9 classified as Substantial, 18 as Occasional, 0 as Undetermined). These committed outputs (</w:t>
      </w:r>
      <w:r>
        <w:rPr>
          <w:rFonts w:ascii="Consolas" w:hAnsi="Consolas"/>
          <w:color w:val="1F4D78"/>
          <w:sz w:val="18"/>
        </w:rPr>
        <w:t>eval_output/&lt;setting&gt;/agentD_variability_classes*.json</w:t>
      </w:r>
      <w:r>
        <w:t xml:space="preserve">) constitute the </w:t>
      </w:r>
      <w:r>
        <w:rPr>
          <w:b/>
        </w:rPr>
        <w:t>C0 baseline</w:t>
      </w:r>
      <w:r>
        <w:t xml:space="preserve"> used throughout the evaluation.</w:t>
      </w:r>
    </w:p>
    <w:p>
      <w:r>
        <w:t xml:space="preserve">The same artifact is called </w:t>
      </w:r>
      <w:r>
        <w:rPr>
          <w:b/>
        </w:rPr>
        <w:t>B0</w:t>
      </w:r>
      <w:r>
        <w:t xml:space="preserve"> in the evidence-maturity ladder introduced in Chapter 6. C0 describes the architectural condition; B0 describes its role as the frozen empirical comparator. The class counts above are Agent 4 output prevalence. They do not establish the true expert-label prevalence, and the absence of Undetermined outputs cannot be interpreted as correct rejection of that class.</w:t>
      </w:r>
    </w:p>
    <w:p>
      <w:pPr>
        <w:pStyle w:val="Heading2"/>
      </w:pPr>
      <w:r>
        <w:t>4.6 Baseline outputs and the read-only contract</w:t>
      </w:r>
    </w:p>
    <w:p>
      <w:r>
        <w:t xml:space="preserve">Each evaluation run writes per-setting JSON artifacts  -  language templates, domain guidelines, model compliance vectors, and variability classifications  -  plus an </w:t>
      </w:r>
      <w:r>
        <w:rPr>
          <w:rFonts w:ascii="Consolas" w:hAnsi="Consolas"/>
          <w:color w:val="1F4D78"/>
          <w:sz w:val="18"/>
        </w:rPr>
        <w:t>interaction_log.jsonl</w:t>
      </w:r>
      <w:r>
        <w:t xml:space="preserve"> recording all cross-agent Q&amp;A exchanges. For this thesis, the baseline is treated as </w:t>
      </w:r>
      <w:r>
        <w:rPr>
          <w:b/>
        </w:rPr>
        <w:t>immutable</w:t>
      </w:r>
      <w:r>
        <w:t xml:space="preserve">: no experiment overwrites </w:t>
      </w:r>
      <w:r>
        <w:rPr>
          <w:rFonts w:ascii="Consolas" w:hAnsi="Consolas"/>
          <w:color w:val="1F4D78"/>
          <w:sz w:val="18"/>
        </w:rPr>
        <w:t>eval_output/</w:t>
      </w:r>
      <w:r>
        <w:t>, no extension modifies Agent 1-4, and no LLM or API call is introduced into the human-judgment extension.</w:t>
      </w:r>
    </w:p>
    <w:p>
      <w:r>
        <w:t xml:space="preserve">A critical, easily-missed point that governs the entire evaluation: the repository contains </w:t>
      </w:r>
      <w:r>
        <w:rPr>
          <w:b/>
        </w:rPr>
        <w:t>no independent benchmark</w:t>
      </w:r>
      <w:r>
        <w:t xml:space="preserve">. The author-reviewed classification files </w:t>
      </w:r>
      <w:r>
        <w:rPr>
          <w:rFonts w:ascii="Consolas" w:hAnsi="Consolas"/>
          <w:color w:val="1F4D78"/>
          <w:sz w:val="18"/>
        </w:rPr>
        <w:t>analysis/agentD_variability_classes_*.json</w:t>
      </w:r>
      <w:r>
        <w:t xml:space="preserve"> are </w:t>
      </w:r>
      <w:r>
        <w:rPr>
          <w:b/>
        </w:rPr>
        <w:t>byte-identical</w:t>
      </w:r>
      <w:r>
        <w:t xml:space="preserve"> to the Agent 4 output for all 27 patterns  -  every field, including the textual justification, matches exactly. They therefore record author </w:t>
      </w:r>
      <w:r>
        <w:rPr>
          <w:i/>
        </w:rPr>
        <w:t>agreement</w:t>
      </w:r>
      <w:r>
        <w:t xml:space="preserve"> with Agent 4, not an independent label set. Using them as ground truth would be grading Agent 4 against itself. This finding, documented in §6.2, means that the only admissible ground truth for evaluating the artifact's effect on classification accuracy is </w:t>
      </w:r>
      <w:r>
        <w:rPr>
          <w:b/>
        </w:rPr>
        <w:t>newly collected, independent expert labels</w:t>
      </w:r>
      <w:r>
        <w:t xml:space="preserve">  -  the subject of the annotation protocol defined in Chapter 6.</w:t>
      </w:r>
    </w:p>
    <w:p>
      <w:r>
        <w:t>The baseline's role in this thesis is to be preserved, reproduced, and compared against  -  never to be edited or treated as ground truth for itself. This read-only contract is enforced by the evidence-consistency guard (</w:t>
      </w:r>
      <w:r>
        <w:rPr>
          <w:rFonts w:ascii="Consolas" w:hAnsi="Consolas"/>
          <w:color w:val="1F4D78"/>
          <w:sz w:val="18"/>
        </w:rPr>
        <w:t>scripts/check_evidence_consistency.py</w:t>
      </w:r>
      <w:r>
        <w:t xml:space="preserve">), which verifies at every prompt that the baseline outputs remain unmodified, that </w:t>
      </w:r>
      <w:r>
        <w:rPr>
          <w:rFonts w:ascii="Consolas" w:hAnsi="Consolas"/>
          <w:color w:val="1F4D78"/>
          <w:sz w:val="18"/>
        </w:rPr>
        <w:t>ai_classification_changed</w:t>
      </w:r>
      <w:r>
        <w:t xml:space="preserve"> remains zero, and that no extension has overwritten controlled artifacts.</w:t>
      </w:r>
    </w:p>
    <w:p>
      <w:r>
        <w:t xml:space="preserve">The baseline is identified by tag </w:t>
      </w:r>
      <w:r>
        <w:rPr>
          <w:rFonts w:ascii="Consolas" w:hAnsi="Consolas"/>
          <w:color w:val="1F4D78"/>
          <w:sz w:val="18"/>
        </w:rPr>
        <w:t>official-vego-ai-baseline</w:t>
      </w:r>
      <w:r>
        <w:t xml:space="preserve"> and commit </w:t>
      </w:r>
      <w:r>
        <w:rPr>
          <w:rFonts w:ascii="Consolas" w:hAnsi="Consolas"/>
          <w:color w:val="1F4D78"/>
          <w:sz w:val="18"/>
        </w:rPr>
        <w:t>2eeccb1cbb2d01faa3e8ceb43466a52e0fee23cf</w:t>
      </w:r>
      <w:r>
        <w:t>. Every later evaluation manifest records the relevant baseline hashes. A mismatch stops the evaluation rather than silently redefining B0.</w:t>
      </w:r>
    </w:p>
    <w:p>
      <w:pPr>
        <w:pStyle w:val="Heading1"/>
        <w:pageBreakBefore/>
      </w:pPr>
      <w:r>
        <w:t>Chapter 5  -  The Human-AI Co-Reasoning Artifact (M1-M4B-1)</w:t>
      </w:r>
    </w:p>
    <w:p>
      <w:pPr>
        <w:pStyle w:val="EvidenceCallout"/>
        <w:shd w:fill="EEF5FA"/>
        <w:pBdr>
          <w:left w:val="single" w:sz="18" w:space="8" w:color="2E74B5"/>
        </w:pBdr>
      </w:pPr>
      <w:r>
        <w:t xml:space="preserve">Draft. Describes the implemented extension that turns VEGO-AI from an automated pipeline into a staged human-AI co-reasoning system. Sources: </w:t>
      </w:r>
      <w:r>
        <w:rPr>
          <w:rFonts w:ascii="Consolas" w:hAnsi="Consolas"/>
          <w:color w:val="1F4D78"/>
          <w:sz w:val="18"/>
        </w:rPr>
        <w:t>VEGO-AI/framework/{selective_intervention_policy,human_review_queue, human_feedback_manager,human_judgment_memory,memory_advisor,memory_informed_classifier}.py</w:t>
      </w:r>
      <w:r>
        <w:t xml:space="preserve">, the matching </w:t>
      </w:r>
      <w:r>
        <w:rPr>
          <w:rFonts w:ascii="Consolas" w:hAnsi="Consolas"/>
          <w:color w:val="1F4D78"/>
          <w:sz w:val="18"/>
        </w:rPr>
        <w:t>VEGO-AI/schemas/*.json</w:t>
      </w:r>
      <w:r>
        <w:t xml:space="preserve"> and </w:t>
      </w:r>
      <w:r>
        <w:rPr>
          <w:rFonts w:ascii="Consolas" w:hAnsi="Consolas"/>
          <w:color w:val="1F4D78"/>
          <w:sz w:val="18"/>
        </w:rPr>
        <w:t>VEGO-AI/docs/*.md</w:t>
      </w:r>
      <w:r>
        <w:t xml:space="preserve">, and </w:t>
      </w:r>
      <w:r>
        <w:rPr>
          <w:rFonts w:ascii="Consolas" w:hAnsi="Consolas"/>
          <w:color w:val="1F4D78"/>
          <w:sz w:val="18"/>
        </w:rPr>
        <w:t>docs/agent-memory/shared-state-report.md</w:t>
      </w:r>
      <w:r>
        <w:t>.</w:t>
      </w:r>
    </w:p>
    <w:p>
      <w:pPr>
        <w:pStyle w:val="Heading2"/>
      </w:pPr>
      <w:r>
        <w:t>5.1 Design principle</w:t>
      </w:r>
    </w:p>
    <w:p>
      <w:r>
        <w:t xml:space="preserve">The contribution of this thesis is not "add a human-in-the-loop step" but </w:t>
      </w:r>
      <w:r>
        <w:rPr>
          <w:b/>
        </w:rPr>
        <w:t>transform human judgment into structured, reusable knowledge</w:t>
      </w:r>
      <w:r>
        <w:t xml:space="preserve"> for AI-assisted domain-model assessment. This distinction is fundamental: many systems incorporate human review, but few treat the resulting judgment as a durable asset that accumulates value over time. The design is guided by three core principles.</w:t>
      </w:r>
    </w:p>
    <w:p>
      <w:r>
        <w:t xml:space="preserve">First, </w:t>
      </w:r>
      <w:r>
        <w:rPr>
          <w:b/>
        </w:rPr>
        <w:t>durability over transience</w:t>
      </w:r>
      <w:r>
        <w:t xml:space="preserve">. Every human judgment should become persistent, retrievable knowledge rather than a one-time correction that is consumed and discarded. This means the system must not only capture what the expert decided but also </w:t>
      </w:r>
      <w:r>
        <w:rPr>
          <w:i/>
        </w:rPr>
        <w:t>why</w:t>
      </w:r>
      <w:r>
        <w:t xml:space="preserve"> they decided it, </w:t>
      </w:r>
      <w:r>
        <w:rPr>
          <w:i/>
        </w:rPr>
        <w:t>which case</w:t>
      </w:r>
      <w:r>
        <w:t xml:space="preserve"> prompted the decision, and </w:t>
      </w:r>
      <w:r>
        <w:rPr>
          <w:i/>
        </w:rPr>
        <w:t>under what conditions</w:t>
      </w:r>
      <w:r>
        <w:t xml:space="preserve"> the decision should be reused.</w:t>
      </w:r>
    </w:p>
    <w:p>
      <w:r>
        <w:t xml:space="preserve">Second, </w:t>
      </w:r>
      <w:r>
        <w:rPr>
          <w:b/>
        </w:rPr>
        <w:t>additivity and non-destruction</w:t>
      </w:r>
      <w:r>
        <w:t>. Every layer of the artifact consumes the baseline's existing evidence and produces new artifacts alongside it. No layer modifies, overwrites, or suppresses an AI classification. The original Agent 4 output is preserved verbatim throughout the entire chain, so that the artifact's effect can be measured against an uncontaminated baseline.</w:t>
      </w:r>
    </w:p>
    <w:p>
      <w:r>
        <w:t xml:space="preserve">Third, </w:t>
      </w:r>
      <w:r>
        <w:rPr>
          <w:b/>
        </w:rPr>
        <w:t>future-proofing</w:t>
      </w:r>
      <w:r>
        <w:t>. The human-judgment asset should retain value even as the underlying LLM improves. A general model update might reduce some classification errors, but it cannot encode institution-specific norms, pedagogical intent, domain conventions, or historical precedent  -  the kinds of knowledge that human experts contribute. The judgment memory is designed to be valuable precisely because it encodes what no general model contains.</w:t>
      </w:r>
    </w:p>
    <w:p>
      <w:pPr>
        <w:pStyle w:val="EvidenceCallout"/>
        <w:shd w:fill="EEF5FA"/>
        <w:pBdr>
          <w:left w:val="single" w:sz="18" w:space="8" w:color="2E74B5"/>
        </w:pBdr>
      </w:pPr>
      <w:r>
        <w:rPr>
          <w:b/>
        </w:rPr>
        <w:t>Figure 5.1.</w:t>
      </w:r>
      <w:r>
        <w:t xml:space="preserve"> End-to-end architecture of the human-AI co-reasoning artifact. Each layer adds a file-level artifact while preserving the baseline. See </w:t>
      </w:r>
      <w:r>
        <w:rPr>
          <w:rFonts w:ascii="Consolas" w:hAnsi="Consolas"/>
          <w:color w:val="1F4D78"/>
          <w:sz w:val="18"/>
        </w:rPr>
        <w:t>thesis/figures/fig-5-1-co-reasoning-artifact.mmd</w:t>
      </w:r>
      <w:r>
        <w:t xml:space="preserve"> for the full Mermaid source.</w:t>
      </w:r>
    </w:p>
    <w:p>
      <w:pPr>
        <w:pStyle w:val="Heading2"/>
      </w:pPr>
      <w:r>
        <w:t>5.2 M1  -  Human Review Queue</w:t>
      </w:r>
    </w:p>
    <w:p>
      <w:r>
        <w:t xml:space="preserve">M1 operationalizes the baseline's latent review signals  -  the </w:t>
      </w:r>
      <w:r>
        <w:rPr>
          <w:rFonts w:ascii="Consolas" w:hAnsi="Consolas"/>
          <w:color w:val="1F4D78"/>
          <w:sz w:val="18"/>
        </w:rPr>
        <w:t>requires_human_review</w:t>
      </w:r>
      <w:r>
        <w:t xml:space="preserve">, </w:t>
      </w:r>
      <w:r>
        <w:rPr>
          <w:rFonts w:ascii="Consolas" w:hAnsi="Consolas"/>
          <w:color w:val="1F4D78"/>
          <w:sz w:val="18"/>
        </w:rPr>
        <w:t>confidence</w:t>
      </w:r>
      <w:r>
        <w:t xml:space="preserve">, and </w:t>
      </w:r>
      <w:r>
        <w:rPr>
          <w:rFonts w:ascii="Consolas" w:hAnsi="Consolas"/>
          <w:color w:val="1F4D78"/>
          <w:sz w:val="18"/>
        </w:rPr>
        <w:t>flag_for_guidelines_update</w:t>
      </w:r>
      <w:r>
        <w:t xml:space="preserve"> fields that Agent 4 produces but no component acts upon (§4.4).</w:t>
      </w:r>
    </w:p>
    <w:p>
      <w:pPr>
        <w:pStyle w:val="Heading3"/>
      </w:pPr>
      <w:r>
        <w:t>Design rationale</w:t>
      </w:r>
    </w:p>
    <w:p>
      <w:r>
        <w:t xml:space="preserve">The key design decision in M1 is </w:t>
      </w:r>
      <w:r>
        <w:rPr>
          <w:i/>
        </w:rPr>
        <w:t>selectivity</w:t>
      </w:r>
      <w:r>
        <w:t>: not every pattern needs human review, and reviewing everything would be neither scalable nor useful. The Selective Intervention Policy (</w:t>
      </w:r>
      <w:r>
        <w:rPr>
          <w:rFonts w:ascii="Consolas" w:hAnsi="Consolas"/>
          <w:color w:val="1F4D78"/>
          <w:sz w:val="18"/>
        </w:rPr>
        <w:t>selective_intervention_policy.py</w:t>
      </w:r>
      <w:r>
        <w:t>) implements a rule-based filter that identifies the patterns where human judgment is most likely to matter, based on the AI's own uncertainty signals. This positions the system as on-the-loop (§2.5): the AI operates autonomously for confident, unambiguous cases, and the human is engaged by exception.</w:t>
      </w:r>
    </w:p>
    <w:p>
      <w:pPr>
        <w:pStyle w:val="Heading3"/>
      </w:pPr>
      <w:r>
        <w:t>Intervention criteria</w:t>
      </w:r>
    </w:p>
    <w:p>
      <w:r>
        <w:t xml:space="preserve">A pattern is routed to the human review queue if any of the following conditions hold: Agent 4 has set </w:t>
      </w:r>
      <w:r>
        <w:rPr>
          <w:rFonts w:ascii="Consolas" w:hAnsi="Consolas"/>
          <w:color w:val="1F4D78"/>
          <w:sz w:val="18"/>
        </w:rPr>
        <w:t>requires_human_review = true</w:t>
      </w:r>
      <w:r>
        <w:t xml:space="preserve">; the classification is </w:t>
      </w:r>
      <w:r>
        <w:rPr>
          <w:rFonts w:ascii="Consolas" w:hAnsi="Consolas"/>
          <w:color w:val="1F4D78"/>
          <w:sz w:val="18"/>
        </w:rPr>
        <w:t>Undetermined</w:t>
      </w:r>
      <w:r>
        <w:t>; the confidence is low or medium (below a configurable threshold); or Agent 4 has flagged the pattern for guideline update (</w:t>
      </w:r>
      <w:r>
        <w:rPr>
          <w:rFonts w:ascii="Consolas" w:hAnsi="Consolas"/>
          <w:color w:val="1F4D78"/>
          <w:sz w:val="18"/>
        </w:rPr>
        <w:t>flag_for_guidelines_update = true</w:t>
      </w:r>
      <w:r>
        <w:t>). These criteria are conjunctive with the AI's own signals  -  the policy does not override the AI's classification but identifies cases where the AI itself is uncertain or recommends review.</w:t>
      </w:r>
    </w:p>
    <w:p>
      <w:pPr>
        <w:pStyle w:val="Heading3"/>
      </w:pPr>
      <w:r>
        <w:t>Queue structure</w:t>
      </w:r>
    </w:p>
    <w:p>
      <w:r>
        <w:rPr>
          <w:rFonts w:ascii="Consolas" w:hAnsi="Consolas"/>
          <w:color w:val="1F4D78"/>
          <w:sz w:val="18"/>
        </w:rPr>
        <w:t>human_review_queue.py</w:t>
      </w:r>
      <w:r>
        <w:t xml:space="preserve"> joins each flagged classification with its deviation-pattern context and emits one </w:t>
      </w:r>
      <w:r>
        <w:rPr>
          <w:rFonts w:ascii="Consolas" w:hAnsi="Consolas"/>
          <w:color w:val="1F4D78"/>
          <w:sz w:val="18"/>
        </w:rPr>
        <w:t>human_review_queue.jsonl</w:t>
      </w:r>
      <w:r>
        <w:t xml:space="preserve"> item per pattern. Each queue item contains the pattern description, the AI's classification and justification, the triggering criteria, the affected student models, and the related guideline  -  all the context a human reviewer needs to make an informed judgment.</w:t>
      </w:r>
    </w:p>
    <w:p>
      <w:r>
        <w:rPr>
          <w:b/>
        </w:rPr>
        <w:t>M1.2</w:t>
      </w:r>
      <w:r>
        <w:t xml:space="preserve"> adds a deterministic, order-independent </w:t>
      </w:r>
      <w:r>
        <w:rPr>
          <w:rFonts w:ascii="Consolas" w:hAnsi="Consolas"/>
          <w:color w:val="1F4D78"/>
          <w:sz w:val="18"/>
        </w:rPr>
        <w:t>review_signature</w:t>
      </w:r>
      <w:r>
        <w:t xml:space="preserve"> computed over stable fields (setting, pattern ID, classification, and justification hash), plus a </w:t>
      </w:r>
      <w:r>
        <w:rPr>
          <w:rFonts w:ascii="Consolas" w:hAnsi="Consolas"/>
          <w:color w:val="1F4D78"/>
          <w:sz w:val="18"/>
        </w:rPr>
        <w:t>source_pattern_id</w:t>
      </w:r>
      <w:r>
        <w:t xml:space="preserve"> that links back to the Agent 4 output. The signature serves two purposes: it allows later feedback (M2) to join safely even if the queue is regenerated from a different run order, and it provides a tamper-detection mechanism  -  if the AI's output changes between queue generation and feedback attachment, the signature mismatch is detected and recorded.</w:t>
      </w:r>
    </w:p>
    <w:p>
      <w:r>
        <w:rPr>
          <w:i/>
        </w:rPr>
        <w:t>Contribution to SQ1:</w:t>
      </w:r>
      <w:r>
        <w:t xml:space="preserve"> VEGO-AI can now identify and persist where human judgment is requested, instead of leaving the signal unused. The current policy routes 11 of 27 patterns rather than routing every pattern. Whether this selection captures the cases that matter most or reduces reviewer effort without harmful misses remains an empirical question for EXP-021, EXP-022, and EXP-026.</w:t>
      </w:r>
    </w:p>
    <w:p>
      <w:pPr>
        <w:pStyle w:val="Heading2"/>
      </w:pPr>
      <w:r>
        <w:t>5.3 M2  -  Human Feedback Manager</w:t>
      </w:r>
    </w:p>
    <w:p>
      <w:r>
        <w:t>M2 provides the mechanism for capturing expert decisions in a structured, machine-actionable format and attaching them to the specific review items they address.</w:t>
      </w:r>
    </w:p>
    <w:p>
      <w:pPr>
        <w:pStyle w:val="Heading3"/>
      </w:pPr>
      <w:r>
        <w:t>Design rationale</w:t>
      </w:r>
    </w:p>
    <w:p>
      <w:r>
        <w:t xml:space="preserve">The design choice that distinguishes M2 from informal feedback (free-text comments, email exchanges, verbal discussions) is </w:t>
      </w:r>
      <w:r>
        <w:rPr>
          <w:b/>
        </w:rPr>
        <w:t>schema validation</w:t>
      </w:r>
      <w:r>
        <w:t xml:space="preserve">. Every feedback entry must conform to </w:t>
      </w:r>
      <w:r>
        <w:rPr>
          <w:rFonts w:ascii="Consolas" w:hAnsi="Consolas"/>
          <w:color w:val="1F4D78"/>
          <w:sz w:val="18"/>
        </w:rPr>
        <w:t>human_feedback.schema.json</w:t>
      </w:r>
      <w:r>
        <w:t>, which requires: a decision (</w:t>
      </w:r>
      <w:r>
        <w:rPr>
          <w:rFonts w:ascii="Consolas" w:hAnsi="Consolas"/>
          <w:color w:val="1F4D78"/>
          <w:sz w:val="18"/>
        </w:rPr>
        <w:t>approve</w:t>
      </w:r>
      <w:r>
        <w:t xml:space="preserve">, </w:t>
      </w:r>
      <w:r>
        <w:rPr>
          <w:rFonts w:ascii="Consolas" w:hAnsi="Consolas"/>
          <w:color w:val="1F4D78"/>
          <w:sz w:val="18"/>
        </w:rPr>
        <w:t>reject</w:t>
      </w:r>
      <w:r>
        <w:t xml:space="preserve">, </w:t>
      </w:r>
      <w:r>
        <w:rPr>
          <w:rFonts w:ascii="Consolas" w:hAnsi="Consolas"/>
          <w:color w:val="1F4D78"/>
          <w:sz w:val="18"/>
        </w:rPr>
        <w:t>reclassify</w:t>
      </w:r>
      <w:r>
        <w:t xml:space="preserve">, or </w:t>
      </w:r>
      <w:r>
        <w:rPr>
          <w:rFonts w:ascii="Consolas" w:hAnsi="Consolas"/>
          <w:color w:val="1F4D78"/>
          <w:sz w:val="18"/>
        </w:rPr>
        <w:t>defer</w:t>
      </w:r>
      <w:r>
        <w:t>), a rationale (required for all non-approve decisions), a reviewer identifier, and a timestamp. This ensures that feedback is comparable, auditable, and machine-processable  -  qualities that are necessary if the judgment is to be promoted to reusable memory (M3).</w:t>
      </w:r>
    </w:p>
    <w:p>
      <w:pPr>
        <w:pStyle w:val="Heading3"/>
      </w:pPr>
      <w:r>
        <w:t>Signature verification</w:t>
      </w:r>
    </w:p>
    <w:p>
      <w:r>
        <w:t xml:space="preserve">Feedback joins by </w:t>
      </w:r>
      <w:r>
        <w:rPr>
          <w:rFonts w:ascii="Consolas" w:hAnsi="Consolas"/>
          <w:color w:val="1F4D78"/>
          <w:sz w:val="18"/>
        </w:rPr>
        <w:t>review_id</w:t>
      </w:r>
      <w:r>
        <w:t xml:space="preserve"> and </w:t>
      </w:r>
      <w:r>
        <w:rPr>
          <w:b/>
        </w:rPr>
        <w:t>verifies the `review_signature`</w:t>
      </w:r>
      <w:r>
        <w:t xml:space="preserve"> of the target review item. If the signature does not match  -  indicating that the AI's output has changed since the review item was generated  -  the mismatch is recorded as </w:t>
      </w:r>
      <w:r>
        <w:rPr>
          <w:rFonts w:ascii="Consolas" w:hAnsi="Consolas"/>
          <w:color w:val="1F4D78"/>
          <w:sz w:val="18"/>
        </w:rPr>
        <w:t>signature_mismatch</w:t>
      </w:r>
      <w:r>
        <w:t xml:space="preserve"> and the feedback is not applied silently. This prevents a subtle but important failure mode: if Agent 4 is re-run with different parameters and produces a different classification for the same pattern, the expert's feedback (which was based on the original classification) should not be blindly attached to the new one.</w:t>
      </w:r>
    </w:p>
    <w:p>
      <w:pPr>
        <w:pStyle w:val="Heading3"/>
      </w:pPr>
      <w:r>
        <w:t>Non-destructive attachment</w:t>
      </w:r>
    </w:p>
    <w:p>
      <w:r>
        <w:rPr>
          <w:rFonts w:ascii="Consolas" w:hAnsi="Consolas"/>
          <w:color w:val="1F4D78"/>
          <w:sz w:val="18"/>
        </w:rPr>
        <w:t>human_feedback_manager.py</w:t>
      </w:r>
      <w:r>
        <w:t xml:space="preserve"> produces </w:t>
      </w:r>
      <w:r>
        <w:rPr>
          <w:rFonts w:ascii="Consolas" w:hAnsi="Consolas"/>
          <w:color w:val="1F4D78"/>
          <w:sz w:val="18"/>
        </w:rPr>
        <w:t>human_review_queue_resolved.jsonl</w:t>
      </w:r>
      <w:r>
        <w:t xml:space="preserve">  -  a new file that contains the original queue items enriched with the attached feedback. The original </w:t>
      </w:r>
      <w:r>
        <w:rPr>
          <w:rFonts w:ascii="Consolas" w:hAnsi="Consolas"/>
          <w:color w:val="1F4D78"/>
          <w:sz w:val="18"/>
        </w:rPr>
        <w:t>human_review_queue.jsonl</w:t>
      </w:r>
      <w:r>
        <w:t xml:space="preserve"> is never overwritten. This preserves the audit trail: the original queue represents the AI's uncertainty, and the resolved queue represents the human's response to that uncertainty.</w:t>
      </w:r>
    </w:p>
    <w:p>
      <w:r>
        <w:rPr>
          <w:i/>
        </w:rPr>
        <w:t>Contribution to SQ2/SQ4:</w:t>
      </w:r>
      <w:r>
        <w:t xml:space="preserve"> Human feedback becomes structured, validated, and linked to the specific AI decision it addresses. Information flows bidirectionally: the AI's evidence and justification inform the human's review, and the human's structured decision feeds forward into the memory layer.</w:t>
      </w:r>
    </w:p>
    <w:p>
      <w:pPr>
        <w:pStyle w:val="Heading2"/>
      </w:pPr>
      <w:r>
        <w:t>5.4 M3  -  Human Judgment Memory</w:t>
      </w:r>
    </w:p>
    <w:p>
      <w:r>
        <w:t>M3 is the central design contribution of the thesis: a provenance-tracked store of reusable human judgments that can be queried for future, similar cases.</w:t>
      </w:r>
    </w:p>
    <w:p>
      <w:pPr>
        <w:pStyle w:val="Heading3"/>
      </w:pPr>
      <w:r>
        <w:t>Design rationale</w:t>
      </w:r>
    </w:p>
    <w:p>
      <w:r>
        <w:t xml:space="preserve">The distinction between M2 (feedback) and M3 (memory) is deliberate. Not all feedback should become reusable knowledge: a </w:t>
      </w:r>
      <w:r>
        <w:rPr>
          <w:rFonts w:ascii="Consolas" w:hAnsi="Consolas"/>
          <w:color w:val="1F4D78"/>
          <w:sz w:val="18"/>
        </w:rPr>
        <w:t>defer</w:t>
      </w:r>
      <w:r>
        <w:t xml:space="preserve"> decision indicates that the expert needs more information, not that they have made a judgment; a one-time correction of a clear error may not generalize to other cases. M3 therefore requires explicit promotion: only feedback with </w:t>
      </w:r>
      <w:r>
        <w:rPr>
          <w:rFonts w:ascii="Consolas" w:hAnsi="Consolas"/>
          <w:color w:val="1F4D78"/>
          <w:sz w:val="18"/>
        </w:rPr>
        <w:t>status == resolved</w:t>
      </w:r>
      <w:r>
        <w:t xml:space="preserve">, </w:t>
      </w:r>
      <w:r>
        <w:rPr>
          <w:rFonts w:ascii="Consolas" w:hAnsi="Consolas"/>
          <w:color w:val="1F4D78"/>
          <w:sz w:val="18"/>
        </w:rPr>
        <w:t>reusable == true</w:t>
      </w:r>
      <w:r>
        <w:t>, a valid signature, and a human rationale is ingested into the memory store.</w:t>
      </w:r>
    </w:p>
    <w:p>
      <w:pPr>
        <w:pStyle w:val="Heading3"/>
      </w:pPr>
      <w:r>
        <w:t>Memory schema</w:t>
      </w:r>
    </w:p>
    <w:p>
      <w:r>
        <w:t>Each memory item (</w:t>
      </w:r>
      <w:r>
        <w:rPr>
          <w:rFonts w:ascii="Consolas" w:hAnsi="Consolas"/>
          <w:color w:val="1F4D78"/>
          <w:sz w:val="18"/>
        </w:rPr>
        <w:t>human_judgment.schema.json</w:t>
      </w:r>
      <w:r>
        <w:t xml:space="preserve">) stores: a unique </w:t>
      </w:r>
      <w:r>
        <w:rPr>
          <w:rFonts w:ascii="Consolas" w:hAnsi="Consolas"/>
          <w:color w:val="1F4D78"/>
          <w:sz w:val="18"/>
        </w:rPr>
        <w:t>memory_id</w:t>
      </w:r>
      <w:r>
        <w:t xml:space="preserve">; a </w:t>
      </w:r>
      <w:r>
        <w:rPr>
          <w:rFonts w:ascii="Consolas" w:hAnsi="Consolas"/>
          <w:color w:val="1F4D78"/>
          <w:sz w:val="18"/>
        </w:rPr>
        <w:t>memory_signature</w:t>
      </w:r>
      <w:r>
        <w:t xml:space="preserve"> for integrity verification; the source </w:t>
      </w:r>
      <w:r>
        <w:rPr>
          <w:rFonts w:ascii="Consolas" w:hAnsi="Consolas"/>
          <w:color w:val="1F4D78"/>
          <w:sz w:val="18"/>
        </w:rPr>
        <w:t>review_id</w:t>
      </w:r>
      <w:r>
        <w:t xml:space="preserve"> and </w:t>
      </w:r>
      <w:r>
        <w:rPr>
          <w:rFonts w:ascii="Consolas" w:hAnsi="Consolas"/>
          <w:color w:val="1F4D78"/>
          <w:sz w:val="18"/>
        </w:rPr>
        <w:t>feedback_id</w:t>
      </w:r>
      <w:r>
        <w:t xml:space="preserve"> (provenance chain); the human's </w:t>
      </w:r>
      <w:r>
        <w:rPr>
          <w:rFonts w:ascii="Consolas" w:hAnsi="Consolas"/>
          <w:color w:val="1F4D78"/>
          <w:sz w:val="18"/>
        </w:rPr>
        <w:t>decision</w:t>
      </w:r>
      <w:r>
        <w:t xml:space="preserve"> and </w:t>
      </w:r>
      <w:r>
        <w:rPr>
          <w:rFonts w:ascii="Consolas" w:hAnsi="Consolas"/>
          <w:color w:val="1F4D78"/>
          <w:sz w:val="18"/>
        </w:rPr>
        <w:t>rationale</w:t>
      </w:r>
      <w:r>
        <w:t xml:space="preserve">; a </w:t>
      </w:r>
      <w:r>
        <w:rPr>
          <w:rFonts w:ascii="Consolas" w:hAnsi="Consolas"/>
          <w:color w:val="1F4D78"/>
          <w:sz w:val="18"/>
        </w:rPr>
        <w:t>reuse_scope</w:t>
      </w:r>
      <w:r>
        <w:t xml:space="preserve"> indicating the intended generality (same-pattern, same-setting, cross-setting, or cross-domain); the </w:t>
      </w:r>
      <w:r>
        <w:rPr>
          <w:rFonts w:ascii="Consolas" w:hAnsi="Consolas"/>
          <w:color w:val="1F4D78"/>
          <w:sz w:val="18"/>
        </w:rPr>
        <w:t>source_commit</w:t>
      </w:r>
      <w:r>
        <w:t xml:space="preserve"> at which the judgment was recorded; and a </w:t>
      </w:r>
      <w:r>
        <w:rPr>
          <w:rFonts w:ascii="Consolas" w:hAnsi="Consolas"/>
          <w:color w:val="1F4D78"/>
          <w:sz w:val="18"/>
        </w:rPr>
        <w:t>conflict_status</w:t>
      </w:r>
      <w:r>
        <w:t xml:space="preserve"> field. The provenance chain is complete and auditable: from any memory item, one can trace back to the specific feedback entry, the specific review queue item, the specific Agent 4 classification, and the specific student models that triggered the review.</w:t>
      </w:r>
    </w:p>
    <w:p>
      <w:pPr>
        <w:pStyle w:val="Heading3"/>
      </w:pPr>
      <w:r>
        <w:t>Explainable, embedding-free retrieval</w:t>
      </w:r>
    </w:p>
    <w:p>
      <w:r>
        <w:t xml:space="preserve">A key design choice is that retrieval uses </w:t>
      </w:r>
      <w:r>
        <w:rPr>
          <w:b/>
        </w:rPr>
        <w:t>deterministic, explainable matching</w:t>
      </w:r>
      <w:r>
        <w:t xml:space="preserve"> rather than embedding-based similarity. When queried for a new Agent 4 pattern, the memory ranks stored judgments by overlap across three dimensions: domain match, diagram-type match, and guideline/keyword overlap. Each retrieved memory item carries human-readable </w:t>
      </w:r>
      <w:r>
        <w:rPr>
          <w:rFonts w:ascii="Consolas" w:hAnsi="Consolas"/>
          <w:color w:val="1F4D78"/>
          <w:sz w:val="18"/>
        </w:rPr>
        <w:t>match_reasons</w:t>
      </w:r>
      <w:r>
        <w:t xml:space="preserve">  -  for example, "same domain (Cheers), same diagram type (UCD), guideline overlap: 'Customer actor'"  -  so that the user of the advice can understand </w:t>
      </w:r>
      <w:r>
        <w:rPr>
          <w:i/>
        </w:rPr>
        <w:t>why</w:t>
      </w:r>
      <w:r>
        <w:t xml:space="preserve"> a past judgment is considered relevant.</w:t>
      </w:r>
    </w:p>
    <w:p>
      <w:r>
        <w:t>This design choice reflects a deliberate stance: the reuse mechanism should be as transparent and auditable as the original AI decision. Embedding-based retrieval would produce similarity scores without explaining what makes two patterns similar, creating an opaque layer in a system that is otherwise fully inspectable. The trade-off is that the matching is less flexible  -  it cannot capture deep semantic similarity between patterns described in very different terms  -  but for the current 27-pattern scale and the thesis's emphasis on transparency, deterministic matching is the appropriate choice.</w:t>
      </w:r>
    </w:p>
    <w:p>
      <w:pPr>
        <w:pStyle w:val="Heading3"/>
      </w:pPr>
      <w:r>
        <w:t>Conflict handling</w:t>
      </w:r>
    </w:p>
    <w:p>
      <w:r>
        <w:t xml:space="preserve">When retrieval finds multiple relevant memory items that disagree (one expert approved a pattern, another rejected a similar one), the system surfaces the conflict rather than auto-resolving it. Each memory item carries a </w:t>
      </w:r>
      <w:r>
        <w:rPr>
          <w:rFonts w:ascii="Consolas" w:hAnsi="Consolas"/>
          <w:color w:val="1F4D78"/>
          <w:sz w:val="18"/>
        </w:rPr>
        <w:t>conflict_status</w:t>
      </w:r>
      <w:r>
        <w:t xml:space="preserve"> that can be </w:t>
      </w:r>
      <w:r>
        <w:rPr>
          <w:rFonts w:ascii="Consolas" w:hAnsi="Consolas"/>
          <w:color w:val="1F4D78"/>
          <w:sz w:val="18"/>
        </w:rPr>
        <w:t>none</w:t>
      </w:r>
      <w:r>
        <w:t xml:space="preserve">, </w:t>
      </w:r>
      <w:r>
        <w:rPr>
          <w:rFonts w:ascii="Consolas" w:hAnsi="Consolas"/>
          <w:color w:val="1F4D78"/>
          <w:sz w:val="18"/>
        </w:rPr>
        <w:t>detected</w:t>
      </w:r>
      <w:r>
        <w:t xml:space="preserve">, or </w:t>
      </w:r>
      <w:r>
        <w:rPr>
          <w:rFonts w:ascii="Consolas" w:hAnsi="Consolas"/>
          <w:color w:val="1F4D78"/>
          <w:sz w:val="18"/>
        </w:rPr>
        <w:t>resolved</w:t>
      </w:r>
      <w:r>
        <w:t>, and conflicting items are presented together with their respective rationales. This preserves human authority over disagreements  -  the system does not silently choose between conflicting expert opinions but ensures that the consumer of the advice knows a disagreement exists.</w:t>
      </w:r>
    </w:p>
    <w:p>
      <w:r>
        <w:rPr>
          <w:i/>
        </w:rPr>
        <w:t>Contribution to SQ3/SQ4:</w:t>
      </w:r>
      <w:r>
        <w:t xml:space="preserve"> Expert judgment becomes durable, queryable, provenance-tracked knowledge. A judgment about "Customer as an actor" is not discarded after one case but stored with scope and provenance and surfaced when a similar pattern recurs  -  even in a different setting or domain.</w:t>
      </w:r>
    </w:p>
    <w:p>
      <w:pPr>
        <w:pStyle w:val="Heading2"/>
      </w:pPr>
      <w:r>
        <w:t>5.5 M4A  -  Memory Advisory Layer</w:t>
      </w:r>
    </w:p>
    <w:p>
      <w:r>
        <w:t>M4A retrieves relevant memory for each Agent 4 pattern and presents it as graded advisory evidence, without changing the AI's classification.</w:t>
      </w:r>
    </w:p>
    <w:p>
      <w:pPr>
        <w:pStyle w:val="Heading3"/>
      </w:pPr>
      <w:r>
        <w:t>Advisory retrieval</w:t>
      </w:r>
    </w:p>
    <w:p>
      <w:r>
        <w:rPr>
          <w:rFonts w:ascii="Consolas" w:hAnsi="Consolas"/>
          <w:color w:val="1F4D78"/>
          <w:sz w:val="18"/>
        </w:rPr>
        <w:t>memory_advisor.py</w:t>
      </w:r>
      <w:r>
        <w:t xml:space="preserve"> queries the judgment memory (M3) for each of the 27 Agent 4 patterns and emits </w:t>
      </w:r>
      <w:r>
        <w:rPr>
          <w:rFonts w:ascii="Consolas" w:hAnsi="Consolas"/>
          <w:color w:val="1F4D78"/>
          <w:sz w:val="18"/>
        </w:rPr>
        <w:t>memory_advice.json</w:t>
      </w:r>
      <w:r>
        <w:t xml:space="preserve">. Each advice item contains: the pattern being assessed, the retrieved memory items (with match reasons), a graded </w:t>
      </w:r>
      <w:r>
        <w:rPr>
          <w:rFonts w:ascii="Consolas" w:hAnsi="Consolas"/>
          <w:color w:val="1F4D78"/>
          <w:sz w:val="18"/>
        </w:rPr>
        <w:t>advice_strength</w:t>
      </w:r>
      <w:r>
        <w:t xml:space="preserve"> (none, weak, moderate, strong, or conflicting), and the supporting evidence chain. The advice strength is computed from the number of relevant memories, the specificity of their match, and whether they agree or conflict.</w:t>
      </w:r>
    </w:p>
    <w:p>
      <w:pPr>
        <w:pStyle w:val="Heading3"/>
      </w:pPr>
      <w:r>
        <w:t>Hard boundary</w:t>
      </w:r>
    </w:p>
    <w:p>
      <w:r>
        <w:t xml:space="preserve">The advisory layer's defining constraint is enforced in both code and schema: </w:t>
      </w:r>
      <w:r>
        <w:rPr>
          <w:rFonts w:ascii="Consolas" w:hAnsi="Consolas"/>
          <w:color w:val="1F4D78"/>
          <w:sz w:val="18"/>
        </w:rPr>
        <w:t>advice_mode = "advisory_only"</w:t>
      </w:r>
      <w:r>
        <w:t xml:space="preserve"> (a </w:t>
      </w:r>
      <w:r>
        <w:rPr>
          <w:rFonts w:ascii="Consolas" w:hAnsi="Consolas"/>
          <w:color w:val="1F4D78"/>
          <w:sz w:val="18"/>
        </w:rPr>
        <w:t>const</w:t>
      </w:r>
      <w:r>
        <w:t xml:space="preserve"> field in the schema, meaning it cannot be overridden at runtime) and </w:t>
      </w:r>
      <w:r>
        <w:rPr>
          <w:rFonts w:ascii="Consolas" w:hAnsi="Consolas"/>
          <w:color w:val="1F4D78"/>
          <w:sz w:val="18"/>
        </w:rPr>
        <w:t>ai_classification_changed = false</w:t>
      </w:r>
      <w:r>
        <w:t xml:space="preserve"> (also schema-enforced). This is not merely a convention but an architectural guarantee: M4A can </w:t>
      </w:r>
      <w:r>
        <w:rPr>
          <w:i/>
        </w:rPr>
        <w:t>inform</w:t>
      </w:r>
      <w:r>
        <w:t xml:space="preserve"> but cannot </w:t>
      </w:r>
      <w:r>
        <w:rPr>
          <w:i/>
        </w:rPr>
        <w:t>change</w:t>
      </w:r>
      <w:r>
        <w:t xml:space="preserve"> the AI's output. The original Agent 4 classification is preserved verbatim alongside the advisory evidence.</w:t>
      </w:r>
    </w:p>
    <w:p>
      <w:r>
        <w:t>This hard boundary is a design decision, not a temporary limitation. It reflects the principle that reusable human judgment should be surfaced as evidence for a human or a controlled experiment to act upon, not as an automatic override. The system presents "here is what past experts have said about similar cases" and leaves the decision about whether to act on that evidence to the consumer  -  whether that consumer is a human reviewer or the controlled comparison of M4B-1.</w:t>
      </w:r>
    </w:p>
    <w:p>
      <w:r>
        <w:rPr>
          <w:i/>
        </w:rPr>
        <w:t>Contribution to SQ2:</w:t>
      </w:r>
      <w:r>
        <w:t xml:space="preserve"> Reusable human judgment is surfaced as advisory evidence while the original AI output is preserved verbatim. Information flows in both directions: the AI's classification provides the context for retrieval, and the human's past judgments provide advisory evidence for the current case.</w:t>
      </w:r>
    </w:p>
    <w:p>
      <w:pPr>
        <w:pStyle w:val="Heading2"/>
      </w:pPr>
      <w:r>
        <w:t>5.6 M4B-1  -  Deterministic Memory-Informed Comparison</w:t>
      </w:r>
    </w:p>
    <w:p>
      <w:r>
        <w:t>M4B-1 is the final layer of the thesis artifact: a deterministic, non-destructive parallel comparison between the original Agent 4 classification and a memory-informed alternative.</w:t>
      </w:r>
    </w:p>
    <w:p>
      <w:pPr>
        <w:pStyle w:val="Heading3"/>
      </w:pPr>
      <w:r>
        <w:t>Design rationale</w:t>
      </w:r>
    </w:p>
    <w:p>
      <w:r>
        <w:t xml:space="preserve">The purpose of M4B-1 is to produce a </w:t>
      </w:r>
      <w:r>
        <w:rPr>
          <w:i/>
        </w:rPr>
        <w:t>measurable</w:t>
      </w:r>
      <w:r>
        <w:t xml:space="preserve"> comparison  -  not to change the system's behavior, but to create a controlled artifact that can be evaluated against expert labels. The comparison answers the question: "if the system had used the memory-informed classification instead of the original, would it have been more or less accurate?" But it answers this question as a parallel experiment, never as an actual change to the baseline.</w:t>
      </w:r>
    </w:p>
    <w:p>
      <w:pPr>
        <w:pStyle w:val="Heading3"/>
      </w:pPr>
      <w:r>
        <w:t>Policy table</w:t>
      </w:r>
    </w:p>
    <w:p>
      <w:r>
        <w:rPr>
          <w:rFonts w:ascii="Consolas" w:hAnsi="Consolas"/>
          <w:color w:val="1F4D78"/>
          <w:sz w:val="18"/>
        </w:rPr>
        <w:t>memory_informed_classifier.py</w:t>
      </w:r>
      <w:r>
        <w:t xml:space="preserve"> implements a transparent, deterministic policy table that maps each combination of </w:t>
      </w:r>
      <w:r>
        <w:rPr>
          <w:rFonts w:ascii="Consolas" w:hAnsi="Consolas"/>
          <w:color w:val="1F4D78"/>
          <w:sz w:val="18"/>
        </w:rPr>
        <w:t>(advice_strength, agreement_with_original, conflict_status)</w:t>
      </w:r>
      <w:r>
        <w:t xml:space="preserve"> to an outcome. The policy is intentionally conservative:</w:t>
      </w:r>
    </w:p>
    <w:tbl>
      <w:tblPr>
        <w:tblStyle w:val="TableGrid"/>
        <w:tblW w:type="dxa" w:w="9360"/>
        <w:jc w:val="left"/>
        <w:tblLayout w:type="fixed"/>
        <w:tblLook w:firstColumn="1" w:firstRow="1" w:lastColumn="0" w:lastRow="0" w:noHBand="0" w:noVBand="1" w:val="04A0"/>
        <w:tblInd w:w="120" w:type="dxa"/>
      </w:tblPr>
      <w:tblGrid>
        <w:gridCol w:w="1692"/>
        <w:gridCol w:w="1015"/>
        <w:gridCol w:w="1240"/>
        <w:gridCol w:w="5413"/>
      </w:tblGrid>
      <w:tr>
        <w:trPr>
          <w:cantSplit/>
          <w:tblHeader w:val="true"/>
        </w:trPr>
        <w:tc>
          <w:tcPr>
            <w:tcW w:type="dxa" w:w="169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Advice strength</w:t>
            </w:r>
          </w:p>
        </w:tc>
        <w:tc>
          <w:tcPr>
            <w:tcW w:type="dxa" w:w="10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Agreement</w:t>
            </w:r>
          </w:p>
        </w:tc>
        <w:tc>
          <w:tcPr>
            <w:tcW w:type="dxa" w:w="124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Conflict</w:t>
            </w:r>
          </w:p>
        </w:tc>
        <w:tc>
          <w:tcPr>
            <w:tcW w:type="dxa" w:w="54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 / weak</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c>
          <w:tcPr>
            <w:tcW w:type="dxa" w:w="54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Propose memory-supported alternative (in parallel artifact only)</w:t>
            </w:r>
          </w:p>
        </w:tc>
      </w:tr>
      <w:tr>
        <w:trPr>
          <w:cantSplit/>
        </w:trPr>
        <w:tc>
          <w:tcPr>
            <w:tcW w:type="dxa" w:w="169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any</w:t>
            </w:r>
          </w:p>
        </w:tc>
        <w:tc>
          <w:tcPr>
            <w:tcW w:type="dxa" w:w="10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conflicting</w:t>
            </w:r>
          </w:p>
        </w:tc>
        <w:tc>
          <w:tcPr>
            <w:tcW w:type="dxa" w:w="54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bl>
    <w:p>
      <w:pPr>
        <w:spacing w:after="40"/>
      </w:pPr>
    </w:p>
    <w:p>
      <w:r>
        <w:t>Under the current deterministic policy (</w:t>
      </w:r>
      <w:r>
        <w:rPr>
          <w:rFonts w:ascii="Consolas" w:hAnsi="Consolas"/>
          <w:color w:val="1F4D78"/>
          <w:sz w:val="18"/>
        </w:rPr>
        <w:t>memory-informed-classifier-v1</w:t>
      </w:r>
      <w:r>
        <w:t xml:space="preserve">), most cases keep the original classification. Only a </w:t>
      </w:r>
      <w:r>
        <w:rPr>
          <w:i/>
        </w:rPr>
        <w:t>strong disagreement</w:t>
      </w:r>
      <w:r>
        <w:t xml:space="preserve"> with no conflicts would propose a memory-supported alternative  -  and even then, the proposal appears only in the parallel comparison artifact, never in the baseline output. Moderate disagreements and conflicting advice are escalated for human review rather than resolved automatically.</w:t>
      </w:r>
    </w:p>
    <w:p>
      <w:pPr>
        <w:pStyle w:val="Heading3"/>
      </w:pPr>
      <w:r>
        <w:t>Output structure</w:t>
      </w:r>
    </w:p>
    <w:p>
      <w:r>
        <w:t>Each comparison record (</w:t>
      </w:r>
      <w:r>
        <w:rPr>
          <w:rFonts w:ascii="Consolas" w:hAnsi="Consolas"/>
          <w:color w:val="1F4D78"/>
          <w:sz w:val="18"/>
        </w:rPr>
        <w:t>memory_informed_comparison.schema.json</w:t>
      </w:r>
      <w:r>
        <w:t xml:space="preserve">) carries: the original Agent 4 classification, the memory-informed classification (which may be identical), a boolean </w:t>
      </w:r>
      <w:r>
        <w:rPr>
          <w:rFonts w:ascii="Consolas" w:hAnsi="Consolas"/>
          <w:color w:val="1F4D78"/>
          <w:sz w:val="18"/>
        </w:rPr>
        <w:t>memory_informed_differs_from_original</w:t>
      </w:r>
      <w:r>
        <w:t xml:space="preserve">, a detailed </w:t>
      </w:r>
      <w:r>
        <w:rPr>
          <w:rFonts w:ascii="Consolas" w:hAnsi="Consolas"/>
          <w:color w:val="1F4D78"/>
          <w:sz w:val="18"/>
        </w:rPr>
        <w:t>decision_trace</w:t>
      </w:r>
      <w:r>
        <w:t xml:space="preserve"> explaining which policy row was applied, the </w:t>
      </w:r>
      <w:r>
        <w:rPr>
          <w:rFonts w:ascii="Consolas" w:hAnsi="Consolas"/>
          <w:color w:val="1F4D78"/>
          <w:sz w:val="18"/>
        </w:rPr>
        <w:t>policy_version</w:t>
      </w:r>
      <w:r>
        <w:t xml:space="preserve"> (</w:t>
      </w:r>
      <w:r>
        <w:rPr>
          <w:rFonts w:ascii="Consolas" w:hAnsi="Consolas"/>
          <w:color w:val="1F4D78"/>
          <w:sz w:val="18"/>
        </w:rPr>
        <w:t>memory-informed-classifier-v1</w:t>
      </w:r>
      <w:r>
        <w:t xml:space="preserve">), the </w:t>
      </w:r>
      <w:r>
        <w:rPr>
          <w:rFonts w:ascii="Consolas" w:hAnsi="Consolas"/>
          <w:color w:val="1F4D78"/>
          <w:sz w:val="18"/>
        </w:rPr>
        <w:t>human_memory_used</w:t>
      </w:r>
      <w:r>
        <w:t xml:space="preserve"> (listing which memory items informed the decision), and an </w:t>
      </w:r>
      <w:r>
        <w:rPr>
          <w:rFonts w:ascii="Consolas" w:hAnsi="Consolas"/>
          <w:color w:val="1F4D78"/>
          <w:sz w:val="18"/>
        </w:rPr>
        <w:t>evaluation_leakage_status</w:t>
      </w:r>
      <w:r>
        <w:t xml:space="preserve"> tag for the evaluation protocol.</w:t>
      </w:r>
    </w:p>
    <w:p>
      <w:r>
        <w:t xml:space="preserve">Two fields are schema-enforced constants: </w:t>
      </w:r>
      <w:r>
        <w:rPr>
          <w:rFonts w:ascii="Consolas" w:hAnsi="Consolas"/>
          <w:color w:val="1F4D78"/>
          <w:sz w:val="18"/>
        </w:rPr>
        <w:t>mode = "experimental"</w:t>
      </w:r>
      <w:r>
        <w:t xml:space="preserve"> and </w:t>
      </w:r>
      <w:r>
        <w:rPr>
          <w:rFonts w:ascii="Consolas" w:hAnsi="Consolas"/>
          <w:color w:val="1F4D78"/>
          <w:sz w:val="18"/>
        </w:rPr>
        <w:t>ai_behavior_changed_in_baseline = false</w:t>
      </w:r>
      <w:r>
        <w:t>. These cannot be overridden at runtime and serve as machine-readable guarantees that M4B-1 does not change the actual system behavior.</w:t>
      </w:r>
    </w:p>
    <w:p>
      <w:pPr>
        <w:pStyle w:val="Heading3"/>
      </w:pPr>
      <w:r>
        <w:t>Schema enforcement and non-destruction</w:t>
      </w:r>
    </w:p>
    <w:p>
      <w:r>
        <w:t xml:space="preserve">The non-destructive guarantee is enforced at three levels. At the code level, M4B-1 reads from the baseline outputs and writes only to </w:t>
      </w:r>
      <w:r>
        <w:rPr>
          <w:rFonts w:ascii="Consolas" w:hAnsi="Consolas"/>
          <w:color w:val="1F4D78"/>
          <w:sz w:val="18"/>
        </w:rPr>
        <w:t>memory_informed_comparison.json</w:t>
      </w:r>
      <w:r>
        <w:t xml:space="preserve">  -  it never opens the baseline files for writing. At the schema level, the </w:t>
      </w:r>
      <w:r>
        <w:rPr>
          <w:rFonts w:ascii="Consolas" w:hAnsi="Consolas"/>
          <w:color w:val="1F4D78"/>
          <w:sz w:val="18"/>
        </w:rPr>
        <w:t>ai_behavior_changed_in_baseline = false</w:t>
      </w:r>
      <w:r>
        <w:t xml:space="preserve"> constant makes any violation a schema error. At the guard level, </w:t>
      </w:r>
      <w:r>
        <w:rPr>
          <w:rFonts w:ascii="Consolas" w:hAnsi="Consolas"/>
          <w:color w:val="1F4D78"/>
          <w:sz w:val="18"/>
        </w:rPr>
        <w:t>scripts/check_evidence_consistency.py</w:t>
      </w:r>
      <w:r>
        <w:t xml:space="preserve"> verifies on every prompt that the baseline outputs remain unmodified and that </w:t>
      </w:r>
      <w:r>
        <w:rPr>
          <w:rFonts w:ascii="Consolas" w:hAnsi="Consolas"/>
          <w:color w:val="1F4D78"/>
          <w:sz w:val="18"/>
        </w:rPr>
        <w:t>ai_classification_changed</w:t>
      </w:r>
      <w:r>
        <w:t xml:space="preserve"> remains zero.</w:t>
      </w:r>
    </w:p>
    <w:p>
      <w:r>
        <w:rPr>
          <w:i/>
        </w:rPr>
        <w:t>Contribution to SQ4:</w:t>
      </w:r>
      <w:r>
        <w:t xml:space="preserve"> Reusable human judgment can drive a measurable, non-destructive comparison without changing the original result. The comparison artifact is the input to the empirical evaluation (Chapter 6), which will measure whether the memory-informed classifications are more accurate than the originals when compared against independent expert labels.</w:t>
      </w:r>
    </w:p>
    <w:p>
      <w:pPr>
        <w:pStyle w:val="Heading3"/>
      </w:pPr>
      <w:r>
        <w:t>Running example: "Customer as actor" through M4B-1</w:t>
      </w:r>
    </w:p>
    <w:p>
      <w:r>
        <w:t>Continuing the running example from §4.4, the "Customer as actor" pattern (ucd_ch P6) now illustrates the complete chain:</w:t>
      </w:r>
    </w:p>
    <w:p>
      <w:pPr>
        <w:pStyle w:val="ListParagraph"/>
        <w:spacing w:after="60"/>
        <w:ind w:left="403" w:hanging="259"/>
      </w:pPr>
      <w:r>
        <w:t xml:space="preserve">1. </w:t>
      </w:r>
      <w:r>
        <w:rPr>
          <w:b/>
        </w:rPr>
        <w:t>M1</w:t>
      </w:r>
      <w:r>
        <w:t xml:space="preserve"> queues P6 because of </w:t>
      </w:r>
      <w:r>
        <w:rPr>
          <w:rFonts w:ascii="Consolas" w:hAnsi="Consolas"/>
          <w:color w:val="1F4D78"/>
          <w:sz w:val="18"/>
        </w:rPr>
        <w:t>medium_confidence</w:t>
      </w:r>
      <w:r>
        <w:t xml:space="preserve"> (trigger: </w:t>
      </w:r>
      <w:r>
        <w:rPr>
          <w:rFonts w:ascii="Consolas" w:hAnsi="Consolas"/>
          <w:color w:val="1F4D78"/>
          <w:sz w:val="18"/>
        </w:rPr>
        <w:t>medium_confidence</w:t>
      </w:r>
      <w:r>
        <w:t xml:space="preserve">). Review ID: </w:t>
      </w:r>
      <w:r>
        <w:rPr>
          <w:rFonts w:ascii="Consolas" w:hAnsi="Consolas"/>
          <w:color w:val="1F4D78"/>
          <w:sz w:val="18"/>
        </w:rPr>
        <w:t>HRQ-ucd_ch-P6</w:t>
      </w:r>
      <w:r>
        <w:t>.</w:t>
      </w:r>
    </w:p>
    <w:p>
      <w:pPr>
        <w:pStyle w:val="ListParagraph"/>
        <w:spacing w:after="60"/>
        <w:ind w:left="403" w:hanging="259"/>
      </w:pPr>
      <w:r>
        <w:t xml:space="preserve">2. </w:t>
      </w:r>
      <w:r>
        <w:rPr>
          <w:b/>
        </w:rPr>
        <w:t>M2</w:t>
      </w:r>
      <w:r>
        <w:t xml:space="preserve"> captures the expert's disagreement: decision </w:t>
      </w:r>
      <w:r>
        <w:rPr>
          <w:rFonts w:ascii="Consolas" w:hAnsi="Consolas"/>
          <w:color w:val="1F4D78"/>
          <w:sz w:val="18"/>
        </w:rPr>
        <w:t>valid_alternative</w:t>
      </w:r>
      <w:r>
        <w:t>, rationale "Modeling 'Customer' as an actor who places orders is a legitimate alternative interpretation, not a modeling error; the AI's Occasional classification is too strict."</w:t>
      </w:r>
    </w:p>
    <w:p>
      <w:pPr>
        <w:pStyle w:val="ListParagraph"/>
        <w:spacing w:after="60"/>
        <w:ind w:left="403" w:hanging="259"/>
      </w:pPr>
      <w:r>
        <w:t xml:space="preserve">3. </w:t>
      </w:r>
      <w:r>
        <w:rPr>
          <w:b/>
        </w:rPr>
        <w:t>M3</w:t>
      </w:r>
      <w:r>
        <w:t xml:space="preserve"> promotes the feedback to memory entry </w:t>
      </w:r>
      <w:r>
        <w:rPr>
          <w:rFonts w:ascii="Consolas" w:hAnsi="Consolas"/>
          <w:color w:val="1F4D78"/>
          <w:sz w:val="18"/>
        </w:rPr>
        <w:t>HJM-ucd_ch-P6</w:t>
      </w:r>
      <w:r>
        <w:t xml:space="preserve"> with </w:t>
      </w:r>
      <w:r>
        <w:rPr>
          <w:rFonts w:ascii="Consolas" w:hAnsi="Consolas"/>
          <w:color w:val="1F4D78"/>
          <w:sz w:val="18"/>
        </w:rPr>
        <w:t>reuse_scope = {domain: cheers, diagram_type: UCD, applies_to_future_models: true}</w:t>
      </w:r>
      <w:r>
        <w:t xml:space="preserve"> and limitation "Only when the customer is clearly the order initiator in the model."</w:t>
      </w:r>
    </w:p>
    <w:p>
      <w:pPr>
        <w:pStyle w:val="ListParagraph"/>
        <w:spacing w:after="60"/>
        <w:ind w:left="403" w:hanging="259"/>
      </w:pPr>
      <w:r>
        <w:t xml:space="preserve">4. </w:t>
      </w:r>
      <w:r>
        <w:rPr>
          <w:b/>
        </w:rPr>
        <w:t>M4A</w:t>
      </w:r>
      <w:r>
        <w:t xml:space="preserve"> retrieves this memory with </w:t>
      </w:r>
      <w:r>
        <w:rPr>
          <w:rFonts w:ascii="Consolas" w:hAnsi="Consolas"/>
          <w:color w:val="1F4D78"/>
          <w:sz w:val="18"/>
        </w:rPr>
        <w:t>advice_strength = moderate</w:t>
      </w:r>
      <w:r>
        <w:t xml:space="preserve">, </w:t>
      </w:r>
      <w:r>
        <w:rPr>
          <w:rFonts w:ascii="Consolas" w:hAnsi="Consolas"/>
          <w:color w:val="1F4D78"/>
          <w:sz w:val="18"/>
        </w:rPr>
        <w:t>match_reasons = [same domain, same diagram type, keyword match: Customer]</w:t>
      </w:r>
      <w:r>
        <w:t xml:space="preserve">, and </w:t>
      </w:r>
      <w:r>
        <w:rPr>
          <w:rFonts w:ascii="Consolas" w:hAnsi="Consolas"/>
          <w:color w:val="1F4D78"/>
          <w:sz w:val="18"/>
        </w:rPr>
        <w:t>ai_classification_changed = false</w:t>
      </w:r>
      <w:r>
        <w:t>.</w:t>
      </w:r>
    </w:p>
    <w:p>
      <w:pPr>
        <w:pStyle w:val="ListParagraph"/>
        <w:spacing w:after="60"/>
        <w:ind w:left="403" w:hanging="259"/>
      </w:pPr>
      <w:r>
        <w:t xml:space="preserve">5. </w:t>
      </w:r>
      <w:r>
        <w:rPr>
          <w:b/>
        </w:rPr>
        <w:t>M4B-1</w:t>
      </w:r>
      <w:r>
        <w:t xml:space="preserve"> applies policy row </w:t>
      </w:r>
      <w:r>
        <w:rPr>
          <w:rFonts w:ascii="Consolas" w:hAnsi="Consolas"/>
          <w:color w:val="1F4D78"/>
          <w:sz w:val="18"/>
        </w:rPr>
        <w:t>moderate_disagreement_keep_original_require_review</w:t>
      </w:r>
      <w:r>
        <w:t xml:space="preserve">: the original Occasional classification is kept, but </w:t>
      </w:r>
      <w:r>
        <w:rPr>
          <w:rFonts w:ascii="Consolas" w:hAnsi="Consolas"/>
          <w:color w:val="1F4D78"/>
          <w:sz w:val="18"/>
        </w:rPr>
        <w:t>requires_human_review_after_memory = true</w:t>
      </w:r>
      <w:r>
        <w:t xml:space="preserve"> flags the case for further expert attention. The </w:t>
      </w:r>
      <w:r>
        <w:rPr>
          <w:rFonts w:ascii="Consolas" w:hAnsi="Consolas"/>
          <w:color w:val="1F4D78"/>
          <w:sz w:val="18"/>
        </w:rPr>
        <w:t>decision_trace</w:t>
      </w:r>
      <w:r>
        <w:t xml:space="preserve"> records </w:t>
      </w:r>
      <w:r>
        <w:rPr>
          <w:rFonts w:ascii="Consolas" w:hAnsi="Consolas"/>
          <w:color w:val="1F4D78"/>
          <w:sz w:val="18"/>
        </w:rPr>
        <w:t>advice_strength=moderate, original_classification=Occasional Variability, human_memory_classification=Substantial Variability</w:t>
      </w:r>
      <w:r>
        <w:t>.</w:t>
      </w:r>
    </w:p>
    <w:p>
      <w:r>
        <w:t xml:space="preserve">The comparison record also tags this row as </w:t>
      </w:r>
      <w:r>
        <w:rPr>
          <w:rFonts w:ascii="Consolas" w:hAnsi="Consolas"/>
          <w:color w:val="1F4D78"/>
          <w:sz w:val="18"/>
        </w:rPr>
        <w:t>evaluation_leakage_status = same_pattern_memory_used</w:t>
      </w:r>
      <w:r>
        <w:t xml:space="preserve">  -  the memory was derived from this exact pattern, so this row is excluded from generalization-safe metrics (§6.5). See Figure 5.2 for a visual trace.</w:t>
      </w:r>
    </w:p>
    <w:p>
      <w:pPr>
        <w:pStyle w:val="EvidenceCallout"/>
        <w:shd w:fill="EEF5FA"/>
        <w:pBdr>
          <w:left w:val="single" w:sz="18" w:space="8" w:color="2E74B5"/>
        </w:pBdr>
      </w:pPr>
      <w:r>
        <w:rPr>
          <w:b/>
        </w:rPr>
        <w:t>Figure 5.2.</w:t>
      </w:r>
      <w:r>
        <w:t xml:space="preserve"> Running example: the "Customer as actor" pattern traced through the complete artifact chain from Agent 4 through M4B-1. See </w:t>
      </w:r>
      <w:r>
        <w:rPr>
          <w:rFonts w:ascii="Consolas" w:hAnsi="Consolas"/>
          <w:color w:val="1F4D78"/>
          <w:sz w:val="18"/>
        </w:rPr>
        <w:t>thesis/figures/fig-5-2-running-example.mmd</w:t>
      </w:r>
      <w:r>
        <w:t>.</w:t>
      </w:r>
    </w:p>
    <w:p>
      <w:pPr>
        <w:pStyle w:val="Heading2"/>
      </w:pPr>
      <w:r>
        <w:t>5.7 The end-to-end artifact chain</w:t>
      </w:r>
    </w:p>
    <w:p>
      <w:r>
        <w:t>The five layers compose into a concrete, file-level realization of reusable human judgment:</w:t>
      </w:r>
    </w:p>
    <w:p>
      <w:pPr>
        <w:pStyle w:val="CodeBlock"/>
        <w:shd w:fill="F4F6F9"/>
      </w:pPr>
      <w:r>
        <w:rPr>
          <w:rFonts w:ascii="Consolas" w:hAnsi="Consolas"/>
          <w:color w:val="1E232A"/>
          <w:sz w:val="17"/>
        </w:rPr>
        <w:t>Agent 4 output (baseline, read-only)</w:t>
        <w:br/>
        <w:t xml:space="preserve">    ↓</w:t>
        <w:br/>
        <w:t>human_review_queue.jsonl          (M1: which patterns need review)</w:t>
        <w:br/>
        <w:t xml:space="preserve">    ↓</w:t>
        <w:br/>
        <w:t>human_review_queue_resolved.jsonl (M2: structured expert feedback attached)</w:t>
        <w:br/>
        <w:t xml:space="preserve">    ↓</w:t>
        <w:br/>
        <w:t>human_judgment_memory.jsonl       (M3: reusable, provenance-tracked judgments)</w:t>
        <w:br/>
        <w:t xml:space="preserve">    ↓</w:t>
        <w:br/>
        <w:t>memory_advice.json                (M4A: advisory evidence per pattern)</w:t>
        <w:br/>
        <w:t xml:space="preserve">    ↓</w:t>
        <w:br/>
        <w:t>memory_informed_comparison.json   (M4B-1: parallel comparison artifact)</w:t>
      </w:r>
    </w:p>
    <w:p>
      <w:r>
        <w:t>Each file in the chain is a complete, self-contained artifact that can be inspected independently. The chain is traceable: from any field in the comparison artifact, one can follow the provenance chain back through advice, memory, feedback, review queue, and original Agent 4 output. This traceability is not incidental but a design requirement  -  it supports both the evaluation methodology (Chapter 6) and the auditability that the design principles (§9.4) emphasize.</w:t>
      </w:r>
    </w:p>
    <w:p>
      <w:r>
        <w:t xml:space="preserve">Two inspection surfaces support analysis of the artifact chain: an offline </w:t>
      </w:r>
      <w:r>
        <w:rPr>
          <w:b/>
        </w:rPr>
        <w:t>results dashboard</w:t>
      </w:r>
      <w:r>
        <w:t xml:space="preserve"> (</w:t>
      </w:r>
      <w:r>
        <w:rPr>
          <w:rFonts w:ascii="Consolas" w:hAnsi="Consolas"/>
          <w:color w:val="1F4D78"/>
          <w:sz w:val="18"/>
        </w:rPr>
        <w:t>analysis/build_results_dashboard.py</w:t>
      </w:r>
      <w:r>
        <w:t xml:space="preserve">) that generates summary statistics and pattern-level breakdowns across all layers, and a </w:t>
      </w:r>
      <w:r>
        <w:rPr>
          <w:b/>
        </w:rPr>
        <w:t>Tkinter visualizer</w:t>
      </w:r>
      <w:r>
        <w:t xml:space="preserve"> with model/result mismatch detection, read-only research panels for each milestone's output, and search/filter capabilities. Both inspection surfaces are read-only with respect to the baseline and human artifacts  -  they consume and display but never modify.</w:t>
      </w:r>
    </w:p>
    <w:p>
      <w:pPr>
        <w:pStyle w:val="Heading2"/>
      </w:pPr>
      <w:r>
        <w:t>5.8 Implementation summary</w:t>
      </w:r>
    </w:p>
    <w:p>
      <w:r>
        <w:t>The entire co-reasoning artifact is implemented in pure Python with no LLM or API dependencies. The implementation comprises six framework modules (selective intervention policy, human review queue, human feedback manager, human judgment memory, memory advisor, and memory-informed classifier), six runtime schema files, and comprehensive documentation. The accepted verification record reports the VEGO-AI suite passing for schema compliance, signature integrity, deterministic match behavior, policy-table behavior, and non-destruction; exact counts remain attached to that dated record. Independent human relevance of retrieved advice is a later EXP-022 question, not established by the unit tests.</w:t>
      </w:r>
    </w:p>
    <w:p>
      <w:r>
        <w:t>The decision to avoid LLM calls and embeddings in the extension is deliberate. It ensures that the artifact is fully deterministic and reproducible: given the same baseline outputs and the same human feedback, the same comparison artifact is produced every time, regardless of API availability, LLM version, or network conditions. This reproducibility is essential for the evaluation methodology (Chapter 6), which requires that differences between conditions can be attributed to the human-judgment layer rather than to LLM stochasticity.</w:t>
      </w:r>
    </w:p>
    <w:p>
      <w:pPr>
        <w:pStyle w:val="Heading2"/>
      </w:pPr>
      <w:r>
        <w:t>5.9 Component-to-evidence traceability</w:t>
      </w:r>
    </w:p>
    <w:p>
      <w:r>
        <w:t>Each component has an invariant, a foreseeable failure mode, and a corresponding evaluation:</w:t>
      </w:r>
    </w:p>
    <w:tbl>
      <w:tblPr>
        <w:tblStyle w:val="TableGrid"/>
        <w:tblW w:type="dxa" w:w="9360"/>
        <w:jc w:val="left"/>
        <w:tblLayout w:type="fixed"/>
        <w:tblLook w:firstColumn="1" w:firstRow="1" w:lastColumn="0" w:lastRow="0" w:noHBand="0" w:noVBand="1" w:val="04A0"/>
        <w:tblInd w:w="120" w:type="dxa"/>
      </w:tblPr>
      <w:tblGrid>
        <w:gridCol w:w="1091"/>
        <w:gridCol w:w="2756"/>
        <w:gridCol w:w="2756"/>
        <w:gridCol w:w="2757"/>
      </w:tblGrid>
      <w:tr>
        <w:trPr>
          <w:cantSplit/>
          <w:tblHeader w:val="true"/>
        </w:trPr>
        <w:tc>
          <w:tcPr>
            <w:tcW w:type="dxa" w:w="109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Component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Invariant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Main failure mode</w:t>
            </w:r>
          </w:p>
        </w:tc>
        <w:tc>
          <w:tcPr>
            <w:tcW w:type="dxa" w:w="275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or planned test</w:t>
            </w:r>
          </w:p>
        </w:tc>
      </w:tr>
      <w:tr>
        <w:trPr>
          <w:cantSplit/>
        </w:trPr>
        <w:tc>
          <w:tcPr>
            <w:tcW w:type="dxa" w:w="109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M1 Review queue</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Every item traces to one baseline pattern and trigger</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Important baseline error not queued; unnecessary queue item</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Current schema/count evidence; EXP-021/022 precision and recall</w:t>
            </w:r>
          </w:p>
        </w:tc>
      </w:tr>
      <w:tr>
        <w:trPr>
          <w:cantSplit/>
        </w:trPr>
        <w:tc>
          <w:tcPr>
            <w:tcW w:type="dxa" w:w="109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M2 Feedback manager</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Signature and required rationale fields validate</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Feedback attaches to the wrong or stale item</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Signature tests; reviewer protocol</w:t>
            </w:r>
          </w:p>
        </w:tc>
      </w:tr>
      <w:tr>
        <w:trPr>
          <w:cantSplit/>
        </w:trPr>
        <w:tc>
          <w:tcPr>
            <w:tcW w:type="dxa" w:w="109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M3 Judgment memory</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Only explicitly reusable, provenance-complete records enter memory</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Over-broad scope or unresolved conflict</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Current provenance checks; EXP-022 scope/conflict audit</w:t>
            </w:r>
          </w:p>
        </w:tc>
      </w:tr>
      <w:tr>
        <w:trPr>
          <w:cantSplit/>
        </w:trPr>
        <w:tc>
          <w:tcPr>
            <w:tcW w:type="dxa" w:w="109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M4A Advisory layer</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Advice cannot change the AI classification</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Irrelevant or same-pattern advice appears persuasive</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ai_classification_changed=false</w:t>
            </w:r>
            <w:r>
              <w:rPr>
                <w:rFonts w:ascii="Calibri" w:hAnsi="Calibri"/>
                <w:b w:val="0"/>
                <w:color w:val="1E232A"/>
                <w:sz w:val="18"/>
              </w:rPr>
              <w:t>; EXP-022 blind relevance/leakage audit</w:t>
            </w:r>
          </w:p>
        </w:tc>
      </w:tr>
      <w:tr>
        <w:trPr>
          <w:cantSplit/>
        </w:trPr>
        <w:tc>
          <w:tcPr>
            <w:tcW w:type="dxa" w:w="109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M4B-1 Comparison</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Baseline remains visible and unchanged</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Candidate harm is hidden by aggregate accuracy</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Current 0/27 change record; EXP-024/025 paired matrix and net correction</w:t>
            </w:r>
          </w:p>
        </w:tc>
      </w:tr>
      <w:tr>
        <w:trPr>
          <w:cantSplit/>
        </w:trPr>
        <w:tc>
          <w:tcPr>
            <w:tcW w:type="dxa" w:w="109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Evaluation gate</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Missing evidence remains null, not zero or inferred</w:t>
            </w:r>
          </w:p>
        </w:tc>
        <w:tc>
          <w:tcPr>
            <w:tcW w:type="dxa" w:w="27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Synthetic, blank, or leaked labels enter a claim</w:t>
            </w:r>
          </w:p>
        </w:tc>
        <w:tc>
          <w:tcPr>
            <w:tcW w:type="dxa" w:w="275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 xml:space="preserve">EXP-005/012 gates; </w:t>
            </w:r>
            <w:r>
              <w:rPr>
                <w:rFonts w:ascii="Calibri" w:hAnsi="Calibri"/>
                <w:b w:val="0"/>
                <w:color w:val="1E232A"/>
                <w:sz w:val="18"/>
              </w:rPr>
              <w:t>GoldLabelRecord-v2</w:t>
            </w:r>
            <w:r>
              <w:rPr>
                <w:rFonts w:ascii="Calibri" w:hAnsi="Calibri"/>
                <w:b w:val="0"/>
                <w:color w:val="1E232A"/>
                <w:sz w:val="18"/>
              </w:rPr>
              <w:t xml:space="preserve">; </w:t>
            </w:r>
            <w:r>
              <w:rPr>
                <w:rFonts w:ascii="Calibri" w:hAnsi="Calibri"/>
                <w:b w:val="0"/>
                <w:color w:val="1E232A"/>
                <w:sz w:val="18"/>
              </w:rPr>
              <w:t>EvaluationRunManifest-v2</w:t>
            </w:r>
          </w:p>
        </w:tc>
      </w:tr>
    </w:tbl>
    <w:p>
      <w:pPr>
        <w:spacing w:after="40"/>
      </w:pPr>
    </w:p>
    <w:p>
      <w:r>
        <w:t>This traceability links architecture to evaluation without assuming that an implemented mechanism has an empirically beneficial effect.</w:t>
      </w:r>
    </w:p>
    <w:p>
      <w:pPr>
        <w:pStyle w:val="Heading2"/>
      </w:pPr>
      <w:r>
        <w:t>5.10 Boundaries</w:t>
      </w:r>
    </w:p>
    <w:p>
      <w:r>
        <w:t xml:space="preserve">Across all layers: no Agent 1-4 prompt or logic change; no LLM or API calls in the extension; no embeddings; no visualizer write-back; baseline </w:t>
      </w:r>
      <w:r>
        <w:rPr>
          <w:rFonts w:ascii="Consolas" w:hAnsi="Consolas"/>
          <w:color w:val="1F4D78"/>
          <w:sz w:val="18"/>
        </w:rPr>
        <w:t>eval_output/</w:t>
      </w:r>
      <w:r>
        <w:t xml:space="preserve"> is read-only. </w:t>
      </w:r>
      <w:r>
        <w:rPr>
          <w:b/>
        </w:rPr>
        <w:t>M4B-2</w:t>
      </w:r>
      <w:r>
        <w:t xml:space="preserve"> (optional LLM/Agent 4 </w:t>
      </w:r>
      <w:r>
        <w:rPr>
          <w:rFonts w:ascii="Consolas" w:hAnsi="Consolas"/>
          <w:color w:val="1F4D78"/>
          <w:sz w:val="18"/>
        </w:rPr>
        <w:t>resolve_with_answers</w:t>
      </w:r>
      <w:r>
        <w:t xml:space="preserve"> reclassification) is designed-only and </w:t>
      </w:r>
      <w:r>
        <w:rPr>
          <w:b/>
        </w:rPr>
        <w:t>blocked</w:t>
      </w:r>
      <w:r>
        <w:t xml:space="preserve">  -  it would require LLM calls, introduce stochasticity, and change Agent 4's behavior, all of which are explicitly excluded from this thesis.</w:t>
      </w:r>
    </w:p>
    <w:p>
      <w:r>
        <w:t>These boundaries are what make the artifact a clean design-science object: it is fully attributable (every output traces to human input or deterministic computation), reproducible (no stochastic dependencies), and safe to evaluate against the preserved baseline (Chapter 6). They are not limitations of ambition but deliberate methodological choices that protect the validity of the evaluation.</w:t>
      </w:r>
    </w:p>
    <w:p>
      <w:pPr>
        <w:pStyle w:val="Heading1"/>
        <w:pageBreakBefore/>
      </w:pPr>
      <w:r>
        <w:t>Chapter 6  -  Evaluation Methodology</w:t>
      </w:r>
    </w:p>
    <w:p>
      <w:pPr>
        <w:pStyle w:val="EvidenceCallout"/>
        <w:shd w:fill="EEF5FA"/>
        <w:pBdr>
          <w:left w:val="single" w:sz="18" w:space="8" w:color="2E74B5"/>
        </w:pBdr>
      </w:pPr>
      <w:r>
        <w:t xml:space="preserve">Draft. Honest-by-construction: this chapter defines </w:t>
      </w:r>
      <w:r>
        <w:rPr>
          <w:i/>
        </w:rPr>
        <w:t>how</w:t>
      </w:r>
      <w:r>
        <w:t xml:space="preserve"> the artifact is evaluated; it states no accuracy result and makes no improvement claim, because the generalization-safe expert labels required to support such a claim have not yet been collected (see §6.8). Sources: </w:t>
      </w:r>
      <w:r>
        <w:rPr>
          <w:rFonts w:ascii="Consolas" w:hAnsi="Consolas"/>
          <w:color w:val="1F4D78"/>
          <w:sz w:val="18"/>
        </w:rPr>
        <w:t>docs/research/evaluation-plan.md</w:t>
      </w:r>
      <w:r>
        <w:t xml:space="preserve">, </w:t>
      </w:r>
      <w:r>
        <w:rPr>
          <w:rFonts w:ascii="Consolas" w:hAnsi="Consolas"/>
          <w:color w:val="1F4D78"/>
          <w:sz w:val="18"/>
        </w:rPr>
        <w:t>docs/research/methodology.md</w:t>
      </w:r>
      <w:r>
        <w:t xml:space="preserve">, </w:t>
      </w:r>
      <w:r>
        <w:rPr>
          <w:rFonts w:ascii="Consolas" w:hAnsi="Consolas"/>
          <w:color w:val="1F4D78"/>
          <w:sz w:val="18"/>
        </w:rPr>
        <w:t>docs/research/expert-labeling-protocol.md</w:t>
      </w:r>
      <w:r>
        <w:t xml:space="preserve">, </w:t>
      </w:r>
      <w:r>
        <w:rPr>
          <w:rFonts w:ascii="Consolas" w:hAnsi="Consolas"/>
          <w:color w:val="1F4D78"/>
          <w:sz w:val="18"/>
        </w:rPr>
        <w:t>reports/generated/exp003/annotation_package/</w:t>
      </w:r>
      <w:r>
        <w:t xml:space="preserve">, </w:t>
      </w:r>
      <w:r>
        <w:rPr>
          <w:rFonts w:ascii="Consolas" w:hAnsi="Consolas"/>
          <w:color w:val="1F4D78"/>
          <w:sz w:val="18"/>
        </w:rPr>
        <w:t>artifacts/EVALUATION_STRICT_REVIEW.md</w:t>
      </w:r>
      <w:r>
        <w:t>.</w:t>
      </w:r>
    </w:p>
    <w:p>
      <w:pPr>
        <w:pStyle w:val="Heading2"/>
      </w:pPr>
      <w:r>
        <w:t>6.1 Goal and design-science stance</w:t>
      </w:r>
    </w:p>
    <w:p>
      <w:r>
        <w:t>This work is a design-science study (Hevner et al., 2004; Peffers et al., 2007; Gregor &amp; Hevner, 2013), and its evaluation must address two distinct questions that design-science research requires: whether the artifact does what it claims, and whether the artifact produces a beneficial effect.</w:t>
      </w:r>
    </w:p>
    <w:p>
      <w:r>
        <w:rPr>
          <w:b/>
        </w:rPr>
        <w:t>Mechanism validity</w:t>
      </w:r>
      <w:r>
        <w:t xml:space="preserve"> asks whether the artifact does what it claims structurally. Does the selective intervention policy correctly identify cases where human judgment is needed? Does the feedback manager capture structured, schema-validated feedback? Does the judgment memory store reusable judgments with provenance? Does the advisory layer retrieve relevant memories and present them as graded evidence? Does the parallel comparison produce a deterministic, non-destructive comparison artifact? These questions can be answered by inspecting the implemented pipeline, its tests, and its generated outputs  -  they do not require independent expert labels.</w:t>
      </w:r>
    </w:p>
    <w:p>
      <w:r>
        <w:rPr>
          <w:b/>
        </w:rPr>
        <w:t>Empirical effect</w:t>
      </w:r>
      <w:r>
        <w:t xml:space="preserve"> asks whether reusable human judgment changes assessment quality, measured as agreement with </w:t>
      </w:r>
      <w:r>
        <w:rPr>
          <w:i/>
        </w:rPr>
        <w:t>independent expert labels</w:t>
      </w:r>
      <w:r>
        <w:t>, relative to the original Agent 4 baseline. This question requires ground truth that does not yet exist, and answering it honestly is the subject of the evaluation protocol defined in this chapter.</w:t>
      </w:r>
    </w:p>
    <w:p>
      <w:r>
        <w:t>The separation between these two questions is important: mechanism validity is established by the current work, while empirical effect is the subject of a carefully designed evaluation protocol whose execution is pending. The methodology defines how to obtain admissible evidence for the second question without compromising the validity already established for the first.</w:t>
      </w:r>
    </w:p>
    <w:p>
      <w:pPr>
        <w:pStyle w:val="Heading2"/>
      </w:pPr>
      <w:r>
        <w:t xml:space="preserve">6.2 The baseline (C0) and what "ground truth" is </w:t>
      </w:r>
      <w:r>
        <w:rPr>
          <w:i/>
        </w:rPr>
        <w:t>not</w:t>
      </w:r>
    </w:p>
    <w:p>
      <w:r>
        <w:t xml:space="preserve">The baseline is the original VEGO-AI Agent 4 variability classification, preserved read-only at tag </w:t>
      </w:r>
      <w:r>
        <w:rPr>
          <w:rFonts w:ascii="Consolas" w:hAnsi="Consolas"/>
          <w:color w:val="1F4D78"/>
          <w:sz w:val="18"/>
        </w:rPr>
        <w:t>official-vego-ai-baseline</w:t>
      </w:r>
      <w:r>
        <w:t xml:space="preserve"> (</w:t>
      </w:r>
      <w:r>
        <w:rPr>
          <w:rFonts w:ascii="Consolas" w:hAnsi="Consolas"/>
          <w:color w:val="1F4D78"/>
          <w:sz w:val="18"/>
        </w:rPr>
        <w:t>2eeccb1</w:t>
      </w:r>
      <w:r>
        <w:t xml:space="preserve">): </w:t>
      </w:r>
      <w:r>
        <w:rPr>
          <w:rFonts w:ascii="Consolas" w:hAnsi="Consolas"/>
          <w:color w:val="1F4D78"/>
          <w:sz w:val="18"/>
        </w:rPr>
        <w:t>VEGO-AI/eval_output/&lt;setting&gt;/agentD_variability_classes*.json</w:t>
      </w:r>
      <w:r>
        <w:t xml:space="preserve">. Across the four settings (ucd_ch, ucd_pw, cd_ch, cd_pw) this covers </w:t>
      </w:r>
      <w:r>
        <w:rPr>
          <w:b/>
        </w:rPr>
        <w:t>179 student models</w:t>
      </w:r>
      <w:r>
        <w:t xml:space="preserve"> aggregated into </w:t>
      </w:r>
      <w:r>
        <w:rPr>
          <w:b/>
        </w:rPr>
        <w:t>27 recurring variability patterns</w:t>
      </w:r>
      <w:r>
        <w:t xml:space="preserve"> (9 Substantial, 18 Occasional, 0 Undetermined).</w:t>
      </w:r>
    </w:p>
    <w:p>
      <w:r>
        <w:t xml:space="preserve">A critical point governs the entire evaluation design: </w:t>
      </w:r>
      <w:r>
        <w:rPr>
          <w:b/>
        </w:rPr>
        <w:t>the repository contains no independent benchmark.</w:t>
      </w:r>
      <w:r>
        <w:t xml:space="preserve"> The author-reviewed files </w:t>
      </w:r>
      <w:r>
        <w:rPr>
          <w:rFonts w:ascii="Consolas" w:hAnsi="Consolas"/>
          <w:color w:val="1F4D78"/>
          <w:sz w:val="18"/>
        </w:rPr>
        <w:t>VEGO-AI/analysis/agentD_variability_classes_*.json</w:t>
      </w:r>
      <w:r>
        <w:t xml:space="preserve"> are </w:t>
      </w:r>
      <w:r>
        <w:rPr>
          <w:b/>
        </w:rPr>
        <w:t>byte-identical</w:t>
      </w:r>
      <w:r>
        <w:t xml:space="preserve"> to the Agent 4 output for all 27 patterns  -  every field, including the textual justification, matches exactly. This means they record author </w:t>
      </w:r>
      <w:r>
        <w:rPr>
          <w:i/>
        </w:rPr>
        <w:t>agreement</w:t>
      </w:r>
      <w:r>
        <w:t xml:space="preserve"> with Agent 4, not an independent assessment. Using them as ground truth would be grading Agent 4 against itself  -  a circular evaluation that could not detect either the system's errors or the artifact's improvements.</w:t>
      </w:r>
    </w:p>
    <w:p>
      <w:r>
        <w:t xml:space="preserve">This finding has a concrete methodological consequence: the only admissible ground truth for evaluating accuracy is </w:t>
      </w:r>
      <w:r>
        <w:rPr>
          <w:b/>
        </w:rPr>
        <w:t>newly collected, independent expert labels</w:t>
      </w:r>
      <w:r>
        <w:t xml:space="preserve"> obtained through the protocol defined in §6.6. The byte-identical files remain in the repository as documentation of the baseline's provenance but are never used as evaluation labels.</w:t>
      </w:r>
    </w:p>
    <w:p>
      <w:pPr>
        <w:pStyle w:val="Heading2"/>
      </w:pPr>
      <w:r>
        <w:t>6.3 Conditions (C0-C4B)</w:t>
      </w:r>
    </w:p>
    <w:p>
      <w:r>
        <w:t>The study compares six conditions that correspond to the progressive layers of the artifact. Each condition adds one layer to the previous one, making the contribution chain visible and evaluable at each step.</w:t>
      </w:r>
    </w:p>
    <w:tbl>
      <w:tblPr>
        <w:tblStyle w:val="TableGrid"/>
        <w:tblW w:type="dxa" w:w="9360"/>
        <w:jc w:val="left"/>
        <w:tblLayout w:type="fixed"/>
        <w:tblLook w:firstColumn="1" w:firstRow="1" w:lastColumn="0" w:lastRow="0" w:noHBand="0" w:noVBand="1" w:val="04A0"/>
        <w:tblInd w:w="120" w:type="dxa"/>
      </w:tblPr>
      <w:tblGrid>
        <w:gridCol w:w="900"/>
        <w:gridCol w:w="2393"/>
        <w:gridCol w:w="2956"/>
        <w:gridCol w:w="311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Condition</w:t>
            </w:r>
          </w:p>
        </w:tc>
        <w:tc>
          <w:tcPr>
            <w:tcW w:type="dxa" w:w="239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Name</w:t>
            </w:r>
          </w:p>
        </w:tc>
        <w:tc>
          <w:tcPr>
            <w:tcW w:type="dxa" w:w="29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What changes relative to C0</w:t>
            </w:r>
          </w:p>
        </w:tc>
        <w:tc>
          <w:tcPr>
            <w:tcW w:type="dxa" w:w="311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Primary evidence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C0</w:t>
            </w:r>
          </w:p>
        </w:tc>
        <w:tc>
          <w:tcPr>
            <w:tcW w:type="dxa" w:w="239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Original VEGO-AI</w:t>
            </w:r>
          </w:p>
        </w:tc>
        <w:tc>
          <w:tcPr>
            <w:tcW w:type="dxa" w:w="295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None (baseline)</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Agent 4 variability classes</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C1</w:t>
            </w:r>
          </w:p>
        </w:tc>
        <w:tc>
          <w:tcPr>
            <w:tcW w:type="dxa" w:w="239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Review queue (M1)</w:t>
            </w:r>
          </w:p>
        </w:tc>
        <w:tc>
          <w:tcPr>
            <w:tcW w:type="dxa" w:w="29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Selective human-review triggers activated</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Queue size, trigger reasons, coverage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C2</w:t>
            </w:r>
          </w:p>
        </w:tc>
        <w:tc>
          <w:tcPr>
            <w:tcW w:type="dxa" w:w="239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Structured feedback (M2)</w:t>
            </w:r>
          </w:p>
        </w:tc>
        <w:tc>
          <w:tcPr>
            <w:tcW w:type="dxa" w:w="29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Schema-validated expert decisions attached</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Resolved queue, signature checks, rationale completeness</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C3</w:t>
            </w:r>
          </w:p>
        </w:tc>
        <w:tc>
          <w:tcPr>
            <w:tcW w:type="dxa" w:w="239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Reusable memory (M3)</w:t>
            </w:r>
          </w:p>
        </w:tc>
        <w:tc>
          <w:tcPr>
            <w:tcW w:type="dxa" w:w="29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Provenance-tracked judgment memory built</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 items, match reasons, conflicts</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C4A</w:t>
            </w:r>
          </w:p>
        </w:tc>
        <w:tc>
          <w:tcPr>
            <w:tcW w:type="dxa" w:w="239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Advisory layer (M4A)</w:t>
            </w:r>
          </w:p>
        </w:tc>
        <w:tc>
          <w:tcPr>
            <w:tcW w:type="dxa" w:w="29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 retrieved as advisory evidence</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 xml:space="preserve">Advice strength, conflict warnings, </w:t>
            </w:r>
            <w:r>
              <w:rPr>
                <w:rFonts w:ascii="Calibri" w:hAnsi="Calibri"/>
                <w:b w:val="0"/>
                <w:color w:val="1E232A"/>
                <w:sz w:val="18"/>
              </w:rPr>
              <w:t>ai_classification_changed = false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C4B</w:t>
            </w:r>
          </w:p>
        </w:tc>
        <w:tc>
          <w:tcPr>
            <w:tcW w:type="dxa" w:w="239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Memory-informed comparison (M4B-1)</w:t>
            </w:r>
          </w:p>
        </w:tc>
        <w:tc>
          <w:tcPr>
            <w:tcW w:type="dxa" w:w="295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Deterministic parallel classification</w:t>
            </w:r>
          </w:p>
        </w:tc>
        <w:tc>
          <w:tcPr>
            <w:tcW w:type="dxa" w:w="311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Original vs memory-informed vs expert labels</w:t>
            </w:r>
          </w:p>
        </w:tc>
      </w:tr>
    </w:tbl>
    <w:p>
      <w:pPr>
        <w:spacing w:after="40"/>
      </w:pPr>
    </w:p>
    <w:p>
      <w:r>
        <w:t>Conditions C0 through C4A are fully implemented and can be evaluated for mechanism validity now. Condition C4B is the controlled experiment whose empirical results depend on independent expert labels.</w:t>
      </w:r>
    </w:p>
    <w:p>
      <w:pPr>
        <w:pStyle w:val="Heading3"/>
      </w:pPr>
      <w:r>
        <w:t>6.3.1 B0-B5 evidence ladder</w:t>
      </w:r>
    </w:p>
    <w:p>
      <w:r>
        <w:t>The C0-C4B conditions describe which artifact layer is present. A second ladder defines the maturity of the empirical comparison and prevents a development result from being mistaken for external evidence.</w:t>
      </w:r>
    </w:p>
    <w:tbl>
      <w:tblPr>
        <w:tblStyle w:val="TableGrid"/>
        <w:tblW w:type="dxa" w:w="9360"/>
        <w:jc w:val="left"/>
        <w:tblLayout w:type="fixed"/>
        <w:tblLook w:firstColumn="1" w:firstRow="1" w:lastColumn="0" w:lastRow="0" w:noHBand="0" w:noVBand="1" w:val="04A0"/>
        <w:tblInd w:w="120" w:type="dxa"/>
      </w:tblPr>
      <w:tblGrid>
        <w:gridCol w:w="900"/>
        <w:gridCol w:w="3430"/>
        <w:gridCol w:w="1929"/>
        <w:gridCol w:w="310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343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Meaning</w:t>
            </w:r>
          </w:p>
        </w:tc>
        <w:tc>
          <w:tcPr>
            <w:tcW w:type="dxa" w:w="19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310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Claim boundary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B0</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Frozen original Agent 4 output</w:t>
            </w:r>
          </w:p>
        </w:tc>
        <w:tc>
          <w:tcPr>
            <w:tcW w:type="dxa" w:w="19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Immutable comparator, not ground truth</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B1</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Current reusable-human-judgment mechanism</w:t>
            </w:r>
          </w:p>
        </w:tc>
        <w:tc>
          <w:tcPr>
            <w:tcW w:type="dxa" w:w="19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Mechanism, traceability, escalation, and baseline safety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B2</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B0 measured against independent adjudicated labels</w:t>
            </w:r>
          </w:p>
        </w:tc>
        <w:tc>
          <w:tcPr>
            <w:tcW w:type="dxa" w:w="192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Pending expert input (0/24)</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accuracy result while safe N=0</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B3</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One deterministic candidate developed from 16 rows</w:t>
            </w:r>
          </w:p>
        </w:tc>
        <w:tc>
          <w:tcPr>
            <w:tcW w:type="dxa" w:w="192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Design rationale only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B4</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One-time test on 8 sealed rows</w:t>
            </w:r>
          </w:p>
        </w:tc>
        <w:tc>
          <w:tcPr>
            <w:tcW w:type="dxa" w:w="19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Pilot evidence only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B5</w:t>
            </w:r>
          </w:p>
        </w:tc>
        <w:tc>
          <w:tcPr>
            <w:tcW w:type="dxa" w:w="343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Frozen-policy replication on a new education batch</w:t>
            </w:r>
          </w:p>
        </w:tc>
        <w:tc>
          <w:tcPr>
            <w:tcW w:type="dxa" w:w="192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Formal improvement only if every preregistered gate passes</w:t>
            </w:r>
          </w:p>
        </w:tc>
      </w:tr>
    </w:tbl>
    <w:p>
      <w:pPr>
        <w:spacing w:after="40"/>
      </w:pPr>
    </w:p>
    <w:p>
      <w:r>
        <w:t>B0 and B1 are available now. B2 requires the human annotation gate. B3 is considered only if development evidence identifies at least three potentially correctable errors across at least two settings and the supervisors approve a specific policy record. B4 cannot be opened before B3 is frozen. B5 requires at least 30, with a target of 48, newly collected generalization-safe adjudicated rows. None of B2-B5 changes Agent 4 or overwrites the baseline.</w:t>
      </w:r>
    </w:p>
    <w:p>
      <w:pPr>
        <w:pStyle w:val="Heading2"/>
      </w:pPr>
      <w:r>
        <w:t>6.4 Metrics</w:t>
      </w:r>
    </w:p>
    <w:p>
      <w:r>
        <w:t>The evaluation uses two tiers of metrics, reflecting the distinction between mechanism validity and empirical effect.</w:t>
      </w:r>
    </w:p>
    <w:p>
      <w:r>
        <w:rPr>
          <w:b/>
        </w:rPr>
        <w:t>Primary metric (C4B, against expert labels, generalization-safe paired rows only):</w:t>
      </w:r>
      <w:r>
        <w:t xml:space="preserve"> net correction, defined as </w:t>
      </w:r>
      <w:r>
        <w:rPr>
          <w:rFonts w:ascii="Consolas" w:hAnsi="Consolas"/>
          <w:color w:val="1F4D78"/>
          <w:sz w:val="18"/>
        </w:rPr>
        <w:t>changed-and-correct - changed-and-wrong</w:t>
      </w:r>
      <w:r>
        <w:t>. This measure directly expresses the benefit and harm of changing a baseline classification. A candidate that changes zero rows has net correction zero by construction.</w:t>
      </w:r>
    </w:p>
    <w:p>
      <w:r>
        <w:rPr>
          <w:b/>
        </w:rPr>
        <w:t>Secondary performance metrics:</w:t>
      </w:r>
      <w:r>
        <w:t xml:space="preserve"> accuracy and macro-F1 of the substantial/occasional/undetermined classification, computed separately for the original Agent 4 labels and the memory-informed candidate, plus per-class precision, recall, and confusion matrices.</w:t>
      </w:r>
    </w:p>
    <w:p>
      <w:r>
        <w:rPr>
          <w:b/>
        </w:rPr>
        <w:t>Secondary metrics, organized by condition:</w:t>
      </w:r>
    </w:p>
    <w:p>
      <w:r>
        <w:rPr>
          <w:i/>
        </w:rPr>
        <w:t>Targeting (C1):</w:t>
      </w:r>
      <w:r>
        <w:t xml:space="preserve"> number and proportion of patterns queued, distribution of trigger reasons (human_review, undetermined, low_confidence, guidelines_update), and coverage  -  the proportion of eventually-incorrect Agent 4 classifications that are captured by the review queue.</w:t>
      </w:r>
    </w:p>
    <w:p>
      <w:r>
        <w:rPr>
          <w:i/>
        </w:rPr>
        <w:t>Capture (C2):</w:t>
      </w:r>
      <w:r>
        <w:t xml:space="preserve"> schema validity rate, rationale completeness rate, signature-mismatch rate (should be zero under stable baselines), and the proportion of feedback marked as reusable.</w:t>
      </w:r>
    </w:p>
    <w:p>
      <w:r>
        <w:rPr>
          <w:i/>
        </w:rPr>
        <w:t>Retrieval (C3/C4A):</w:t>
      </w:r>
      <w:r>
        <w:t xml:space="preserve"> match count per query, explainable match-reason distribution, advice-strength distribution (none/weak/moderate/strong/conflicting), and conflict rate.</w:t>
      </w:r>
    </w:p>
    <w:p>
      <w:r>
        <w:rPr>
          <w:i/>
        </w:rPr>
        <w:t>Comparison (C4B):</w:t>
      </w:r>
      <w:r>
        <w:t xml:space="preserve"> the count of </w:t>
      </w:r>
      <w:r>
        <w:rPr>
          <w:rFonts w:ascii="Consolas" w:hAnsi="Consolas"/>
          <w:color w:val="1F4D78"/>
          <w:sz w:val="18"/>
        </w:rPr>
        <w:t>memory_informed_differs_from_original</w:t>
      </w:r>
      <w:r>
        <w:t xml:space="preserve">; a paired correctness table (changed-and-correct, changed-and-wrong, unchanged-correct, unchanged-wrong); a McNemar-style test where sample size permits; and escalation precision/recall  -  the proportion of </w:t>
      </w:r>
      <w:r>
        <w:rPr>
          <w:rFonts w:ascii="Consolas" w:hAnsi="Consolas"/>
          <w:color w:val="1F4D78"/>
          <w:sz w:val="18"/>
        </w:rPr>
        <w:t>requires_human_review_after_memory</w:t>
      </w:r>
      <w:r>
        <w:t xml:space="preserve"> flags that correspond to actual baseline errors.</w:t>
      </w:r>
    </w:p>
    <w:p>
      <w:r>
        <w:rPr>
          <w:i/>
        </w:rPr>
        <w:t>Reliability:</w:t>
      </w:r>
      <w:r>
        <w:t xml:space="preserve"> inter-rater agreement (Cohen's κ) between the two independent reviewers; the proportion of items requiring adjudication; and the agreement between individual reviewer labels and the adjudicated gold labels.</w:t>
      </w:r>
    </w:p>
    <w:p>
      <w:pPr>
        <w:pStyle w:val="Heading3"/>
      </w:pPr>
      <w:r>
        <w:t>6.4.1 Statistical analysis</w:t>
      </w:r>
    </w:p>
    <w:p>
      <w:r>
        <w:t xml:space="preserve">All confirmatory rules are fixed before the relevant outcomes are inspected. Proportion intervals use Wilson 95% intervals. Net correction uses a paired bootstrap with 10,000 replicates and fixed seed </w:t>
      </w:r>
      <w:r>
        <w:rPr>
          <w:rFonts w:ascii="Consolas" w:hAnsi="Consolas"/>
          <w:color w:val="1F4D78"/>
          <w:sz w:val="18"/>
        </w:rPr>
        <w:t>20260721</w:t>
      </w:r>
      <w:r>
        <w:t>. The eight-row holdout is descriptive pilot evidence and is not subjected to a formal improvement claim. The external EXP-025 analysis uses an exact McNemar test.</w:t>
      </w:r>
    </w:p>
    <w:p>
      <w:r>
        <w:t>A formal improvement statement is permitted only if all of the following hold:</w:t>
      </w:r>
    </w:p>
    <w:p>
      <w:pPr>
        <w:pStyle w:val="ListParagraph"/>
        <w:spacing w:after="60"/>
        <w:ind w:left="403" w:hanging="259"/>
      </w:pPr>
      <w:r>
        <w:t xml:space="preserve">1. </w:t>
      </w:r>
      <w:r>
        <w:t>At least 30 externally collected, generalization-safe, adjudicated labels.</w:t>
      </w:r>
    </w:p>
    <w:p>
      <w:pPr>
        <w:pStyle w:val="ListParagraph"/>
        <w:spacing w:after="60"/>
        <w:ind w:left="403" w:hanging="259"/>
      </w:pPr>
      <w:r>
        <w:t xml:space="preserve">2. </w:t>
      </w:r>
      <w:r>
        <w:t>The policy was frozen before the external data were inspected.</w:t>
      </w:r>
    </w:p>
    <w:p>
      <w:pPr>
        <w:pStyle w:val="ListParagraph"/>
        <w:spacing w:after="60"/>
        <w:ind w:left="403" w:hanging="259"/>
      </w:pPr>
      <w:r>
        <w:t xml:space="preserve">3. </w:t>
      </w:r>
      <w:r>
        <w:t>The paired-bootstrap 95% confidence interval for net correction excludes zero.</w:t>
      </w:r>
    </w:p>
    <w:p>
      <w:pPr>
        <w:pStyle w:val="ListParagraph"/>
        <w:spacing w:after="60"/>
        <w:ind w:left="403" w:hanging="259"/>
      </w:pPr>
      <w:r>
        <w:t xml:space="preserve">4. </w:t>
      </w:r>
      <w:r>
        <w:t xml:space="preserve">Exact McNemar </w:t>
      </w:r>
      <w:r>
        <w:rPr>
          <w:rFonts w:ascii="Consolas" w:hAnsi="Consolas"/>
          <w:color w:val="1F4D78"/>
          <w:sz w:val="18"/>
        </w:rPr>
        <w:t>p &lt; 0.05</w:t>
      </w:r>
      <w:r>
        <w:t>.</w:t>
      </w:r>
    </w:p>
    <w:p>
      <w:pPr>
        <w:pStyle w:val="ListParagraph"/>
        <w:spacing w:after="60"/>
        <w:ind w:left="403" w:hanging="259"/>
      </w:pPr>
      <w:r>
        <w:t xml:space="preserve">5. </w:t>
      </w:r>
      <w:r>
        <w:t>Macro-F1 does not decline.</w:t>
      </w:r>
    </w:p>
    <w:p>
      <w:pPr>
        <w:pStyle w:val="ListParagraph"/>
        <w:spacing w:after="60"/>
        <w:ind w:left="403" w:hanging="259"/>
      </w:pPr>
      <w:r>
        <w:t xml:space="preserve">6. </w:t>
      </w:r>
      <w:r>
        <w:t>No predefined class or setting subgroup shows material harm.</w:t>
      </w:r>
    </w:p>
    <w:p>
      <w:pPr>
        <w:pStyle w:val="ListParagraph"/>
        <w:spacing w:after="60"/>
        <w:ind w:left="403" w:hanging="259"/>
      </w:pPr>
      <w:r>
        <w:t xml:space="preserve">7. </w:t>
      </w:r>
      <w:r>
        <w:t>Baseline and protected-path hashes remain unchanged.</w:t>
      </w:r>
    </w:p>
    <w:p>
      <w:r>
        <w:t>Failure of any criterion is retained as a null, mixed, or harmful result; the policy is not tuned on the external set.</w:t>
      </w:r>
    </w:p>
    <w:p>
      <w:pPr>
        <w:pStyle w:val="Heading3"/>
      </w:pPr>
      <w:r>
        <w:t>Running example: how the "Customer as actor" row would be evaluated</w:t>
      </w:r>
    </w:p>
    <w:p>
      <w:r>
        <w:t xml:space="preserve">Returning to the running example from §4.4 and §5.6, the "Customer as actor" comparison record (ucd_ch P6) illustrates the evaluation design. Its </w:t>
      </w:r>
      <w:r>
        <w:rPr>
          <w:rFonts w:ascii="Consolas" w:hAnsi="Consolas"/>
          <w:color w:val="1F4D78"/>
          <w:sz w:val="18"/>
        </w:rPr>
        <w:t>evaluation_leakage_status</w:t>
      </w:r>
      <w:r>
        <w:t xml:space="preserve"> is </w:t>
      </w:r>
      <w:r>
        <w:rPr>
          <w:rFonts w:ascii="Consolas" w:hAnsi="Consolas"/>
          <w:color w:val="1F4D78"/>
          <w:sz w:val="18"/>
        </w:rPr>
        <w:t>same_pattern_memory_used</w:t>
      </w:r>
      <w:r>
        <w:t xml:space="preserve">  -  the memory entry </w:t>
      </w:r>
      <w:r>
        <w:rPr>
          <w:rFonts w:ascii="Consolas" w:hAnsi="Consolas"/>
          <w:color w:val="1F4D78"/>
          <w:sz w:val="18"/>
        </w:rPr>
        <w:t>HJM-ucd_ch-P6</w:t>
      </w:r>
      <w:r>
        <w:t xml:space="preserve"> was derived from feedback about this exact pattern. Even if an independent expert labels P6 as Substantial (agreeing with the human memory rather than Agent 4), this agreement cannot count toward generalization-safe accuracy, because the memory was not applied to a genuinely new case. The row is included in the mechanism-validation sheet but excluded from the primary evaluation set of 24 generalization-safe patterns. This per-row tagging is what makes the leakage discipline (§6.5) operational rather than merely conceptual.</w:t>
      </w:r>
    </w:p>
    <w:p>
      <w:pPr>
        <w:pStyle w:val="EvidenceCallout"/>
        <w:shd w:fill="EEF5FA"/>
        <w:pBdr>
          <w:left w:val="single" w:sz="18" w:space="8" w:color="2E74B5"/>
        </w:pBdr>
      </w:pPr>
      <w:r>
        <w:rPr>
          <w:b/>
        </w:rPr>
        <w:t>Figure 6.1.</w:t>
      </w:r>
      <w:r>
        <w:t xml:space="preserve"> Evaluation workflow: independent expert annotation, leakage-filtered comparison, and evidence gates. See </w:t>
      </w:r>
      <w:r>
        <w:rPr>
          <w:rFonts w:ascii="Consolas" w:hAnsi="Consolas"/>
          <w:color w:val="1F4D78"/>
          <w:sz w:val="18"/>
        </w:rPr>
        <w:t>thesis/figures/fig-6-1-evaluation-workflow.mmd</w:t>
      </w:r>
      <w:r>
        <w:t>.</w:t>
      </w:r>
    </w:p>
    <w:p>
      <w:pPr>
        <w:pStyle w:val="Heading2"/>
      </w:pPr>
      <w:r>
        <w:t>6.5 Leakage discipline</w:t>
      </w:r>
    </w:p>
    <w:p>
      <w:r>
        <w:t>The evaluation faces a specific methodological challenge: the judgment memory may contain entries that are derived from the same pattern being evaluated, creating a feedback loop that inflates apparent accuracy. This is the same-pattern leakage problem.</w:t>
      </w:r>
    </w:p>
    <w:p>
      <w:r>
        <w:t xml:space="preserve">Every C4B comparison row is tagged with an </w:t>
      </w:r>
      <w:r>
        <w:rPr>
          <w:rFonts w:ascii="Consolas" w:hAnsi="Consolas"/>
          <w:color w:val="1F4D78"/>
          <w:sz w:val="18"/>
        </w:rPr>
        <w:t>evaluation_leakage_status</w:t>
      </w:r>
      <w:r>
        <w:t xml:space="preserve"> from a defined set: </w:t>
      </w:r>
      <w:r>
        <w:rPr>
          <w:rFonts w:ascii="Consolas" w:hAnsi="Consolas"/>
          <w:color w:val="1F4D78"/>
          <w:sz w:val="18"/>
        </w:rPr>
        <w:t>none</w:t>
      </w:r>
      <w:r>
        <w:t xml:space="preserve"> (no memory leakage), </w:t>
      </w:r>
      <w:r>
        <w:rPr>
          <w:rFonts w:ascii="Consolas" w:hAnsi="Consolas"/>
          <w:color w:val="1F4D78"/>
          <w:sz w:val="18"/>
        </w:rPr>
        <w:t>same_pattern_memory_used</w:t>
      </w:r>
      <w:r>
        <w:t xml:space="preserve"> (memory derived from the same pattern), </w:t>
      </w:r>
      <w:r>
        <w:rPr>
          <w:rFonts w:ascii="Consolas" w:hAnsi="Consolas"/>
          <w:color w:val="1F4D78"/>
          <w:sz w:val="18"/>
        </w:rPr>
        <w:t>same_setting_memory_used</w:t>
      </w:r>
      <w:r>
        <w:t xml:space="preserve"> (memory from the same setting but a different pattern), </w:t>
      </w:r>
      <w:r>
        <w:rPr>
          <w:rFonts w:ascii="Consolas" w:hAnsi="Consolas"/>
          <w:color w:val="1F4D78"/>
          <w:sz w:val="18"/>
        </w:rPr>
        <w:t>cross_setting_memory_used</w:t>
      </w:r>
      <w:r>
        <w:t xml:space="preserve"> (memory from a different setting), and </w:t>
      </w:r>
      <w:r>
        <w:rPr>
          <w:rFonts w:ascii="Consolas" w:hAnsi="Consolas"/>
          <w:color w:val="1F4D78"/>
          <w:sz w:val="18"/>
        </w:rPr>
        <w:t>unknown</w:t>
      </w:r>
      <w:r>
        <w:t xml:space="preserve">. Same-pattern reuse demonstrates the </w:t>
      </w:r>
      <w:r>
        <w:rPr>
          <w:i/>
        </w:rPr>
        <w:t>mechanism</w:t>
      </w:r>
      <w:r>
        <w:t xml:space="preserve"> (the system can retrieve and apply a relevant past judgment) but cannot prove </w:t>
      </w:r>
      <w:r>
        <w:rPr>
          <w:i/>
        </w:rPr>
        <w:t>generalization</w:t>
      </w:r>
      <w:r>
        <w:t xml:space="preserve"> (the system can apply past judgments to genuinely new cases). Same-pattern rows are therefore excluded from all generalization-safe metrics.</w:t>
      </w:r>
    </w:p>
    <w:p>
      <w:r>
        <w:t>Generalization evidence must come from one of four designs: leave-one-pattern-out (use memory from 26 patterns to inform the 27th), cross-setting transfer (use memory from one domain to inform another), cross-diagram transfer (use memory from UCD to inform CD, or vice versa), or expert-holdout (use memory from development rows to inform sealed holdout rows).</w:t>
      </w:r>
    </w:p>
    <w:p>
      <w:r>
        <w:t xml:space="preserve">In the current run, the three existing memory-derived labels are all </w:t>
      </w:r>
      <w:r>
        <w:rPr>
          <w:rFonts w:ascii="Consolas" w:hAnsi="Consolas"/>
          <w:color w:val="1F4D78"/>
          <w:sz w:val="18"/>
        </w:rPr>
        <w:t>same_pattern</w:t>
      </w:r>
      <w:r>
        <w:t xml:space="preserve">, yielding </w:t>
      </w:r>
      <w:r>
        <w:rPr>
          <w:b/>
        </w:rPr>
        <w:t>0 generalization-safe labeled rows</w:t>
      </w:r>
      <w:r>
        <w:t xml:space="preserve">  -  the binding constraint on this evaluation.</w:t>
      </w:r>
    </w:p>
    <w:p>
      <w:pPr>
        <w:pStyle w:val="Heading2"/>
      </w:pPr>
      <w:r>
        <w:t>6.6 Independent expert annotation protocol</w:t>
      </w:r>
    </w:p>
    <w:p>
      <w:r>
        <w:t>To obtain admissible ground truth, an independent annotation study is defined, with bias and leakage controls that are integral to validity.</w:t>
      </w:r>
    </w:p>
    <w:p>
      <w:r>
        <w:rPr>
          <w:b/>
        </w:rPr>
        <w:t>Unit and labels.</w:t>
      </w:r>
      <w:r>
        <w:t xml:space="preserve"> Each </w:t>
      </w:r>
      <w:r>
        <w:rPr>
          <w:i/>
        </w:rPr>
        <w:t>pattern</w:t>
      </w:r>
      <w:r>
        <w:t xml:space="preserve"> (not each student model) receives one of three labels: </w:t>
      </w:r>
      <w:r>
        <w:rPr>
          <w:rFonts w:ascii="Consolas" w:hAnsi="Consolas"/>
          <w:color w:val="1F4D78"/>
          <w:sz w:val="18"/>
        </w:rPr>
        <w:t>Substantial Variability</w:t>
      </w:r>
      <w:r>
        <w:t xml:space="preserve">, </w:t>
      </w:r>
      <w:r>
        <w:rPr>
          <w:rFonts w:ascii="Consolas" w:hAnsi="Consolas"/>
          <w:color w:val="1F4D78"/>
          <w:sz w:val="18"/>
        </w:rPr>
        <w:t>Occasional Variability</w:t>
      </w:r>
      <w:r>
        <w:t xml:space="preserve">, or </w:t>
      </w:r>
      <w:r>
        <w:rPr>
          <w:rFonts w:ascii="Consolas" w:hAnsi="Consolas"/>
          <w:color w:val="1F4D78"/>
          <w:sz w:val="18"/>
        </w:rPr>
        <w:t>Undetermined / Needs Review</w:t>
      </w:r>
      <w:r>
        <w:t>. Each label is accompanied by a written rationale explaining the reviewer's reasoning and a confidence rating.</w:t>
      </w:r>
    </w:p>
    <w:p>
      <w:r>
        <w:rPr>
          <w:b/>
        </w:rPr>
        <w:t>Scope.</w:t>
      </w:r>
      <w:r>
        <w:t xml:space="preserve"> The </w:t>
      </w:r>
      <w:r>
        <w:rPr>
          <w:b/>
        </w:rPr>
        <w:t>24 generalization-safe</w:t>
      </w:r>
      <w:r>
        <w:t xml:space="preserve"> patterns form the primary evaluation set. The </w:t>
      </w:r>
      <w:r>
        <w:rPr>
          <w:b/>
        </w:rPr>
        <w:t>3 same-pattern</w:t>
      </w:r>
      <w:r>
        <w:t xml:space="preserve"> rows are isolated in a separate mechanism-validation sheet and excluded from generalization claims  -  they can show that retrieval works but not that it generalizes.</w:t>
      </w:r>
    </w:p>
    <w:p>
      <w:r>
        <w:rPr>
          <w:b/>
        </w:rPr>
        <w:t>Blind, neutral context.</w:t>
      </w:r>
      <w:r>
        <w:t xml:space="preserve"> Reviewers see only neutral context for each pattern: an anonymous item identifier, the setting (domain and diagram type), the pattern description, the affected student models (by count), the related guideline, and neutral cited evidence from the student submissions. All AI-derived fields  -  the original Agent 4 label and justification, the memory-advice strength, the memory-informed classification, the leakage status, and internal priority/ranking fields  -  are withheld to prevent anchoring bias. These fields appear only in an adjudication-internal audit sheet that is not shown to the initial reviewers.</w:t>
      </w:r>
    </w:p>
    <w:p>
      <w:r>
        <w:rPr>
          <w:b/>
        </w:rPr>
        <w:t>Anonymization and randomization.</w:t>
      </w:r>
      <w:r>
        <w:t xml:space="preserve"> Items carry an </w:t>
      </w:r>
      <w:r>
        <w:rPr>
          <w:rFonts w:ascii="Consolas" w:hAnsi="Consolas"/>
          <w:color w:val="1F4D78"/>
          <w:sz w:val="18"/>
        </w:rPr>
        <w:t>anonymous_item_id</w:t>
      </w:r>
      <w:r>
        <w:t>; the mapping between anonymous IDs and actual pattern IDs is stored in a private file (</w:t>
      </w:r>
      <w:r>
        <w:rPr>
          <w:rFonts w:ascii="Consolas" w:hAnsi="Consolas"/>
          <w:color w:val="1F4D78"/>
          <w:sz w:val="18"/>
        </w:rPr>
        <w:t>item_mapping_PRIVATE.csv</w:t>
      </w:r>
      <w:r>
        <w:t xml:space="preserve">) that is not shared with reviewers. Row order is randomized </w:t>
      </w:r>
      <w:r>
        <w:rPr>
          <w:b/>
        </w:rPr>
        <w:t>separately per reviewer</w:t>
      </w:r>
      <w:r>
        <w:t xml:space="preserve"> to prevent order effects.</w:t>
      </w:r>
    </w:p>
    <w:p>
      <w:r>
        <w:rPr>
          <w:b/>
        </w:rPr>
        <w:t>Two reviewers plus adjudicator.</w:t>
      </w:r>
      <w:r>
        <w:t xml:space="preserve"> Two independent modeling experts label all 24 generalization-safe rows. A third expert adjudicates disagreements, informed by both reviewers' labels and rationales plus the audit-sheet context. Cohen's κ is computed from the two independent reviewers' labels before adjudication. Raw reviewer returns are preserved unchanged; the final adjudicated labels are frozen in a distinct gold-label file that becomes the sole ground truth for all subsequent analysis.</w:t>
      </w:r>
    </w:p>
    <w:p>
      <w:r>
        <w:rPr>
          <w:b/>
        </w:rPr>
        <w:t>Calibration without leakage.</w:t>
      </w:r>
      <w:r>
        <w:t xml:space="preserve"> Before seeing the 24 evaluation rows, both reviewers complete EXP-019 on the three same-pattern rows already excluded from generalization metrics. Their independent calibration responses are frozen, disagreements are used to clarify the instructions, and no calibration label is copied into the evaluation gold set. This checks vocabulary and rationale interpretation without consuming the evaluation sample.</w:t>
      </w:r>
    </w:p>
    <w:p>
      <w:r>
        <w:rPr>
          <w:b/>
        </w:rPr>
        <w:t>Ethics gate.</w:t>
      </w:r>
      <w:r>
        <w:t xml:space="preserve"> Reviewer consent, anonymity, and any IRB documentation requirements are confirmed with the supervisor before outreach. The data contain no personal student information  -  student models are pseudonymous and identified only by case number within their setting.</w:t>
      </w:r>
    </w:p>
    <w:p>
      <w:r>
        <w:rPr>
          <w:b/>
        </w:rPr>
        <w:t>Panel selection.</w:t>
      </w:r>
      <w:r>
        <w:t xml:space="preserve"> Qualified, </w:t>
      </w:r>
      <w:r>
        <w:rPr>
          <w:i/>
        </w:rPr>
        <w:t>available</w:t>
      </w:r>
      <w:r>
        <w:t xml:space="preserve"> modeling experts are prioritized over prominence. Reviewers should have experience with UML use-case and class diagrams and with the concept of valid modeling alternatives. A human-AI specialist may review the interaction protocol but is not the sole UML annotator.</w:t>
      </w:r>
    </w:p>
    <w:p>
      <w:pPr>
        <w:pStyle w:val="Heading2"/>
      </w:pPr>
      <w:r>
        <w:t>6.7 Sealed development/holdout split for any policy refinement</w:t>
      </w:r>
    </w:p>
    <w:p>
      <w:r>
        <w:t xml:space="preserve">The current deterministic policy (M4B-1, </w:t>
      </w:r>
      <w:r>
        <w:rPr>
          <w:rFonts w:ascii="Consolas" w:hAnsi="Consolas"/>
          <w:color w:val="1F4D78"/>
          <w:sz w:val="18"/>
        </w:rPr>
        <w:t>memory-informed-classifier-v1</w:t>
      </w:r>
      <w:r>
        <w:t xml:space="preserve">) changes </w:t>
      </w:r>
      <w:r>
        <w:rPr>
          <w:b/>
        </w:rPr>
        <w:t>0 of 27</w:t>
      </w:r>
      <w:r>
        <w:t xml:space="preserve"> classifications. This means that under the current policy, original and memory-informed accuracy are identical by construction  -  no labeling, real or synthetic, can produce a difference. A delta is only possible if a future deterministic refinement (M4B-1.1) is justified by error analysis showing that specific policy rows should be adjusted.</w:t>
      </w:r>
    </w:p>
    <w:p>
      <w:r>
        <w:t xml:space="preserve">To prevent optimistic bias from such a refinement, the 24 generalization-safe rows are split </w:t>
      </w:r>
      <w:r>
        <w:rPr>
          <w:b/>
        </w:rPr>
        <w:t>16 development / 8 sealed holdout</w:t>
      </w:r>
      <w:r>
        <w:t xml:space="preserve">, with the split recorded privately in </w:t>
      </w:r>
      <w:r>
        <w:rPr>
          <w:rFonts w:ascii="Consolas" w:hAnsi="Consolas"/>
          <w:color w:val="1F4D78"/>
          <w:sz w:val="18"/>
        </w:rPr>
        <w:t>item_mapping_PRIVATE.csv</w:t>
      </w:r>
      <w:r>
        <w:t xml:space="preserve">. Both reviewers label all 24 rows (they do not know which are development and which are holdout). Error analysis and policy-rule design use the 16 development rows only. The 8 holdout labels remain sealed  -  not inspected, not analyzed, not used in any design decision  -  until the refined policy is frozen. The holdout is then evaluated </w:t>
      </w:r>
      <w:r>
        <w:rPr>
          <w:b/>
        </w:rPr>
        <w:t>once</w:t>
      </w:r>
      <w:r>
        <w:t>, and the result is reported without post-hoc adjustment.</w:t>
      </w:r>
    </w:p>
    <w:p>
      <w:r>
        <w:t>Tuning and evaluating on the same rows is prohibited. M4B-1.1 remains design-only and blocked (</w:t>
      </w:r>
      <w:r>
        <w:rPr>
          <w:rFonts w:ascii="Consolas" w:hAnsi="Consolas"/>
          <w:color w:val="1F4D78"/>
          <w:sz w:val="18"/>
        </w:rPr>
        <w:t>docs/research/m4b1-policy-refinement-plan.md</w:t>
      </w:r>
      <w:r>
        <w:t>). M4B-2 (LLM-based reclassification) is out of scope for this thesis.</w:t>
      </w:r>
    </w:p>
    <w:p>
      <w:pPr>
        <w:pStyle w:val="Heading2"/>
      </w:pPr>
      <w:r>
        <w:t>6.8 Evidence gates (what each label count permits)</w:t>
      </w:r>
    </w:p>
    <w:p>
      <w:r>
        <w:t>The evaluation defines explicit gates that link the available evidence to the permitted claims. These gates are enforced by the evaluation harness and the evidence-consistency guard.</w:t>
      </w:r>
    </w:p>
    <w:tbl>
      <w:tblPr>
        <w:tblStyle w:val="TableGrid"/>
        <w:tblW w:type="dxa" w:w="9360"/>
        <w:jc w:val="left"/>
        <w:tblLayout w:type="fixed"/>
        <w:tblLook w:firstColumn="1" w:firstRow="1" w:lastColumn="0" w:lastRow="0" w:noHBand="0" w:noVBand="1" w:val="04A0"/>
        <w:tblInd w:w="120" w:type="dxa"/>
      </w:tblPr>
      <w:tblGrid>
        <w:gridCol w:w="3813"/>
        <w:gridCol w:w="5547"/>
      </w:tblGrid>
      <w:tr>
        <w:trPr>
          <w:cantSplit/>
          <w:tblHeader w:val="true"/>
        </w:trPr>
        <w:tc>
          <w:tcPr>
            <w:tcW w:type="dxa" w:w="3813"/>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Generalization-safe expert labels</w:t>
            </w:r>
          </w:p>
        </w:tc>
        <w:tc>
          <w:tcPr>
            <w:tcW w:type="dxa" w:w="554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Permitted reporting</w:t>
            </w:r>
          </w:p>
        </w:tc>
      </w:tr>
      <w:tr>
        <w:trPr>
          <w:cantSplit/>
        </w:trPr>
        <w:tc>
          <w:tcPr>
            <w:tcW w:type="dxa" w:w="38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 (current)</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"Accuracy improvement cannot be evaluated yet." Mechanism, traceability, and escalation evidence only.</w:t>
            </w:r>
          </w:p>
        </w:tc>
      </w:tr>
      <w:tr>
        <w:trPr>
          <w:cantSplit/>
        </w:trPr>
        <w:tc>
          <w:tcPr>
            <w:tcW w:type="dxa" w:w="38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1-19</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Pilot/exploratory results only, with explicit small-sample threats and no strong quantitative claim.</w:t>
            </w:r>
          </w:p>
        </w:tc>
      </w:tr>
      <w:tr>
        <w:trPr>
          <w:cantSplit/>
        </w:trPr>
        <w:tc>
          <w:tcPr>
            <w:tcW w:type="dxa" w:w="381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20-24</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Quantitative MSc pilot, with stated limitations (narrow scope, conservative policy, small sample).</w:t>
            </w:r>
          </w:p>
        </w:tc>
      </w:tr>
      <w:tr>
        <w:trPr>
          <w:cantSplit/>
        </w:trPr>
        <w:tc>
          <w:tcPr>
            <w:tcW w:type="dxa" w:w="38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8 sealed holdout rows</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One-time pilot only; never a formal improvement claim.</w:t>
            </w:r>
          </w:p>
        </w:tc>
      </w:tr>
      <w:tr>
        <w:trPr>
          <w:cantSplit/>
        </w:trPr>
        <w:tc>
          <w:tcPr>
            <w:tcW w:type="dxa" w:w="38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≥30 new external rows</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Formal-claim gate is eligible, but only if every preregistered statistical and safety criterion passes.</w:t>
            </w:r>
          </w:p>
        </w:tc>
      </w:tr>
      <w:tr>
        <w:trPr>
          <w:cantSplit/>
        </w:trPr>
        <w:tc>
          <w:tcPr>
            <w:tcW w:type="dxa" w:w="38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+2nd reviewer / adjudication</w:t>
            </w:r>
          </w:p>
        </w:tc>
        <w:tc>
          <w:tcPr>
            <w:tcW w:type="dxa" w:w="554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Strengthened label reliability (κ reported); stronger claims about expert-label validity.</w:t>
            </w:r>
          </w:p>
        </w:tc>
      </w:tr>
    </w:tbl>
    <w:p>
      <w:pPr>
        <w:spacing w:after="40"/>
      </w:pPr>
    </w:p>
    <w:p>
      <w:r>
        <w:t>These gates serve a dual purpose. For the thesis, they define what claims the current evidence supports. For the reader, they make the evidence boundary transparent  -  there is no ambiguity about what has and has not been shown.</w:t>
      </w:r>
    </w:p>
    <w:p>
      <w:pPr>
        <w:pStyle w:val="Heading2"/>
      </w:pPr>
      <w:r>
        <w:t>6.9 Reproducibility and instrumentation</w:t>
      </w:r>
    </w:p>
    <w:p>
      <w:r>
        <w:t xml:space="preserve">All evaluation runs are deterministic and offline  -  no API or LLM calls are needed. The evaluation harness </w:t>
      </w:r>
      <w:r>
        <w:rPr>
          <w:rFonts w:ascii="Consolas" w:hAnsi="Consolas"/>
          <w:color w:val="1F4D78"/>
          <w:sz w:val="18"/>
        </w:rPr>
        <w:t>VEGO-AI/analysis/evaluate_accuracy_improvement.py</w:t>
      </w:r>
      <w:r>
        <w:t xml:space="preserve"> consumes a labels CSV and emits: per-row comparisons between original, memory-informed, and expert labels; leakage-tiered accuracy and macro-F1; a paired correctness table; error-type analysis; and escalation precision/recall. The harness refuses to assert improvement while the count of generalization-safe labels is below 20.</w:t>
      </w:r>
    </w:p>
    <w:p>
      <w:r>
        <w:t xml:space="preserve">Cross-report numeric invariants and the frozen baseline/policy are checked by </w:t>
      </w:r>
      <w:r>
        <w:rPr>
          <w:rFonts w:ascii="Consolas" w:hAnsi="Consolas"/>
          <w:color w:val="1F4D78"/>
          <w:sz w:val="18"/>
        </w:rPr>
        <w:t>scripts/check_evidence_consistency.py</w:t>
      </w:r>
      <w:r>
        <w:t xml:space="preserve">, which runs at the start and end of every agent prompt. The guard verifies 18 consistency checks, including: baseline outputs unchanged, </w:t>
      </w:r>
      <w:r>
        <w:rPr>
          <w:rFonts w:ascii="Consolas" w:hAnsi="Consolas"/>
          <w:color w:val="1F4D78"/>
          <w:sz w:val="18"/>
        </w:rPr>
        <w:t>ai_classification_changed = 0</w:t>
      </w:r>
      <w:r>
        <w:t>, no forbidden tracked artifacts, and no claim-language violations.</w:t>
      </w:r>
    </w:p>
    <w:p>
      <w:r>
        <w:t xml:space="preserve">Every result maps to a registered experiment ID (EXP-001 through EXP-027), a specific git commit, and controlled generated outputs under </w:t>
      </w:r>
      <w:r>
        <w:rPr>
          <w:rFonts w:ascii="Consolas" w:hAnsi="Consolas"/>
          <w:color w:val="1F4D78"/>
          <w:sz w:val="18"/>
        </w:rPr>
        <w:t>reports/generated/</w:t>
      </w:r>
      <w:r>
        <w:t>. The experiment registry (</w:t>
      </w:r>
      <w:r>
        <w:rPr>
          <w:rFonts w:ascii="Consolas" w:hAnsi="Consolas"/>
          <w:color w:val="1F4D78"/>
          <w:sz w:val="18"/>
        </w:rPr>
        <w:t>experiments/registry.md</w:t>
      </w:r>
      <w:r>
        <w:t>) documents each experiment's purpose, inputs, outputs, and current status. Four document-level interfaces reduce ambiguity across runs:</w:t>
      </w:r>
    </w:p>
    <w:p>
      <w:pPr>
        <w:pStyle w:val="ListBullet"/>
      </w:pPr>
      <w:r>
        <w:rPr>
          <w:rFonts w:ascii="Consolas" w:hAnsi="Consolas"/>
          <w:color w:val="1F4D78"/>
          <w:sz w:val="18"/>
        </w:rPr>
        <w:t>ThesisEvidenceSnapshot-v1</w:t>
      </w:r>
      <w:r>
        <w:t xml:space="preserve"> records B0-B5, gates, current evidence, planned</w:t>
      </w:r>
    </w:p>
    <w:p>
      <w:r>
        <w:t>experiments, claim boundaries, and chapter traceability.</w:t>
      </w:r>
    </w:p>
    <w:p>
      <w:pPr>
        <w:pStyle w:val="ListBullet"/>
      </w:pPr>
      <w:r>
        <w:rPr>
          <w:rFonts w:ascii="Consolas" w:hAnsi="Consolas"/>
          <w:color w:val="1F4D78"/>
          <w:sz w:val="18"/>
        </w:rPr>
        <w:t>GoldLabelRecord-v2</w:t>
      </w:r>
      <w:r>
        <w:t xml:space="preserve"> records human label provenance, partition, leakage class,</w:t>
      </w:r>
    </w:p>
    <w:p>
      <w:r>
        <w:t>rationale, confidence, and adjudication state.</w:t>
      </w:r>
    </w:p>
    <w:p>
      <w:pPr>
        <w:pStyle w:val="ListBullet"/>
      </w:pPr>
      <w:r>
        <w:rPr>
          <w:rFonts w:ascii="Consolas" w:hAnsi="Consolas"/>
          <w:color w:val="1F4D78"/>
          <w:sz w:val="18"/>
        </w:rPr>
        <w:t>PolicyCandidateRecord-v1</w:t>
      </w:r>
      <w:r>
        <w:t xml:space="preserve"> freezes deterministic rules, development evidence,</w:t>
      </w:r>
    </w:p>
    <w:p>
      <w:r>
        <w:t>hashes, fallback, approval, and the non-destructive output boundary.</w:t>
      </w:r>
    </w:p>
    <w:p>
      <w:pPr>
        <w:pStyle w:val="ListBullet"/>
      </w:pPr>
      <w:r>
        <w:rPr>
          <w:rFonts w:ascii="Consolas" w:hAnsi="Consolas"/>
          <w:color w:val="1F4D78"/>
          <w:sz w:val="18"/>
        </w:rPr>
        <w:t>EvaluationRunManifest-v2</w:t>
      </w:r>
      <w:r>
        <w:t xml:space="preserve"> records source revision, dirty state, hashes,</w:t>
      </w:r>
    </w:p>
    <w:p>
      <w:r>
        <w:t>partition seal, label statistics, metrics, and claim scope.</w:t>
      </w:r>
    </w:p>
    <w:p>
      <w:r>
        <w:t xml:space="preserve">If safe N is zero, the evaluation manifest requires accuracy, macro-F1, net correction, and paired p-values to remain null with status </w:t>
      </w:r>
      <w:r>
        <w:rPr>
          <w:rFonts w:ascii="Consolas" w:hAnsi="Consolas"/>
          <w:color w:val="1F4D78"/>
          <w:sz w:val="18"/>
        </w:rPr>
        <w:t>NOT YET COMPUTABLE</w:t>
      </w:r>
      <w:r>
        <w:t>.</w:t>
      </w:r>
    </w:p>
    <w:p>
      <w:r>
        <w:t>Reproduction commands:</w:t>
      </w:r>
    </w:p>
    <w:p>
      <w:pPr>
        <w:pStyle w:val="CodeBlock"/>
        <w:shd w:fill="F4F6F9"/>
      </w:pPr>
      <w:r>
        <w:rPr>
          <w:rFonts w:ascii="Consolas" w:hAnsi="Consolas"/>
          <w:color w:val="1E232A"/>
          <w:sz w:val="17"/>
        </w:rPr>
        <w:t># Rebuild the M4B-1 comparison from baseline + human feedback</w:t>
        <w:br/>
        <w:t>python -m VEGO-AI.framework.memory_informed_classifier</w:t>
        <w:br/>
        <w:br/>
        <w:t># Run the evaluation harness (requires labels CSV)</w:t>
        <w:br/>
        <w:t>python VEGO-AI/analysis/evaluate_accuracy_improvement.py --labels &lt;gold_labels.csv&gt;</w:t>
        <w:br/>
        <w:br/>
        <w:t># Verify evidence consistency</w:t>
        <w:br/>
        <w:t>python scripts/check_evidence_consistency.py</w:t>
        <w:br/>
        <w:br/>
        <w:t># Run the full test suite</w:t>
        <w:br/>
        <w:t>python -m pytest VEGO-AI/tests -q</w:t>
      </w:r>
    </w:p>
    <w:p>
      <w:pPr>
        <w:pStyle w:val="Heading2"/>
      </w:pPr>
      <w:r>
        <w:t>6.10 EXP-019-EXP-027 execution sequence</w:t>
      </w:r>
    </w:p>
    <w:p>
      <w:r>
        <w:t>The preregistered extension separates reviewer preparation, evidence collection, development analysis, policy design, holdout evaluation, external replication, effort, and robustness:</w:t>
      </w:r>
    </w:p>
    <w:tbl>
      <w:tblPr>
        <w:tblStyle w:val="TableGrid"/>
        <w:tblW w:type="dxa" w:w="9360"/>
        <w:jc w:val="left"/>
        <w:tblLayout w:type="fixed"/>
        <w:tblLook w:firstColumn="1" w:firstRow="1" w:lastColumn="0" w:lastRow="0" w:noHBand="0" w:noVBand="1" w:val="04A0"/>
        <w:tblInd w:w="120" w:type="dxa"/>
      </w:tblPr>
      <w:tblGrid>
        <w:gridCol w:w="900"/>
        <w:gridCol w:w="3213"/>
        <w:gridCol w:w="3353"/>
        <w:gridCol w:w="1894"/>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Experiment</w:t>
            </w:r>
          </w:p>
        </w:tc>
        <w:tc>
          <w:tcPr>
            <w:tcW w:type="dxa" w:w="32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Role</w:t>
            </w:r>
          </w:p>
        </w:tc>
        <w:tc>
          <w:tcPr>
            <w:tcW w:type="dxa" w:w="33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Entry gate</w:t>
            </w:r>
          </w:p>
        </w:tc>
        <w:tc>
          <w:tcPr>
            <w:tcW w:type="dxa" w:w="189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Result status before execution</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EXP-019</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Reviewer calibration on 3 excluded rows</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Protocol approval and two reviewers</w:t>
            </w:r>
          </w:p>
        </w:tc>
        <w:tc>
          <w:tcPr>
            <w:tcW w:type="dxa" w:w="189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Evaluation-ready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EXP-020</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Independent labeling of 24 safe rows</w:t>
            </w:r>
          </w:p>
        </w:tc>
        <w:tc>
          <w:tcPr>
            <w:tcW w:type="dxa" w:w="335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EXP-019 complete</w:t>
            </w:r>
          </w:p>
        </w:tc>
        <w:tc>
          <w:tcPr>
            <w:tcW w:type="dxa" w:w="189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Pending expert input</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EXP-021</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Baseline error analysis on 16 development rows</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At least 20 adjudicated safe labels</w:t>
            </w:r>
          </w:p>
        </w:tc>
        <w:tc>
          <w:tcPr>
            <w:tcW w:type="dxa" w:w="189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EXP-022</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Routing and retrieval validity</w:t>
            </w:r>
          </w:p>
        </w:tc>
        <w:tc>
          <w:tcPr>
            <w:tcW w:type="dxa" w:w="335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EXP-021 complete</w:t>
            </w:r>
          </w:p>
        </w:tc>
        <w:tc>
          <w:tcPr>
            <w:tcW w:type="dxa" w:w="189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EXP-023</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Freeze one deterministic candidate</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≥3 correctable errors across ≥2 settings plus approval</w:t>
            </w:r>
          </w:p>
        </w:tc>
        <w:tc>
          <w:tcPr>
            <w:tcW w:type="dxa" w:w="189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EXP-024</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Open 8-row holdout once</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Frozen approved EXP-023 policy</w:t>
            </w:r>
          </w:p>
        </w:tc>
        <w:tc>
          <w:tcPr>
            <w:tcW w:type="dxa" w:w="1894"/>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EXP-025</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New external education batch</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Holdout complete; minimum N=30, target 48</w:t>
            </w:r>
          </w:p>
        </w:tc>
        <w:tc>
          <w:tcPr>
            <w:tcW w:type="dxa" w:w="189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EXP-026</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Controlled human-effort study</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Ethics and consent approval</w:t>
            </w:r>
          </w:p>
        </w:tc>
        <w:tc>
          <w:tcPr>
            <w:tcW w:type="dxa" w:w="189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EXP-027</w:t>
            </w:r>
          </w:p>
        </w:tc>
        <w:tc>
          <w:tcPr>
            <w:tcW w:type="dxa" w:w="321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Ablation and robustness</w:t>
            </w:r>
          </w:p>
        </w:tc>
        <w:tc>
          <w:tcPr>
            <w:tcW w:type="dxa" w:w="33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Primary EXP-025 analysis complete</w:t>
            </w:r>
          </w:p>
        </w:tc>
        <w:tc>
          <w:tcPr>
            <w:tcW w:type="dxa" w:w="189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r>
    </w:tbl>
    <w:p>
      <w:pPr>
        <w:spacing w:after="40"/>
      </w:pPr>
    </w:p>
    <w:p>
      <w:r>
        <w:t>This sequence has legitimate stop outcomes. If reviewers cannot apply the protocol consistently, EXP-020 pauses. If the baseline shows fewer than three potentially correctable development errors across two settings, policy work stops. If the holdout is null or harmful, the outcome is reported without revision. If the external gate fails, no formal improvement claim is made.</w:t>
      </w:r>
    </w:p>
    <w:p>
      <w:pPr>
        <w:pStyle w:val="EvidenceCallout"/>
        <w:shd w:fill="EEF5FA"/>
        <w:pBdr>
          <w:left w:val="single" w:sz="18" w:space="8" w:color="2E74B5"/>
        </w:pBdr>
      </w:pPr>
      <w:r>
        <w:rPr>
          <w:b/>
        </w:rPr>
        <w:t>Figure 6.2.</w:t>
      </w:r>
      <w:r>
        <w:t xml:space="preserve"> Preregistered experiment and stopping sequence. See </w:t>
      </w:r>
      <w:r>
        <w:rPr>
          <w:rFonts w:ascii="Consolas" w:hAnsi="Consolas"/>
          <w:color w:val="1F4D78"/>
          <w:sz w:val="18"/>
        </w:rPr>
        <w:t>thesis/figures/fig-6-2-experiment-roadmap.mmd</w:t>
      </w:r>
      <w:r>
        <w:t>.</w:t>
      </w:r>
    </w:p>
    <w:p>
      <w:pPr>
        <w:pStyle w:val="Heading2"/>
      </w:pPr>
      <w:r>
        <w:t>6.11 Summary</w:t>
      </w:r>
    </w:p>
    <w:p>
      <w:r>
        <w:t xml:space="preserve">The methodology cleanly separates </w:t>
      </w:r>
      <w:r>
        <w:rPr>
          <w:i/>
        </w:rPr>
        <w:t>mechanism validity</w:t>
      </w:r>
      <w:r>
        <w:t xml:space="preserve"> (established by the implemented pipeline, the passing verification suites recorded in the dated manifest, and its generated artifacts) from </w:t>
      </w:r>
      <w:r>
        <w:rPr>
          <w:i/>
        </w:rPr>
        <w:t>empirical effect</w:t>
      </w:r>
      <w:r>
        <w:t xml:space="preserve"> (pending independent expert labels). It defines a bias- and leakage-controlled annotation study to obtain admissible ground truth, pre-commits to a sealed development/holdout discipline so that any future policy refinement is evaluated honestly, and establishes explicit evidence gates that link label counts to permitted claims.</w:t>
      </w:r>
    </w:p>
    <w:p>
      <w:r>
        <w:t>Under the current evidence, the only supportable claims concern reusable human judgment, traceability, and escalation  -  not classification accuracy. The methodology itself is a contribution: it identifies a subtle but important evaluation pitfall (the byte-identical baseline labels) and designs a protocol that avoids it, providing a template for evaluating similar human-AI collaboration artifacts in the future.</w:t>
      </w:r>
    </w:p>
    <w:p>
      <w:pPr>
        <w:pStyle w:val="Heading1"/>
        <w:pageBreakBefore/>
      </w:pPr>
      <w:r>
        <w:t>Chapter 7  -  Experimental Results and Current Evidence</w:t>
      </w:r>
    </w:p>
    <w:p>
      <w:pPr>
        <w:pStyle w:val="EvidenceCallout"/>
        <w:shd w:fill="EEF5FA"/>
        <w:pBdr>
          <w:left w:val="single" w:sz="18" w:space="8" w:color="2E74B5"/>
        </w:pBdr>
      </w:pPr>
      <w:r>
        <w:t xml:space="preserve">Draft. This chapter reports the evidence that is currently available and preserves the evidence boundary: mechanism, traceability, escalation, and reproducibility are supported; classification accuracy improvement is not yet evaluable because no generalization-safe expert labels have been supplied. Sources: </w:t>
      </w:r>
      <w:r>
        <w:rPr>
          <w:rFonts w:ascii="Consolas" w:hAnsi="Consolas"/>
          <w:color w:val="1F4D78"/>
          <w:sz w:val="18"/>
        </w:rPr>
        <w:t>docs/research/evaluation-report.md</w:t>
      </w:r>
      <w:r>
        <w:t xml:space="preserve">, </w:t>
      </w:r>
      <w:r>
        <w:rPr>
          <w:rFonts w:ascii="Consolas" w:hAnsi="Consolas"/>
          <w:color w:val="1F4D78"/>
          <w:sz w:val="18"/>
        </w:rPr>
        <w:t>docs/PROGRESS_TRACKER.md</w:t>
      </w:r>
      <w:r>
        <w:t xml:space="preserve">, </w:t>
      </w:r>
      <w:r>
        <w:rPr>
          <w:rFonts w:ascii="Consolas" w:hAnsi="Consolas"/>
          <w:color w:val="1F4D78"/>
          <w:sz w:val="18"/>
        </w:rPr>
        <w:t>docs/dashboards/e2e-dashboard.generated.md</w:t>
      </w:r>
      <w:r>
        <w:t xml:space="preserve">, </w:t>
      </w:r>
      <w:r>
        <w:rPr>
          <w:rFonts w:ascii="Consolas" w:hAnsi="Consolas"/>
          <w:color w:val="1F4D78"/>
          <w:sz w:val="18"/>
        </w:rPr>
        <w:t>reports/generated/exp001/</w:t>
      </w:r>
      <w:r>
        <w:t xml:space="preserve">, </w:t>
      </w:r>
      <w:r>
        <w:rPr>
          <w:rFonts w:ascii="Consolas" w:hAnsi="Consolas"/>
          <w:color w:val="1F4D78"/>
          <w:sz w:val="18"/>
        </w:rPr>
        <w:t>reports/generated/exp002/</w:t>
      </w:r>
      <w:r>
        <w:t xml:space="preserve">, </w:t>
      </w:r>
      <w:r>
        <w:rPr>
          <w:rFonts w:ascii="Consolas" w:hAnsi="Consolas"/>
          <w:color w:val="1F4D78"/>
          <w:sz w:val="18"/>
        </w:rPr>
        <w:t>reports/generated/exp003/</w:t>
      </w:r>
      <w:r>
        <w:t xml:space="preserve">, and </w:t>
      </w:r>
      <w:r>
        <w:rPr>
          <w:rFonts w:ascii="Consolas" w:hAnsi="Consolas"/>
          <w:color w:val="1F4D78"/>
          <w:sz w:val="18"/>
        </w:rPr>
        <w:t>reports/generated/exp005_label_review/</w:t>
      </w:r>
      <w:r>
        <w:t>.</w:t>
      </w:r>
    </w:p>
    <w:p>
      <w:pPr>
        <w:pStyle w:val="Heading2"/>
      </w:pPr>
      <w:r>
        <w:t>7.1 Result status at the time of writing</w:t>
      </w:r>
    </w:p>
    <w:p>
      <w:r>
        <w:t>The VEGO-AI thesis artifact is complete through M4B-1. The evaluation tooling through EXP-018 is present, the bias-controlled annotation package is ready, and the accepted verification record reports the VEGO-AI and research-script suites passing; exact counts remain attached to the dated verification manifest. EXP-019-EXP-027 are preregistered specifications, not completed results. The empirical label gate remains closed: no independent expert labels have been supplied, so the accuracy-effect question cannot yet be answered.</w:t>
      </w:r>
    </w:p>
    <w:p>
      <w:r>
        <w:t xml:space="preserve">This chapter therefore reports a mixed result set: the system-level mechanism is demonstrated with concrete evidence, while the accuracy-effect question remains pending the execution of the independent expert annotation protocol (§6.6). The central evidence boundary is: </w:t>
      </w:r>
      <w:r>
        <w:rPr>
          <w:b/>
        </w:rPr>
        <w:t>current evidence supports mechanism readiness, not accuracy improvement</w:t>
      </w:r>
      <w:r>
        <w: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area</w:t>
            </w:r>
          </w:p>
        </w:tc>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2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Thesis interpretation</w:t>
            </w:r>
          </w:p>
        </w:tc>
      </w:tr>
      <w:tr>
        <w:trPr>
          <w:cantSplit/>
        </w:trPr>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Artifact build M1-M4B-1</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Complete, merged, tagged, and reproducible</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The reusable human-judgment layer exists and can be evaluated.</w:t>
            </w:r>
          </w:p>
        </w:tc>
      </w:tr>
      <w:tr>
        <w:trPr>
          <w:cantSplit/>
        </w:trPr>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Dashboard and visualizer</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Complete and validated</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The artifact can be inspected through local reports and read-only research panels.</w:t>
            </w:r>
          </w:p>
        </w:tc>
      </w:tr>
      <w:tr>
        <w:trPr>
          <w:cantSplit/>
        </w:trPr>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Evaluation and conformance tooling EXP-001-EXP-018</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Accepted mechanism, offline, synthetic, and conformance records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The project has machinery for controlled evaluation; evidence classes remain separate.</w:t>
            </w:r>
          </w:p>
        </w:tc>
      </w:tr>
      <w:tr>
        <w:trPr>
          <w:cantSplit/>
        </w:trPr>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Accuracy-evidence roadmap EXP-019-EXP-027</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Preregistered specifications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new empirical result is implied.</w:t>
            </w:r>
          </w:p>
        </w:tc>
      </w:tr>
      <w:tr>
        <w:trPr>
          <w:cantSplit/>
        </w:trPr>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Annotation package</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Ready with blind sheets, leakage controls, and randomization</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Expert-label collection can begin immediately upon supervisor approval.</w:t>
            </w:r>
          </w:p>
        </w:tc>
      </w:tr>
      <w:tr>
        <w:trPr>
          <w:cantSplit/>
        </w:trPr>
        <w:tc>
          <w:tcPr>
            <w:tcW w:type="dxa" w:w="312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Expert labels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0 supplied real labels</w:t>
            </w:r>
          </w:p>
        </w:tc>
        <w:tc>
          <w:tcPr>
            <w:tcW w:type="dxa" w:w="312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Accuracy and generalization cannot be evaluated yet.</w:t>
            </w:r>
          </w:p>
        </w:tc>
      </w:tr>
    </w:tbl>
    <w:p>
      <w:pPr>
        <w:spacing w:after="40"/>
      </w:pPr>
    </w:p>
    <w:p>
      <w:pPr>
        <w:pStyle w:val="Heading3"/>
      </w:pPr>
      <w:r>
        <w:t>7.1.1 B0-B5 progress view</w:t>
      </w:r>
    </w:p>
    <w:p>
      <w:r>
        <w:t>The baseline ladder separates what exists from what still requires human or external evidence:</w:t>
      </w:r>
    </w:p>
    <w:tbl>
      <w:tblPr>
        <w:tblStyle w:val="TableGrid"/>
        <w:tblW w:type="dxa" w:w="9360"/>
        <w:jc w:val="left"/>
        <w:tblLayout w:type="fixed"/>
        <w:tblLook w:firstColumn="1" w:firstRow="1" w:lastColumn="0" w:lastRow="0" w:noHBand="0" w:noVBand="1" w:val="04A0"/>
        <w:tblInd w:w="120" w:type="dxa"/>
      </w:tblPr>
      <w:tblGrid>
        <w:gridCol w:w="1731"/>
        <w:gridCol w:w="1475"/>
        <w:gridCol w:w="3077"/>
        <w:gridCol w:w="3077"/>
      </w:tblGrid>
      <w:tr>
        <w:trPr>
          <w:cantSplit/>
          <w:tblHeader w:val="true"/>
        </w:trPr>
        <w:tc>
          <w:tcPr>
            <w:tcW w:type="dxa" w:w="17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147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07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available</w:t>
            </w:r>
          </w:p>
        </w:tc>
        <w:tc>
          <w:tcPr>
            <w:tcW w:type="dxa" w:w="307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Next gate</w:t>
            </w:r>
          </w:p>
        </w:tc>
      </w:tr>
      <w:tr>
        <w:trPr>
          <w:cantSplit/>
        </w:trPr>
        <w:tc>
          <w:tcPr>
            <w:tcW w:type="dxa" w:w="17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B0 Frozen Agent 4</w:t>
            </w:r>
          </w:p>
        </w:tc>
        <w:tc>
          <w:tcPr>
            <w:tcW w:type="dxa" w:w="147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179 models, 27 patterns, immutable outputs</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Continue hash checks</w:t>
            </w:r>
          </w:p>
        </w:tc>
      </w:tr>
      <w:tr>
        <w:trPr>
          <w:cantSplit/>
        </w:trPr>
        <w:tc>
          <w:tcPr>
            <w:tcW w:type="dxa" w:w="17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B1 Human-judgment mechanism</w:t>
            </w:r>
          </w:p>
        </w:tc>
        <w:tc>
          <w:tcPr>
            <w:tcW w:type="dxa" w:w="147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11 queue items, 3 memories, 8 advice items, 27 comparisons, 0 changes</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Independent validity audit</w:t>
            </w:r>
          </w:p>
        </w:tc>
      </w:tr>
      <w:tr>
        <w:trPr>
          <w:cantSplit/>
        </w:trPr>
        <w:tc>
          <w:tcPr>
            <w:tcW w:type="dxa" w:w="17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B2 Expert-labeled baseline</w:t>
            </w:r>
          </w:p>
        </w:tc>
        <w:tc>
          <w:tcPr>
            <w:tcW w:type="dxa" w:w="147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Pending expert input</w:t>
            </w:r>
          </w:p>
        </w:tc>
        <w:tc>
          <w:tcPr>
            <w:tcW w:type="dxa" w:w="307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0/24 safe labels</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EXP-019 calibration and EXP-020 labeling</w:t>
            </w:r>
          </w:p>
        </w:tc>
      </w:tr>
      <w:tr>
        <w:trPr>
          <w:cantSplit/>
        </w:trPr>
        <w:tc>
          <w:tcPr>
            <w:tcW w:type="dxa" w:w="17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B3 Deterministic candidate</w:t>
            </w:r>
          </w:p>
        </w:tc>
        <w:tc>
          <w:tcPr>
            <w:tcW w:type="dxa" w:w="147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candidate record</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≥3 correctable development errors across ≥2 settings plus approval</w:t>
            </w:r>
          </w:p>
        </w:tc>
      </w:tr>
      <w:tr>
        <w:trPr>
          <w:cantSplit/>
        </w:trPr>
        <w:tc>
          <w:tcPr>
            <w:tcW w:type="dxa" w:w="173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B4 Sealed holdout</w:t>
            </w:r>
          </w:p>
        </w:tc>
        <w:tc>
          <w:tcPr>
            <w:tcW w:type="dxa" w:w="147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c>
          <w:tcPr>
            <w:tcW w:type="dxa" w:w="307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8 rows sealed</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Freeze B3 before opening</w:t>
            </w:r>
          </w:p>
        </w:tc>
      </w:tr>
      <w:tr>
        <w:trPr>
          <w:cantSplit/>
        </w:trPr>
        <w:tc>
          <w:tcPr>
            <w:tcW w:type="dxa" w:w="17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B5 External replication</w:t>
            </w:r>
          </w:p>
        </w:tc>
        <w:tc>
          <w:tcPr>
            <w:tcW w:type="dxa" w:w="147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 external batch</w:t>
            </w:r>
          </w:p>
        </w:tc>
        <w:tc>
          <w:tcPr>
            <w:tcW w:type="dxa" w:w="307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New education batch, minimum 30 and target 48</w:t>
            </w:r>
          </w:p>
        </w:tc>
      </w:tr>
    </w:tbl>
    <w:p>
      <w:pPr>
        <w:spacing w:after="40"/>
      </w:pPr>
    </w:p>
    <w:p>
      <w:r>
        <w:t xml:space="preserve">This view is progress toward </w:t>
      </w:r>
      <w:r>
        <w:rPr>
          <w:i/>
        </w:rPr>
        <w:t>stronger evidence</w:t>
      </w:r>
      <w:r>
        <w:t>, not a graph of improving accuracy. B0 and B1 are complete engineering and mechanism baselines. B2-B5 are gated research stages whose outcomes may be positive, null, mixed, or harmful.</w:t>
      </w:r>
    </w:p>
    <w:p>
      <w:pPr>
        <w:pStyle w:val="EvidenceCallout"/>
        <w:shd w:fill="EEF5FA"/>
        <w:pBdr>
          <w:left w:val="single" w:sz="18" w:space="8" w:color="2E74B5"/>
        </w:pBdr>
      </w:pPr>
      <w:r>
        <w:rPr>
          <w:b/>
        </w:rPr>
        <w:t>Figure 7.2.</w:t>
      </w:r>
      <w:r>
        <w:t xml:space="preserve"> B0-B5 evidence-maturity ladder. See </w:t>
      </w:r>
      <w:r>
        <w:rPr>
          <w:rFonts w:ascii="Consolas" w:hAnsi="Consolas"/>
          <w:color w:val="1F4D78"/>
          <w:sz w:val="18"/>
        </w:rPr>
        <w:t>thesis/figures/fig-7-2-baseline-evidence-ladder.mmd</w:t>
      </w:r>
      <w:r>
        <w:t>.</w:t>
      </w:r>
    </w:p>
    <w:p>
      <w:pPr>
        <w:pStyle w:val="Heading2"/>
      </w:pPr>
      <w:r>
        <w:t>7.2 Prototype-scale evidence</w:t>
      </w:r>
    </w:p>
    <w:p>
      <w:r>
        <w:t>The current VEGO-AI run covers four settings across two domains (Cheers and ParkWise) and two diagram types (use-case and class diagrams). The following table reports the scale at which the artifact operates, drawn from the local dashboard snapshot.</w:t>
      </w:r>
    </w:p>
    <w:tbl>
      <w:tblPr>
        <w:tblStyle w:val="TableGrid"/>
        <w:tblW w:type="dxa" w:w="9360"/>
        <w:jc w:val="left"/>
        <w:tblLayout w:type="fixed"/>
        <w:tblLook w:firstColumn="1" w:firstRow="1" w:lastColumn="0" w:lastRow="0" w:noHBand="0" w:noVBand="1" w:val="04A0"/>
        <w:tblInd w:w="120" w:type="dxa"/>
      </w:tblPr>
      <w:tblGrid>
        <w:gridCol w:w="8023"/>
        <w:gridCol w:w="1337"/>
      </w:tblGrid>
      <w:tr>
        <w:trPr>
          <w:cantSplit/>
          <w:tblHeader w:val="true"/>
        </w:trPr>
        <w:tc>
          <w:tcPr>
            <w:tcW w:type="dxa" w:w="802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133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Student model cases</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179</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Recurring variability patterns</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Human-review queue items (M1)</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11</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Resolved feedback entries (M2)</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4</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Reusable judgment-memory entries (M3)</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3</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Memory-advice items (M4A)</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8</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M4B-1 comparison rows</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Baseline AI classifications changed by the memory layer</w:t>
            </w:r>
          </w:p>
        </w:tc>
        <w:tc>
          <w:tcPr>
            <w:tcW w:type="dxa" w:w="133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r>
    </w:tbl>
    <w:p>
      <w:pPr>
        <w:spacing w:after="40"/>
      </w:pPr>
    </w:p>
    <w:p>
      <w:r>
        <w:t>These counts establish that the artifact operates at a scale sufficient to exercise the full workflow: review items are generated, feedback is attached, memories are stored, advice is retrieved, and comparisons are produced. The scale is, however, modest  -  27 patterns across four settings  -  which means that future quantitative claims must be framed as pilot evidence unless additional labeled runs are conducted. This limitation is acknowledged in the evidence gates (§6.8) and the threats to validity (Chapter 8).</w:t>
      </w:r>
    </w:p>
    <w:p>
      <w:pPr>
        <w:pStyle w:val="Heading2"/>
      </w:pPr>
      <w:r>
        <w:t>7.3 Mechanism results by milestone</w:t>
      </w:r>
    </w:p>
    <w:p>
      <w:r>
        <w:t>The mechanism evidence shows that reusable human judgment is represented as a traceable chain rather than a single model-output change. Each milestone contributes a distinct layer to the chain, and each layer can be inspected independently.</w:t>
      </w:r>
    </w:p>
    <w:p>
      <w:r>
        <w:rPr>
          <w:b/>
        </w:rPr>
        <w:t>M1  -  Human Review Queue.</w:t>
      </w:r>
      <w:r>
        <w:t xml:space="preserve"> The selective intervention policy generates 11 review queue items from the 27 variability patterns, an observed queue-item to pattern ratio of 40.7%. The trigger distribution includes </w:t>
      </w:r>
      <w:r>
        <w:rPr>
          <w:rFonts w:ascii="Consolas" w:hAnsi="Consolas"/>
          <w:color w:val="1F4D78"/>
          <w:sz w:val="18"/>
        </w:rPr>
        <w:t>requires_human_review = true</w:t>
      </w:r>
      <w:r>
        <w:t xml:space="preserve">, low/medium confidence, and </w:t>
      </w:r>
      <w:r>
        <w:rPr>
          <w:rFonts w:ascii="Consolas" w:hAnsi="Consolas"/>
          <w:color w:val="1F4D78"/>
          <w:sz w:val="18"/>
        </w:rPr>
        <w:t>flag_for_guidelines_update</w:t>
      </w:r>
      <w:r>
        <w:t>. This demonstrates selective routing rather than reviewing every pattern. It does not yet demonstrate that the queued set contains more expert-confirmed errors, that the routing is optimal, or that human time is reduced; those questions are reserved for EXP-021, EXP-022, and EXP-026.</w:t>
      </w:r>
    </w:p>
    <w:p>
      <w:r>
        <w:rPr>
          <w:b/>
        </w:rPr>
        <w:t>M2  -  Human Feedback Manager.</w:t>
      </w:r>
      <w:r>
        <w:t xml:space="preserve"> Four feedback entries have been attached to review queue items, all with valid schemas, complete rationales, and matching signatures. The feedback includes </w:t>
      </w:r>
      <w:r>
        <w:rPr>
          <w:rFonts w:ascii="Consolas" w:hAnsi="Consolas"/>
          <w:color w:val="1F4D78"/>
          <w:sz w:val="18"/>
        </w:rPr>
        <w:t>approve</w:t>
      </w:r>
      <w:r>
        <w:t xml:space="preserve"> and </w:t>
      </w:r>
      <w:r>
        <w:rPr>
          <w:rFonts w:ascii="Consolas" w:hAnsi="Consolas"/>
          <w:color w:val="1F4D78"/>
          <w:sz w:val="18"/>
        </w:rPr>
        <w:t>reclassify</w:t>
      </w:r>
      <w:r>
        <w:t xml:space="preserve"> decisions, each with a human rationale explaining the reasoning. No signature mismatch appears in the current records; independent baseline-hash checks, rather than this absence alone, establish baseline integrity.</w:t>
      </w:r>
    </w:p>
    <w:p>
      <w:r>
        <w:rPr>
          <w:b/>
        </w:rPr>
        <w:t>M3  -  Human Judgment Memory.</w:t>
      </w:r>
      <w:r>
        <w:t xml:space="preserve"> Three of the four feedback entries have been promoted to reusable memory entries (the fourth was not marked as reusable). Each memory item carries a complete provenance chain linking it back to the specific feedback entry, review queue item, Agent 4 classification, and student models that prompted the review. The memory entries cover patterns from the Cheers UCD setting, providing same-setting evidence for retrieval testing.</w:t>
      </w:r>
    </w:p>
    <w:p>
      <w:r>
        <w:rPr>
          <w:b/>
        </w:rPr>
        <w:t>M4A  -  Memory Advisory Layer.</w:t>
      </w:r>
      <w:r>
        <w:t xml:space="preserve"> Eight of the 27 patterns receive advisory evidence, with advice strengths ranging from </w:t>
      </w:r>
      <w:r>
        <w:rPr>
          <w:rFonts w:ascii="Consolas" w:hAnsi="Consolas"/>
          <w:color w:val="1F4D78"/>
          <w:sz w:val="18"/>
        </w:rPr>
        <w:t>none</w:t>
      </w:r>
      <w:r>
        <w:t xml:space="preserve"> to </w:t>
      </w:r>
      <w:r>
        <w:rPr>
          <w:rFonts w:ascii="Consolas" w:hAnsi="Consolas"/>
          <w:color w:val="1F4D78"/>
          <w:sz w:val="18"/>
        </w:rPr>
        <w:t>moderate</w:t>
      </w:r>
      <w:r>
        <w:t xml:space="preserve">. The advisory layer retrieves candidate memory items through deterministic match reasons (domain match, diagram-type match, guideline overlap). Across all eight advised patterns, </w:t>
      </w:r>
      <w:r>
        <w:rPr>
          <w:rFonts w:ascii="Consolas" w:hAnsi="Consolas"/>
          <w:color w:val="1F4D78"/>
          <w:sz w:val="18"/>
        </w:rPr>
        <w:t>ai_classification_changed = false</w:t>
      </w:r>
      <w:r>
        <w:t xml:space="preserve"> holds. Independent human judgment of retrieval relevance and scope is still pending EXP-022.</w:t>
      </w:r>
    </w:p>
    <w:p>
      <w:r>
        <w:rPr>
          <w:b/>
        </w:rPr>
        <w:t>M4B-1  -  Parallel Comparison.</w:t>
      </w:r>
      <w:r>
        <w:t xml:space="preserve"> All 27 patterns produce comparison records with complete decision traces. Under the current conservative policy (</w:t>
      </w:r>
      <w:r>
        <w:rPr>
          <w:rFonts w:ascii="Consolas" w:hAnsi="Consolas"/>
          <w:color w:val="1F4D78"/>
          <w:sz w:val="18"/>
        </w:rPr>
        <w:t>memory-informed-classifier-v1</w:t>
      </w:r>
      <w:r>
        <w:t xml:space="preserve">), zero of 27 memory-informed classifications differ from the original Agent 4 classifications. Two patterns are flagged as </w:t>
      </w:r>
      <w:r>
        <w:rPr>
          <w:rFonts w:ascii="Consolas" w:hAnsi="Consolas"/>
          <w:color w:val="1F4D78"/>
          <w:sz w:val="18"/>
        </w:rPr>
        <w:t>requires_human_review_after_memory</w:t>
      </w:r>
      <w:r>
        <w:t>, indicating that the memory layer has identified cases where the advisory evidence is ambiguous or conflicting enough to warrant additional human attention.</w:t>
      </w:r>
    </w:p>
    <w:p>
      <w:r>
        <w:t>Taken together, these results support the design-science claim (Hevner et al., 2004) that a reusable human-judgment layer can be added to an AI-assisted domain-model assessment pipeline while preserving the original AI output. The chain is complete, traceable, and inspectable from review trigger through memory storage, advisory retrieval, and parallel comparison.</w:t>
      </w:r>
    </w:p>
    <w:p>
      <w:pPr>
        <w:pStyle w:val="EvidenceCallout"/>
        <w:shd w:fill="EEF5FA"/>
        <w:pBdr>
          <w:left w:val="single" w:sz="18" w:space="8" w:color="2E74B5"/>
        </w:pBdr>
      </w:pPr>
      <w:r>
        <w:rPr>
          <w:b/>
        </w:rPr>
        <w:t>Figure 7.1.</w:t>
      </w:r>
      <w:r>
        <w:t xml:space="preserve"> Evidence flow from baseline through each milestone layer, annotated with current counts. See </w:t>
      </w:r>
      <w:r>
        <w:rPr>
          <w:rFonts w:ascii="Consolas" w:hAnsi="Consolas"/>
          <w:color w:val="1F4D78"/>
          <w:sz w:val="18"/>
        </w:rPr>
        <w:t>thesis/figures/fig-7-1-evidence-flow.mmd</w:t>
      </w:r>
      <w:r>
        <w:t>.</w:t>
      </w:r>
    </w:p>
    <w:p>
      <w:pPr>
        <w:pStyle w:val="Heading3"/>
      </w:pPr>
      <w:r>
        <w:t>Running example: "Customer as actor" in the results</w:t>
      </w:r>
    </w:p>
    <w:p>
      <w:r>
        <w:t xml:space="preserve">The "Customer as actor" pattern (ucd_ch P6, introduced in §4.4) concretely illustrates the mechanism results. Agent 4 classified it as occasional variability with Medium confidence. M1 queued it for review (trigger: </w:t>
      </w:r>
      <w:r>
        <w:rPr>
          <w:rFonts w:ascii="Consolas" w:hAnsi="Consolas"/>
          <w:color w:val="1F4D78"/>
          <w:sz w:val="18"/>
        </w:rPr>
        <w:t>medium_confidence</w:t>
      </w:r>
      <w:r>
        <w:t xml:space="preserve">). A human expert reviewed it and disagreed: "Customer as an actor who places orders is a legitimate alternative interpretation, not a modeling error" (§5.6). The feedback was promoted to memory entry </w:t>
      </w:r>
      <w:r>
        <w:rPr>
          <w:rFonts w:ascii="Consolas" w:hAnsi="Consolas"/>
          <w:color w:val="1F4D78"/>
          <w:sz w:val="18"/>
        </w:rPr>
        <w:t>HJM-ucd_ch-P6</w:t>
      </w:r>
      <w:r>
        <w:t xml:space="preserve">, retrieved by M4A with </w:t>
      </w:r>
      <w:r>
        <w:rPr>
          <w:rFonts w:ascii="Consolas" w:hAnsi="Consolas"/>
          <w:color w:val="1F4D78"/>
          <w:sz w:val="18"/>
        </w:rPr>
        <w:t>advice_strength = moderate</w:t>
      </w:r>
      <w:r>
        <w:t xml:space="preserve">, and processed by M4B-1 under policy row </w:t>
      </w:r>
      <w:r>
        <w:rPr>
          <w:rFonts w:ascii="Consolas" w:hAnsi="Consolas"/>
          <w:color w:val="1F4D78"/>
          <w:sz w:val="18"/>
        </w:rPr>
        <w:t>moderate_disagreement_keep_original_require_review</w:t>
      </w:r>
      <w:r>
        <w:t>.</w:t>
      </w:r>
    </w:p>
    <w:p>
      <w:r>
        <w:t xml:space="preserve">The result: the original Occasional classification is preserved in the comparison artifact, but </w:t>
      </w:r>
      <w:r>
        <w:rPr>
          <w:rFonts w:ascii="Consolas" w:hAnsi="Consolas"/>
          <w:color w:val="1F4D78"/>
          <w:sz w:val="18"/>
        </w:rPr>
        <w:t>requires_human_review_after_memory = true</w:t>
      </w:r>
      <w:r>
        <w:t xml:space="preserve"> is set  -  this is one of the two review-after-memory flags in the EXP-001 table above. The row's </w:t>
      </w:r>
      <w:r>
        <w:rPr>
          <w:rFonts w:ascii="Consolas" w:hAnsi="Consolas"/>
          <w:color w:val="1F4D78"/>
          <w:sz w:val="18"/>
        </w:rPr>
        <w:t>evaluation_leakage_status = same_pattern_memory_used</w:t>
      </w:r>
      <w:r>
        <w:t xml:space="preserve"> correctly excludes it from generalization-safe metrics. This single case demonstrates the full mechanism: selective triggering, structured disagreement capture, memory storage, advisory retrieval, conservative comparison, escalation, and leakage tagging  -  all operating on real VEGO-AI data.</w:t>
      </w:r>
    </w:p>
    <w:p>
      <w:pPr>
        <w:pStyle w:val="Heading2"/>
      </w:pPr>
      <w:r>
        <w:t>7.4 EXP-001: mechanism and readiness evaluation</w:t>
      </w:r>
    </w:p>
    <w:p>
      <w:r>
        <w:t>EXP-001 evaluates whether the M4B-1 comparison can be built and audited across the current run. It is a mechanism/readiness experiment, not an accuracy experiment  -  its purpose is to confirm that the evaluation infrastructure works correctly and that the comparison artifact is well-formed.</w:t>
      </w:r>
    </w:p>
    <w:tbl>
      <w:tblPr>
        <w:tblStyle w:val="TableGrid"/>
        <w:tblW w:type="dxa" w:w="9360"/>
        <w:jc w:val="left"/>
        <w:tblLayout w:type="fixed"/>
        <w:tblLook w:firstColumn="1" w:firstRow="1" w:lastColumn="0" w:lastRow="0" w:noHBand="0" w:noVBand="1" w:val="04A0"/>
        <w:tblInd w:w="120" w:type="dxa"/>
      </w:tblPr>
      <w:tblGrid>
        <w:gridCol w:w="3843"/>
        <w:gridCol w:w="900"/>
        <w:gridCol w:w="4617"/>
      </w:tblGrid>
      <w:tr>
        <w:trPr>
          <w:cantSplit/>
          <w:tblHeader w:val="true"/>
        </w:trPr>
        <w:tc>
          <w:tcPr>
            <w:tcW w:type="dxa" w:w="384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c>
          <w:tcPr>
            <w:tcW w:type="dxa" w:w="46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M4B-1 comparison rows</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Full coverage of all patterns</w:t>
            </w:r>
          </w:p>
        </w:tc>
      </w:tr>
      <w:tr>
        <w:trPr>
          <w:cantSplit/>
        </w:trPr>
        <w:tc>
          <w:tcPr>
            <w:tcW w:type="dxa" w:w="3843"/>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Settings covered</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4</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All four domain×diagram combinations</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Expert labels from same-pattern memory</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3</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Mechanism validation only (leakage)</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Generalization-safe expert-labeled rows</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generalization evidence available</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Memory-informed differs from original</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Conservative policy maintains all originals</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Human-review-after-memory flags</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Two policy-triggered escalation records; precision pending labels</w:t>
            </w:r>
          </w:p>
        </w:tc>
      </w:tr>
      <w:tr>
        <w:trPr>
          <w:cantSplit/>
        </w:trPr>
        <w:tc>
          <w:tcPr>
            <w:tcW w:type="dxa" w:w="384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Conflicting memory flags</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memory conflicts in current data</w:t>
            </w:r>
          </w:p>
        </w:tc>
      </w:tr>
    </w:tbl>
    <w:p>
      <w:pPr>
        <w:spacing w:after="40"/>
      </w:pPr>
    </w:p>
    <w:p>
      <w:r>
        <w:t xml:space="preserve">The important result of EXP-001 is not an accuracy gain  -  it is that M4B-1 produces a complete, auditable comparison table while preserving original Agent 4 classifications. The two </w:t>
      </w:r>
      <w:r>
        <w:rPr>
          <w:rFonts w:ascii="Consolas" w:hAnsi="Consolas"/>
          <w:color w:val="1F4D78"/>
          <w:sz w:val="18"/>
        </w:rPr>
        <w:t>requires_human_review_after_memory</w:t>
      </w:r>
      <w:r>
        <w:t xml:space="preserve"> records demonstrate that the configured policy can emit an escalation after advice is considered, even when the comparison policy does not change the classification. Whether those escalations correspond to cases that genuinely require additional expert attention is not yet known and is evaluated only after independent labels exist. The three available labels are same-pattern memory labels, so they are excluded from generalization-safe metrics and are useful only as mechanism-validation evidence confirming that retrieval and matching execute as specified.</w:t>
      </w:r>
    </w:p>
    <w:p>
      <w:pPr>
        <w:pStyle w:val="Heading2"/>
      </w:pPr>
      <w:r>
        <w:t>7.5 EXP-002 and EXP-003: annotation readiness and labeling package</w:t>
      </w:r>
    </w:p>
    <w:p>
      <w:r>
        <w:t>EXP-002 prepares the expert-labeling package, and EXP-003 implements the accuracy-improvement evaluation tooling. Together, they show that the project is ready to conduct the empirical evaluation once expert labels are collected.</w:t>
      </w:r>
    </w:p>
    <w:p>
      <w:r>
        <w:t>The annotation package contains 27 labelable rows, of which 24 are generalization-safe candidates (the other 3 are same-pattern rows isolated in a mechanism-validation sheet). The blind labeling sheets hide all AI-derived fields  -  the original Agent 4 label, the memory-informed label, the advice strength, the leakage status, and the internal ranking  -  presenting reviewers with only neutral context: an anonymous identifier, the setting, the pattern description, affected cases, and the related guideline.</w:t>
      </w:r>
    </w:p>
    <w:tbl>
      <w:tblPr>
        <w:tblStyle w:val="TableGrid"/>
        <w:tblW w:type="dxa" w:w="9360"/>
        <w:jc w:val="left"/>
        <w:tblLayout w:type="fixed"/>
        <w:tblLook w:firstColumn="1" w:firstRow="1" w:lastColumn="0" w:lastRow="0" w:noHBand="0" w:noVBand="1" w:val="04A0"/>
        <w:tblInd w:w="120" w:type="dxa"/>
      </w:tblPr>
      <w:tblGrid>
        <w:gridCol w:w="5831"/>
        <w:gridCol w:w="3529"/>
      </w:tblGrid>
      <w:tr>
        <w:trPr>
          <w:cantSplit/>
          <w:tblHeader w:val="true"/>
        </w:trPr>
        <w:tc>
          <w:tcPr>
            <w:tcW w:type="dxa" w:w="58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5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Total labeling rows</w:t>
            </w:r>
          </w:p>
        </w:tc>
        <w:tc>
          <w:tcPr>
            <w:tcW w:type="dxa" w:w="35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Generalization-safe candidates</w:t>
            </w:r>
          </w:p>
        </w:tc>
        <w:tc>
          <w:tcPr>
            <w:tcW w:type="dxa" w:w="35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24</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Same-pattern mechanism rows (isolated)</w:t>
            </w:r>
          </w:p>
        </w:tc>
        <w:tc>
          <w:tcPr>
            <w:tcW w:type="dxa" w:w="35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3</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Recommended labeling targets</w:t>
            </w:r>
          </w:p>
        </w:tc>
        <w:tc>
          <w:tcPr>
            <w:tcW w:type="dxa" w:w="35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Independent expert labels supplied</w:t>
            </w:r>
          </w:p>
        </w:tc>
        <w:tc>
          <w:tcPr>
            <w:tcW w:type="dxa" w:w="3529"/>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r>
      <w:tr>
        <w:trPr>
          <w:cantSplit/>
        </w:trPr>
        <w:tc>
          <w:tcPr>
            <w:tcW w:type="dxa" w:w="583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EXP-003 accuracy gate status</w:t>
            </w:r>
          </w:p>
        </w:tc>
        <w:tc>
          <w:tcPr>
            <w:tcW w:type="dxa" w:w="3529"/>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Cannot be evaluated yet</w:t>
            </w:r>
          </w:p>
        </w:tc>
      </w:tr>
    </w:tbl>
    <w:p>
      <w:pPr>
        <w:spacing w:after="40"/>
      </w:pPr>
    </w:p>
    <w:p>
      <w:r>
        <w:t>The EXP-003 evaluation harness is fully implemented and tested. When expert labels are supplied, it will compute: per-row comparisons between original, memory-informed, and expert labels; leakage-tiered accuracy and macro-F1; a paired correctness table; error-type analysis; and escalation precision/recall. The harness enforces the evidence gates  -  it will refuse to assert accuracy improvement until at least 20 generalization-safe labels exist.</w:t>
      </w:r>
    </w:p>
    <w:p>
      <w:pPr>
        <w:pStyle w:val="Heading2"/>
      </w:pPr>
      <w:r>
        <w:t>7.6 EXP-004 and EXP-005: policy-risk screening and the real-label gate</w:t>
      </w:r>
    </w:p>
    <w:p>
      <w:r>
        <w:rPr>
          <w:b/>
        </w:rPr>
        <w:t>EXP-004</w:t>
      </w:r>
      <w:r>
        <w:t xml:space="preserve"> is a synthetic-only policy-sensitivity simulation. It tests hypothetical policy variants (more aggressive classification-change rules) against synthetic truth scenarios to screen for policy risks  -  variants that might help in some scenarios but harm in others. EXP-004 is explicitly </w:t>
      </w:r>
      <w:r>
        <w:rPr>
          <w:i/>
        </w:rPr>
        <w:t>not</w:t>
      </w:r>
      <w:r>
        <w:t xml:space="preserve"> empirical evidence: it uses synthetic labels generated by rule, not independent expert judgment. Its role is to inform the discussion (Chapter 9) about which policy directions are worth exploring after real labels are available, and which are risky.</w:t>
      </w:r>
    </w:p>
    <w:p>
      <w:r>
        <w:t>The current EXP-004 result: under the current conservative policy, the memory-informed accuracy is identical to the original (Δ = 0.00 pp) regardless of the synthetic truth scenario, because the policy changes zero classifications. More aggressive hypothetical policies can produce synthetic gains but also synthetic losses, confirming that policy refinement requires real evidence and cannot be justified by synthetic screening alone.</w:t>
      </w:r>
    </w:p>
    <w:p>
      <w:r>
        <w:rPr>
          <w:b/>
        </w:rPr>
        <w:t>EXP-005</w:t>
      </w:r>
      <w:r>
        <w:t xml:space="preserve"> is the real-label gate. It is designed to validate any original-vs-memory-informed-vs-expert comparison once expert labels exist, including adjudication support (a third reviewer for disputed items), reliability metrics (Cohen's κ), and a reproducibility manifest that records the exact inputs, parameters, and outputs of each evaluation run.</w:t>
      </w:r>
    </w:p>
    <w:tbl>
      <w:tblPr>
        <w:tblStyle w:val="TableGrid"/>
        <w:tblW w:type="dxa" w:w="9360"/>
        <w:jc w:val="left"/>
        <w:tblLayout w:type="fixed"/>
        <w:tblLook w:firstColumn="1" w:firstRow="1" w:lastColumn="0" w:lastRow="0" w:noHBand="0" w:noVBand="1" w:val="04A0"/>
        <w:tblInd w:w="120" w:type="dxa"/>
      </w:tblPr>
      <w:tblGrid>
        <w:gridCol w:w="7488"/>
        <w:gridCol w:w="1872"/>
      </w:tblGrid>
      <w:tr>
        <w:trPr>
          <w:cantSplit/>
          <w:tblHeader w:val="true"/>
        </w:trPr>
        <w:tc>
          <w:tcPr>
            <w:tcW w:type="dxa" w:w="748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187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748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Rows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27</w:t>
            </w:r>
          </w:p>
        </w:tc>
      </w:tr>
      <w:tr>
        <w:trPr>
          <w:cantSplit/>
        </w:trPr>
        <w:tc>
          <w:tcPr>
            <w:tcW w:type="dxa" w:w="748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Generalization-safe candidates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24</w:t>
            </w:r>
          </w:p>
        </w:tc>
      </w:tr>
      <w:tr>
        <w:trPr>
          <w:cantSplit/>
        </w:trPr>
        <w:tc>
          <w:tcPr>
            <w:tcW w:type="dxa" w:w="748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Safe memory disagreements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4</w:t>
            </w:r>
          </w:p>
        </w:tc>
      </w:tr>
      <w:tr>
        <w:trPr>
          <w:cantSplit/>
        </w:trPr>
        <w:tc>
          <w:tcPr>
            <w:tcW w:type="dxa" w:w="748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Review-after-memory cases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2</w:t>
            </w:r>
          </w:p>
        </w:tc>
      </w:tr>
      <w:tr>
        <w:trPr>
          <w:cantSplit/>
        </w:trPr>
        <w:tc>
          <w:tcPr>
            <w:tcW w:type="dxa" w:w="748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Supplied real labels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Generalization-safe valid labels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Gate status</w:t>
            </w:r>
          </w:p>
        </w:tc>
        <w:tc>
          <w:tcPr>
            <w:tcW w:type="dxa" w:w="187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Blocked</w:t>
            </w:r>
          </w:p>
        </w:tc>
      </w:tr>
    </w:tbl>
    <w:p>
      <w:pPr>
        <w:spacing w:after="40"/>
      </w:pPr>
    </w:p>
    <w:p>
      <w:r>
        <w:t>Because there are zero supplied real labels, EXP-005 remains blocked. No M4B-1.1 policy refinement, M4B-2 LLM reclassification, or accuracy-improvement claim is justified at this stage.</w:t>
      </w:r>
    </w:p>
    <w:p>
      <w:pPr>
        <w:pStyle w:val="Heading2"/>
      </w:pPr>
      <w:r>
        <w:t>7.7 What can and cannot be concluded</w:t>
      </w:r>
    </w:p>
    <w:p>
      <w:r>
        <w:t>The evidence collected to date supports several conclusions about the artifact's mechanism and readiness, while clearly bounding what cannot yet be claimed.</w:t>
      </w:r>
    </w:p>
    <w:p>
      <w:r>
        <w:rPr>
          <w:b/>
        </w:rPr>
        <w:t>Supported conclusions.</w:t>
      </w:r>
      <w:r>
        <w:t xml:space="preserve"> The VEGO-AI pipeline can be extended with a reusable human-judgment layer that operates as a complete, traceable chain from review trigger through structured feedback, provenance-tracked memory, advisory retrieval, and parallel comparison. The extension preserves the original baseline without modification. The current policy selects 11 of 27 patterns for review; this is an observed routing result, not evidence of optimal targeting or reduced human effort. The evaluation methodology and annotation package are ready, with blind labeling sheets, leakage controls, anonymization, and randomization in place for use after supervisor approval.</w:t>
      </w:r>
    </w:p>
    <w:p>
      <w:r>
        <w:rPr>
          <w:b/>
        </w:rPr>
        <w:t>Not supported.</w:t>
      </w:r>
      <w:r>
        <w:t xml:space="preserve"> The current evidence does not support any of the following: that classification accuracy improves; that reusable human judgment generalizes across held-out settings or domains; that synthetic policy-screening results constitute real evidence; that same-pattern memory labels prove generalization; or that Agent 4's behavior should be changed. These conclusions require independent expert labels that have not yet been collected.</w:t>
      </w:r>
    </w:p>
    <w:p>
      <w:r>
        <w:t>The distinction between these two sets of conclusions is itself a result worth reporting: the project has identified precisely what evidence is missing, designed a protocol to obtain it, and built the machinery to process it  -  making the gap between mechanism readiness and empirical proof as narrow and well-defined as possible.</w:t>
      </w:r>
    </w:p>
    <w:p>
      <w:pPr>
        <w:pStyle w:val="Heading3"/>
      </w:pPr>
      <w:r>
        <w:t>7.7.1 Paired performance panel at the current gate</w:t>
      </w:r>
    </w:p>
    <w:p>
      <w:r>
        <w:t>The paired matrix is deliberately unpopulated while safe N=0:</w:t>
      </w:r>
    </w:p>
    <w:tbl>
      <w:tblPr>
        <w:tblStyle w:val="TableGrid"/>
        <w:tblW w:type="dxa" w:w="9360"/>
        <w:jc w:val="left"/>
        <w:tblLayout w:type="fixed"/>
        <w:tblLook w:firstColumn="1" w:firstRow="1" w:lastColumn="0" w:lastRow="0" w:noHBand="0" w:noVBand="1" w:val="04A0"/>
        <w:tblInd w:w="120" w:type="dxa"/>
      </w:tblPr>
      <w:tblGrid>
        <w:gridCol w:w="3120"/>
        <w:gridCol w:w="3315"/>
        <w:gridCol w:w="2925"/>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p>
        </w:tc>
        <w:tc>
          <w:tcPr>
            <w:tcW w:type="dxa" w:w="33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correct</w:t>
            </w:r>
          </w:p>
        </w:tc>
        <w:tc>
          <w:tcPr>
            <w:tcW w:type="dxa" w:w="292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wrong</w:t>
            </w:r>
          </w:p>
        </w:tc>
      </w:tr>
      <w:tr>
        <w:trPr>
          <w:cantSplit/>
        </w:trPr>
        <w:tc>
          <w:tcPr>
            <w:tcW w:type="dxa" w:w="312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Baseline correct</w:t>
            </w:r>
          </w:p>
        </w:tc>
        <w:tc>
          <w:tcPr>
            <w:tcW w:type="dxa" w:w="33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r>
      <w:tr>
        <w:trPr>
          <w:cantSplit/>
        </w:trPr>
        <w:tc>
          <w:tcPr>
            <w:tcW w:type="dxa" w:w="312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Baseline wrong</w:t>
            </w:r>
          </w:p>
        </w:tc>
        <w:tc>
          <w:tcPr>
            <w:tcW w:type="dxa" w:w="331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Metric</w:t>
            </w:r>
          </w:p>
        </w:tc>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value</w:t>
            </w:r>
          </w:p>
        </w:tc>
      </w:tr>
      <w:tr>
        <w:trPr>
          <w:cantSplit/>
        </w:trPr>
        <w:tc>
          <w:tcPr>
            <w:tcW w:type="dxa" w:w="468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Baseline accuracy</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Candidate accuracy</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Baseline macro-F1</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Candidate macro-F1</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Net correction</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Paired p-value</w:t>
            </w:r>
          </w:p>
        </w:tc>
        <w:tc>
          <w:tcPr>
            <w:tcW w:type="dxa" w:w="468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Not yet computable</w:t>
            </w:r>
          </w:p>
        </w:tc>
      </w:tr>
    </w:tbl>
    <w:p>
      <w:pPr>
        <w:spacing w:after="40"/>
      </w:pPr>
    </w:p>
    <w:p>
      <w:r>
        <w:t>Dashes are missing evidence, not zeros. The values are filled only from adjudicated, generalization-safe records after the relevant gate opens.</w:t>
      </w:r>
    </w:p>
    <w:p>
      <w:pPr>
        <w:pStyle w:val="Heading3"/>
      </w:pPr>
      <w:r>
        <w:t>7.7.2 Reliability and conformance progress after EXP-005</w:t>
      </w:r>
    </w:p>
    <w:p>
      <w:r>
        <w:t>EXP-006-EXP-018 add observability, dosage, synthetic verification, determinism, authority, provenance, and proposal-safety evidence. Their accepted status is offline or synthetic, and they do not change the accuracy verdict:</w:t>
      </w:r>
    </w:p>
    <w:p>
      <w:pPr>
        <w:pStyle w:val="ListBullet"/>
      </w:pPr>
      <w:r>
        <w:t>EXP-006-EXP-008 provide replay and Pareto/cap trade-off evidence without</w:t>
      </w:r>
    </w:p>
    <w:p>
      <w:r>
        <w:t>selecting a routing default.</w:t>
      </w:r>
    </w:p>
    <w:p>
      <w:pPr>
        <w:pStyle w:val="ListBullet"/>
      </w:pPr>
      <w:r>
        <w:t xml:space="preserve">EXP-009/010 are </w:t>
      </w:r>
      <w:r>
        <w:rPr>
          <w:rFonts w:ascii="Consolas" w:hAnsi="Consolas"/>
          <w:color w:val="1F4D78"/>
          <w:sz w:val="18"/>
        </w:rPr>
        <w:t>SYNTHETIC_NOT_HUMAN</w:t>
      </w:r>
      <w:r>
        <w:t xml:space="preserve"> rule fixtures and cannot validate expert</w:t>
      </w:r>
    </w:p>
    <w:p>
      <w:r>
        <w:t>behavior.</w:t>
      </w:r>
    </w:p>
    <w:p>
      <w:pPr>
        <w:pStyle w:val="ListBullet"/>
      </w:pPr>
      <w:r>
        <w:t xml:space="preserve">EXP-012 correctly reports </w:t>
      </w:r>
      <w:r>
        <w:rPr>
          <w:rFonts w:ascii="Consolas" w:hAnsi="Consolas"/>
          <w:color w:val="1F4D78"/>
          <w:sz w:val="18"/>
        </w:rPr>
        <w:t>NOT YET COMPUTABLE</w:t>
      </w:r>
      <w:r>
        <w:t xml:space="preserve"> at safe N=0.</w:t>
      </w:r>
    </w:p>
    <w:p>
      <w:pPr>
        <w:pStyle w:val="ListBullet"/>
      </w:pPr>
      <w:r>
        <w:t>EXP-013-EXP-018 demonstrate offline conformance and safety properties only.</w:t>
      </w:r>
    </w:p>
    <w:p>
      <w:pPr>
        <w:pStyle w:val="ListBullet"/>
      </w:pPr>
      <w:r>
        <w:t xml:space="preserve">Accepted Iteration 14 is </w:t>
      </w:r>
      <w:r>
        <w:rPr>
          <w:rFonts w:ascii="Consolas" w:hAnsi="Consolas"/>
          <w:color w:val="1F4D78"/>
          <w:sz w:val="18"/>
        </w:rPr>
        <w:t>NEUTRAL</w:t>
      </w:r>
      <w:r>
        <w:t>, reliability-only, and selects no default.</w:t>
      </w:r>
    </w:p>
    <w:p>
      <w:r>
        <w:t>EXP-019-EXP-027 now define the path from reviewer calibration to external replication. Their presence is planning progress, not an experiment result.</w:t>
      </w:r>
    </w:p>
    <w:p>
      <w:pPr>
        <w:pStyle w:val="Heading2"/>
      </w:pPr>
      <w:r>
        <w:t>7.8 Summary</w:t>
      </w:r>
    </w:p>
    <w:p>
      <w:r>
        <w:t>The current results are strong for artifact readiness and mechanism validity, and intentionally silent on empirical accuracy. The artifact is built and governed by evidence-consistency and protected-path checks. The evaluation methodology is preregistered, the annotation package is prepared, and the evaluation interfaces are implemented. The remaining decisive work is human-gated: supervisor approval, reviewer calibration, two independent blind returns, adjudication, and development-only error characterization.</w:t>
      </w:r>
    </w:p>
    <w:p>
      <w:r>
        <w:t>The thesis contribution at this point is the construction and governance of reusable human judgment in VEGO-AI  -  a complete, traceable, non-destructive layer that makes human expertise a persistent, retrievable asset rather than a transient correction. Quantitative accuracy evidence will complete the picture once independent expert labels are available, but the design-science contribution (the artifact and its methodology) stands on its own merits.</w:t>
      </w:r>
    </w:p>
    <w:p>
      <w:pPr>
        <w:pStyle w:val="Heading1"/>
        <w:pageBreakBefore/>
      </w:pPr>
      <w:r>
        <w:t>Chapter 8  -  Threats to Validity</w:t>
      </w:r>
    </w:p>
    <w:p>
      <w:pPr>
        <w:pStyle w:val="EvidenceCallout"/>
        <w:shd w:fill="EEF5FA"/>
        <w:pBdr>
          <w:left w:val="single" w:sz="18" w:space="8" w:color="2E74B5"/>
        </w:pBdr>
      </w:pPr>
      <w:r>
        <w:t xml:space="preserve">Draft. Sources: </w:t>
      </w:r>
      <w:r>
        <w:rPr>
          <w:rFonts w:ascii="Consolas" w:hAnsi="Consolas"/>
          <w:color w:val="1F4D78"/>
          <w:sz w:val="18"/>
        </w:rPr>
        <w:t>docs/research/validity-threats.md</w:t>
      </w:r>
      <w:r>
        <w:t xml:space="preserve">, </w:t>
      </w:r>
      <w:r>
        <w:rPr>
          <w:rFonts w:ascii="Consolas" w:hAnsi="Consolas"/>
          <w:color w:val="1F4D78"/>
          <w:sz w:val="18"/>
        </w:rPr>
        <w:t>artifacts/EVALUATION_STRICT_REVIEW.md</w:t>
      </w:r>
      <w:r>
        <w:t xml:space="preserve">, </w:t>
      </w:r>
      <w:r>
        <w:rPr>
          <w:rFonts w:ascii="Consolas" w:hAnsi="Consolas"/>
          <w:color w:val="1F4D78"/>
          <w:sz w:val="18"/>
        </w:rPr>
        <w:t>docs/research/evaluation-plan.md</w:t>
      </w:r>
      <w:r>
        <w:t>. Threats are stated honestly and paired with the mitigation already in place or planned in the evaluation protocol (Chapter 6).</w:t>
      </w:r>
    </w:p>
    <w:p>
      <w:pPr>
        <w:pStyle w:val="Heading2"/>
      </w:pPr>
      <w:r>
        <w:t>8.1 Overview</w:t>
      </w:r>
    </w:p>
    <w:p>
      <w:r>
        <w:t>Every empirical study faces threats to validity, and design-science research is no exception. This chapter identifies the threats most relevant to this thesis, organized by the standard four-category framework (construct, internal, conclusion, and external validity), plus ethical and data-governance considerations. Each threat is paired with the mitigation already in place or defined in the evaluation protocol (Chapter 6). The chapter is intentionally honest: threats are not minimized, and where mitigations are partial or pending, this is stated explicitly.</w:t>
      </w:r>
    </w:p>
    <w:p>
      <w:pPr>
        <w:pStyle w:val="Heading2"/>
      </w:pPr>
      <w:r>
        <w:t>8.2 Construct validity (are we measuring the right thing?)</w:t>
      </w:r>
    </w:p>
    <w:p>
      <w:r>
        <w:t>Construct validity concerns whether the measures and operationalizations used in the study actually capture the theoretical constructs they are intended to represent.</w:t>
      </w:r>
    </w:p>
    <w:p>
      <w:r>
        <w:rPr>
          <w:b/>
        </w:rPr>
        <w:t>No independent benchmark in the repository.</w:t>
      </w:r>
      <w:r>
        <w:t xml:space="preserve"> The author-reviewed classification files </w:t>
      </w:r>
      <w:r>
        <w:rPr>
          <w:rFonts w:ascii="Consolas" w:hAnsi="Consolas"/>
          <w:color w:val="1F4D78"/>
          <w:sz w:val="18"/>
        </w:rPr>
        <w:t>analysis/agentD_variability_classes_*</w:t>
      </w:r>
      <w:r>
        <w:t xml:space="preserve"> duplicate Agent 4's output byte-for-byte, so they cannot serve as ground truth. If used as labels, any evaluation would be circular  -  measuring the system's agreement with itself. </w:t>
      </w:r>
      <w:r>
        <w:rPr>
          <w:i/>
        </w:rPr>
        <w:t>Mitigation:</w:t>
      </w:r>
      <w:r>
        <w:t xml:space="preserve"> this threat is addressed at the protocol level. The independent expert annotation study (§6.6) is the only admissible source of ground truth. The byte-identical files are documented and never used as evaluation labels.</w:t>
      </w:r>
    </w:p>
    <w:p>
      <w:r>
        <w:rPr>
          <w:b/>
        </w:rPr>
        <w:t>Agent 4 output is not ground truth.</w:t>
      </w:r>
      <w:r>
        <w:t xml:space="preserve"> More broadly, treating the system's own classification as the evaluation target would make any "accuracy" metric meaningless  -  a system that agrees with itself will always appear accurate. </w:t>
      </w:r>
      <w:r>
        <w:rPr>
          <w:i/>
        </w:rPr>
        <w:t>Mitigation:</w:t>
      </w:r>
      <w:r>
        <w:t xml:space="preserve"> the evaluation design explicitly separates the AI's output from the evaluation target. The </w:t>
      </w:r>
      <w:r>
        <w:rPr>
          <w:rFonts w:ascii="Consolas" w:hAnsi="Consolas"/>
          <w:color w:val="1F4D78"/>
          <w:sz w:val="18"/>
        </w:rPr>
        <w:t>ai_prelabel</w:t>
      </w:r>
      <w:r>
        <w:t xml:space="preserve"> field appears only in the adjudication audit sheet, clearly marked as the AI's opinion rather than ground truth, and is hidden during blind labeling.</w:t>
      </w:r>
    </w:p>
    <w:p>
      <w:r>
        <w:rPr>
          <w:b/>
        </w:rPr>
        <w:t>The classification task is inherently interpretive.</w:t>
      </w:r>
      <w:r>
        <w:t xml:space="preserve"> The distinction between substantial variability (valid alternative) and occasional variability (error) is not a binary fact but an expert judgment call. Reasonable domain experts may disagree about whether a specific deviation is a valid alternative or a mistake, particularly for borderline cases. </w:t>
      </w:r>
      <w:r>
        <w:rPr>
          <w:i/>
        </w:rPr>
        <w:t>Mitigation:</w:t>
      </w:r>
      <w:r>
        <w:t xml:space="preserve"> the annotation protocol accounts for this by providing a third label (</w:t>
      </w:r>
      <w:r>
        <w:rPr>
          <w:rFonts w:ascii="Consolas" w:hAnsi="Consolas"/>
          <w:color w:val="1F4D78"/>
          <w:sz w:val="18"/>
        </w:rPr>
        <w:t>Undetermined / Needs Review</w:t>
      </w:r>
      <w:r>
        <w:t>), requiring written rationales, using two independent reviewers, computing Cohen's κ to measure agreement, and adjudicating disagreements through a third expert. The inter-rater agreement score will be reported alongside the accuracy metrics, so the reader can judge the reliability of the ground truth itself.</w:t>
      </w:r>
    </w:p>
    <w:p>
      <w:r>
        <w:rPr>
          <w:b/>
        </w:rPr>
        <w:t>Reviewer-role ambiguity.</w:t>
      </w:r>
      <w:r>
        <w:t xml:space="preserve"> A reviewer who also designed the policy may unintentionally interpret ambiguous items in a way that supports the design. </w:t>
      </w:r>
      <w:r>
        <w:rPr>
          <w:i/>
        </w:rPr>
        <w:t>Mitigation:</w:t>
      </w:r>
      <w:r>
        <w:t xml:space="preserve"> two reviewers label independently before adjudication; raw returns remain immutable; policy development uses only adjudicated development labels; and the adjudication role is recorded separately in </w:t>
      </w:r>
      <w:r>
        <w:rPr>
          <w:rFonts w:ascii="Consolas" w:hAnsi="Consolas"/>
          <w:color w:val="1F4D78"/>
          <w:sz w:val="18"/>
        </w:rPr>
        <w:t>GoldLabelRecord-v2</w:t>
      </w:r>
      <w:r>
        <w:t>.</w:t>
      </w:r>
    </w:p>
    <w:p>
      <w:r>
        <w:rPr>
          <w:b/>
        </w:rPr>
        <w:t>Class prevalence and missing classes.</w:t>
      </w:r>
      <w:r>
        <w:t xml:space="preserve"> The frozen Agent 4 distribution is 9 Substantial, 18 Occasional, and 0 Undetermined. This is an output prevalence, not the true class distribution. Accuracy may appear high under an imbalanced gold set, while the Undetermined class may be impossible to estimate reliably. </w:t>
      </w:r>
      <w:r>
        <w:rPr>
          <w:i/>
        </w:rPr>
        <w:t>Mitigation:</w:t>
      </w:r>
      <w:r>
        <w:t xml:space="preserve"> report the adjudicated class distribution, macro-F1, per-class precision/recall, confusion matrices, and Wilson intervals. Do not interpret a missing class as perfect performance.</w:t>
      </w:r>
    </w:p>
    <w:p>
      <w:pPr>
        <w:pStyle w:val="Heading2"/>
      </w:pPr>
      <w:r>
        <w:t>8.3 Internal validity (are observed effects real?)</w:t>
      </w:r>
    </w:p>
    <w:p>
      <w:r>
        <w:t>Internal validity concerns whether the observed relationship between the intervention (the reusable human-judgment layer) and the outcome (classification quality) is genuine or an artifact of confounding factors.</w:t>
      </w:r>
    </w:p>
    <w:p>
      <w:r>
        <w:rPr>
          <w:b/>
        </w:rPr>
        <w:t>Anchoring bias in annotation.</w:t>
      </w:r>
      <w:r>
        <w:t xml:space="preserve"> If annotators are shown the AI's classification or the memory-informed recommendation before making their judgment, they may be anchored toward the system's answer, inflating apparent accuracy for whichever system they are anchored to. </w:t>
      </w:r>
      <w:r>
        <w:rPr>
          <w:i/>
        </w:rPr>
        <w:t>Mitigation:</w:t>
      </w:r>
      <w:r>
        <w:t xml:space="preserve"> the blind labeling sheets carry neutral context only  -  pattern description, setting, affected cases, and related guideline. All AI-derived fields (original label, justification, memory advice, leakage status, priority, and ranking) are withheld. Row order is randomized separately per reviewer, and items carry anonymous IDs.</w:t>
      </w:r>
    </w:p>
    <w:p>
      <w:r>
        <w:rPr>
          <w:b/>
        </w:rPr>
        <w:t>Same-pattern leakage.</w:t>
      </w:r>
      <w:r>
        <w:t xml:space="preserve"> Memory derived from a pattern must not be used to "evaluate" that same pattern. If a human labeled pattern X, and that label was stored in memory, and memory was then used to inform the classification of pattern X, then any agreement between the memory-informed classification and the expert label is circular  -  the system is comparing a judgment against itself. The running example illustrates this concretely: the "Customer as actor" memory (</w:t>
      </w:r>
      <w:r>
        <w:rPr>
          <w:rFonts w:ascii="Consolas" w:hAnsi="Consolas"/>
          <w:color w:val="1F4D78"/>
          <w:sz w:val="18"/>
        </w:rPr>
        <w:t>HJM-ucd_ch-P6</w:t>
      </w:r>
      <w:r>
        <w:t xml:space="preserve">) was derived from feedback about pattern P6, so P6's comparison row carries </w:t>
      </w:r>
      <w:r>
        <w:rPr>
          <w:rFonts w:ascii="Consolas" w:hAnsi="Consolas"/>
          <w:color w:val="1F4D78"/>
          <w:sz w:val="18"/>
        </w:rPr>
        <w:t>evaluation_leakage_status = same_pattern_memory_used</w:t>
      </w:r>
      <w:r>
        <w:t xml:space="preserve"> and is excluded from generalization-safe metrics (see §5.6 and §6.5). </w:t>
      </w:r>
      <w:r>
        <w:rPr>
          <w:i/>
        </w:rPr>
        <w:t>Mitigation:</w:t>
      </w:r>
      <w:r>
        <w:t xml:space="preserve"> every comparison row carries a per-row </w:t>
      </w:r>
      <w:r>
        <w:rPr>
          <w:rFonts w:ascii="Consolas" w:hAnsi="Consolas"/>
          <w:color w:val="1F4D78"/>
          <w:sz w:val="18"/>
        </w:rPr>
        <w:t>evaluation_leakage_status</w:t>
      </w:r>
      <w:r>
        <w:t>. Same-pattern rows are isolated and excluded from all generalization-safe metrics. Currently, all three existing memory labels are same-pattern, yielding zero generalization-safe rows.</w:t>
      </w:r>
    </w:p>
    <w:p>
      <w:r>
        <w:rPr>
          <w:b/>
        </w:rPr>
        <w:t>Optimistic tuning.</w:t>
      </w:r>
      <w:r>
        <w:t xml:space="preserve"> If the M4B-1 policy is designed using the same rows on which it is evaluated, the policy is optimized to perform well on those specific cases, inflating results beyond what would hold on unseen data. </w:t>
      </w:r>
      <w:r>
        <w:rPr>
          <w:i/>
        </w:rPr>
        <w:t>Mitigation:</w:t>
      </w:r>
      <w:r>
        <w:t xml:space="preserve"> a sealed 16-development / 8-holdout split is defined before any labels are inspected. Policy design and error analysis use the 16 development rows only. The 8 holdout labels are sealed until the refined policy is frozen and are evaluated exactly once (§6.7).</w:t>
      </w:r>
    </w:p>
    <w:p>
      <w:r>
        <w:rPr>
          <w:b/>
        </w:rPr>
        <w:t>Researcher degrees of freedom.</w:t>
      </w:r>
      <w:r>
        <w:t xml:space="preserve"> A small development set permits many post-hoc trigger combinations, thresholds, subgroups, and definitions. Trying several variants and reporting the most favorable one would overfit even if the holdout remained technically sealed. </w:t>
      </w:r>
      <w:r>
        <w:rPr>
          <w:i/>
        </w:rPr>
        <w:t>Mitigation:</w:t>
      </w:r>
      <w:r>
        <w:t xml:space="preserve"> EXP-023 permits at most one approved deterministic candidate, requires at least three potentially correctable development errors across two settings, freezes the rules and hashes, and records deviations. Exploratory analyses are labeled exploratory and cannot replace the preregistered primary analysis.</w:t>
      </w:r>
    </w:p>
    <w:p>
      <w:r>
        <w:rPr>
          <w:b/>
        </w:rPr>
        <w:t>Synthetic results mistaken for evidence.</w:t>
      </w:r>
      <w:r>
        <w:t xml:space="preserve"> Synthetic trials (EXP-004) exist for pipeline exercise and policy-risk screening only. They use rule-generated labels with a reviewer ID of </w:t>
      </w:r>
      <w:r>
        <w:rPr>
          <w:rFonts w:ascii="Consolas" w:hAnsi="Consolas"/>
          <w:color w:val="1F4D78"/>
          <w:sz w:val="18"/>
        </w:rPr>
        <w:t>SYNTHETIC_NOT_HUMAN</w:t>
      </w:r>
      <w:r>
        <w:t xml:space="preserve">. </w:t>
      </w:r>
      <w:r>
        <w:rPr>
          <w:i/>
        </w:rPr>
        <w:t>Mitigation:</w:t>
      </w:r>
      <w:r>
        <w:t xml:space="preserve"> synthetic outputs are stored in isolated folders, explicitly labeled as non-evidence, and excluded from all claims. The evidence-consistency guard checks for the presence of synthetic artifacts in any claim-level reporting.</w:t>
      </w:r>
    </w:p>
    <w:p>
      <w:pPr>
        <w:pStyle w:val="Heading2"/>
      </w:pPr>
      <w:r>
        <w:t>8.4 Conclusion validity (is the statistical basis adequate?)</w:t>
      </w:r>
    </w:p>
    <w:p>
      <w:r>
        <w:t>Conclusion validity concerns whether the study has sufficient statistical power to detect real effects and whether the statistical methods are appropriate.</w:t>
      </w:r>
    </w:p>
    <w:p>
      <w:r>
        <w:rPr>
          <w:b/>
        </w:rPr>
        <w:t>Very small sample.</w:t>
      </w:r>
      <w:r>
        <w:t xml:space="preserve"> Only 27 variability patterns exist; at most 24 are generalization-safe; currently zero are labeled. Even with a full labeling, the sample is small enough that standard statistical tests may lack power, and point estimates may have wide confidence intervals. </w:t>
      </w:r>
      <w:r>
        <w:rPr>
          <w:i/>
        </w:rPr>
        <w:t>Mitigation:</w:t>
      </w:r>
      <w:r>
        <w:t xml:space="preserve"> the evidence gates (§6.8) are explicit  -  0 labels means not evaluable, 1-19 means pilot only with explicit small-sample threats, and ≥20 permits quantitative reporting with stated limitations. The thesis will not claim statistical significance from an 8-row holdout; it will report the results as a pilot with appropriate caveats.</w:t>
      </w:r>
    </w:p>
    <w:p>
      <w:r>
        <w:rPr>
          <w:b/>
        </w:rPr>
        <w:t>Paired benefit can hide paired harm.</w:t>
      </w:r>
      <w:r>
        <w:t xml:space="preserve"> Two systems can have similar aggregate accuracy while a candidate corrects some baseline errors and breaks other correct decisions. </w:t>
      </w:r>
      <w:r>
        <w:rPr>
          <w:i/>
        </w:rPr>
        <w:t>Mitigation:</w:t>
      </w:r>
      <w:r>
        <w:t xml:space="preserve"> net correction (</w:t>
      </w:r>
      <w:r>
        <w:rPr>
          <w:rFonts w:ascii="Consolas" w:hAnsi="Consolas"/>
          <w:color w:val="1F4D78"/>
          <w:sz w:val="18"/>
        </w:rPr>
        <w:t>changed-and-correct - changed-and-wrong</w:t>
      </w:r>
      <w:r>
        <w:t>) is the primary estimand, supported by the full paired correctness matrix. Accuracy and macro-F1 are secondary.</w:t>
      </w:r>
    </w:p>
    <w:p>
      <w:r>
        <w:rPr>
          <w:b/>
        </w:rPr>
        <w:t>Unstable inference at small N.</w:t>
      </w:r>
      <w:r>
        <w:t xml:space="preserve"> Asymptotic intervals and tests can be misleading with sparse classes and few discordant pairs. </w:t>
      </w:r>
      <w:r>
        <w:rPr>
          <w:i/>
        </w:rPr>
        <w:t>Mitigation:</w:t>
      </w:r>
      <w:r>
        <w:t xml:space="preserve"> use Wilson proportion intervals, a 10,000-replicate paired bootstrap with fixed seed </w:t>
      </w:r>
      <w:r>
        <w:rPr>
          <w:rFonts w:ascii="Consolas" w:hAnsi="Consolas"/>
          <w:color w:val="1F4D78"/>
          <w:sz w:val="18"/>
        </w:rPr>
        <w:t>20260721</w:t>
      </w:r>
      <w:r>
        <w:t>, and describe the eight-row holdout only as a pilot. Exact McNemar is reserved for the external set.</w:t>
      </w:r>
    </w:p>
    <w:p>
      <w:r>
        <w:rPr>
          <w:b/>
        </w:rPr>
        <w:t>No current delta is possible.</w:t>
      </w:r>
      <w:r>
        <w:t xml:space="preserve"> The current deterministic policy (</w:t>
      </w:r>
      <w:r>
        <w:rPr>
          <w:rFonts w:ascii="Consolas" w:hAnsi="Consolas"/>
          <w:color w:val="1F4D78"/>
          <w:sz w:val="18"/>
        </w:rPr>
        <w:t>memory-informed-classifier-v1</w:t>
      </w:r>
      <w:r>
        <w:t xml:space="preserve">) changes zero of 27 classifications. This means that, by construction, original and memory-informed accuracy are identical  -  no labeling can produce a difference under the current policy. </w:t>
      </w:r>
      <w:r>
        <w:rPr>
          <w:i/>
        </w:rPr>
        <w:t>Mitigation:</w:t>
      </w:r>
      <w:r>
        <w:t xml:space="preserve"> this is reported as a structural fact, not as a negative result. The conservative policy reflects a deliberate design choice: the first version of the comparison should change nothing, to establish that the mechanism works without introducing any behavioral risk. Only a future, holdout-validated M4B-1.1 could change the comparison result.</w:t>
      </w:r>
    </w:p>
    <w:p>
      <w:r>
        <w:rPr>
          <w:b/>
        </w:rPr>
        <w:t>Single-reviewer risk.</w:t>
      </w:r>
      <w:r>
        <w:t xml:space="preserve"> If only one annotator's labels are available, the ground truth reflects one person's judgment, which may be idiosyncratic. </w:t>
      </w:r>
      <w:r>
        <w:rPr>
          <w:i/>
        </w:rPr>
        <w:t>Mitigation:</w:t>
      </w:r>
      <w:r>
        <w:t xml:space="preserve"> the protocol requires two independent reviewers plus adjudication. Cohen's κ will be computed and reported. If only one reviewer's labels are available at the time of writing, the results will be explicitly labeled as preliminary single-reviewer evidence.</w:t>
      </w:r>
    </w:p>
    <w:p>
      <w:pPr>
        <w:pStyle w:val="Heading2"/>
      </w:pPr>
      <w:r>
        <w:t>8.5 External validity (how far do results generalize?)</w:t>
      </w:r>
    </w:p>
    <w:p>
      <w:r>
        <w:t>External validity concerns whether the findings generalize beyond the specific conditions of the study.</w:t>
      </w:r>
    </w:p>
    <w:p>
      <w:r>
        <w:rPr>
          <w:b/>
        </w:rPr>
        <w:t>Narrow scope.</w:t>
      </w:r>
      <w:r>
        <w:t xml:space="preserve"> The study covers two domains (Cheers cinema-booking, ParkWise parking system), two diagram types (UML use-case diagrams, UML class diagrams), one institution, one LLM (OpenAI gpt-4o), and one course context. The 27 variability patterns may not represent the full diversity of modeling situations encountered in practice. </w:t>
      </w:r>
      <w:r>
        <w:rPr>
          <w:i/>
        </w:rPr>
        <w:t>Mitigation:</w:t>
      </w:r>
      <w:r>
        <w:t xml:space="preserve"> the scope is stated explicitly in every result table and claim. All conclusions are bounded by the studied settings, and cross-context transfer (cross-domain, cross-diagram, cross-institution) is identified as future work (§10.4). The thesis makes no claim beyond the studied settings.</w:t>
      </w:r>
    </w:p>
    <w:p>
      <w:r>
        <w:rPr>
          <w:b/>
        </w:rPr>
        <w:t>LLM stochasticity and version drift.</w:t>
      </w:r>
      <w:r>
        <w:t xml:space="preserve"> The committed Agent 4 outputs are a single sample from a specific model version (gpt-4o) with specific prompts and parameters. A different LLM version, temperature, or prompt phrasing might produce different classifications for the same student models. </w:t>
      </w:r>
      <w:r>
        <w:rPr>
          <w:i/>
        </w:rPr>
        <w:t>Mitigation:</w:t>
      </w:r>
      <w:r>
        <w:t xml:space="preserve"> the baseline is frozen by reproducibility tag (</w:t>
      </w:r>
      <w:r>
        <w:rPr>
          <w:rFonts w:ascii="Consolas" w:hAnsi="Consolas"/>
          <w:color w:val="1F4D78"/>
          <w:sz w:val="18"/>
        </w:rPr>
        <w:t>official-vego-ai-baseline</w:t>
      </w:r>
      <w:r>
        <w:t>). All evaluation runs are deterministic and offline  -  they do not re-invoke the LLM but use the committed outputs. Re-runs with different model versions would be treated as separate experiments with separate baselines.</w:t>
      </w:r>
    </w:p>
    <w:p>
      <w:r>
        <w:rPr>
          <w:b/>
        </w:rPr>
        <w:t>Memory sparsity.</w:t>
      </w:r>
      <w:r>
        <w:t xml:space="preserve"> The judgment memory contains only three entries, all from the Cheers UCD setting. Cross-setting reuse (using a memory from Cheers UCD to inform a ParkWise CD classification) is untested for correctness, and the retrieval matching may not be robust to domain or diagram-type differences. </w:t>
      </w:r>
      <w:r>
        <w:rPr>
          <w:i/>
        </w:rPr>
        <w:t>Mitigation:</w:t>
      </w:r>
      <w:r>
        <w:t xml:space="preserve"> the leakage discipline (§6.5) separates cross-setting reuse from same-pattern reuse. Cross-setting correctness is deferred to the labeled evaluation, and the thesis does not claim that the current memory supports cross-domain generalization.</w:t>
      </w:r>
    </w:p>
    <w:p>
      <w:r>
        <w:rPr>
          <w:b/>
        </w:rPr>
        <w:t>Internal holdout is not external validation.</w:t>
      </w:r>
      <w:r>
        <w:t xml:space="preserve"> The sealed eight rows come from the same overall artifact and educational context as the development rows. Even a favorable holdout result would not establish transfer to a new cohort or context. </w:t>
      </w:r>
      <w:r>
        <w:rPr>
          <w:i/>
        </w:rPr>
        <w:t>Mitigation:</w:t>
      </w:r>
      <w:r>
        <w:t xml:space="preserve"> B4 is explicitly pilot-only. A formal improvement claim requires EXP-025 on a new education-domain batch with at least 30 and preferably 48 independently adjudicated rows, a policy frozen before data inspection, and all statistical and subgroup-safety gates.</w:t>
      </w:r>
    </w:p>
    <w:p>
      <w:r>
        <w:rPr>
          <w:b/>
        </w:rPr>
        <w:t>External replication may still be narrow.</w:t>
      </w:r>
      <w:r>
        <w:t xml:space="preserve"> A new education batch improves temporal or cohort separation but does not automatically establish transfer to other institutions, model types, languages, or clinical settings. </w:t>
      </w:r>
      <w:r>
        <w:rPr>
          <w:i/>
        </w:rPr>
        <w:t>Mitigation:</w:t>
      </w:r>
      <w:r>
        <w:t xml:space="preserve"> the formal claim remains scoped to the sampled education context. Clinical performance and cross-domain transfer remain out of scope.</w:t>
      </w:r>
    </w:p>
    <w:p>
      <w:pPr>
        <w:pStyle w:val="Heading2"/>
      </w:pPr>
      <w:r>
        <w:t>8.6 Ethical and data-governance threats</w:t>
      </w:r>
    </w:p>
    <w:p>
      <w:r>
        <w:rPr>
          <w:b/>
        </w:rPr>
        <w:t>Human-subject considerations.</w:t>
      </w:r>
      <w:r>
        <w:t xml:space="preserve"> The expert annotators who label the blind sheets are human participants providing professional judgments. Depending on institutional requirements, this may require ethics review or IRB approval. </w:t>
      </w:r>
      <w:r>
        <w:rPr>
          <w:i/>
        </w:rPr>
        <w:t>Mitigation:</w:t>
      </w:r>
      <w:r>
        <w:t xml:space="preserve"> the protocol requires that reviewer consent, anonymity, and any IRB documentation needs are confirmed with the supervisor before outreach. Reviewer identities are not disclosed in the thesis; labels are attributed to anonymized reviewer IDs.</w:t>
      </w:r>
    </w:p>
    <w:p>
      <w:r>
        <w:rPr>
          <w:b/>
        </w:rPr>
        <w:t>Data sensitivity.</w:t>
      </w:r>
      <w:r>
        <w:t xml:space="preserve"> Student models are pseudonymous  -  they are identified by case number within their setting, with no personal student information included in the data or in any published artifact. </w:t>
      </w:r>
      <w:r>
        <w:rPr>
          <w:i/>
        </w:rPr>
        <w:t>Mitigation:</w:t>
      </w:r>
      <w:r>
        <w:t xml:space="preserve"> all reporting uses aggregate summaries, and a publishability check is required before any external release of raw data.</w:t>
      </w:r>
    </w:p>
    <w:p>
      <w:pPr>
        <w:pStyle w:val="Heading2"/>
      </w:pPr>
      <w:r>
        <w:t>8.7 Interactions between threats</w:t>
      </w:r>
    </w:p>
    <w:p>
      <w:r>
        <w:t>Several threats interact in ways that compound their effects. The small sample (§8.4) amplifies the impact of the narrow scope (§8.5): with only 27 patterns from two domains, even a few idiosyncratic labeling decisions could substantially affect accuracy metrics. The same-pattern leakage (§8.3) compounds the memory sparsity (§8.5): the three existing memory entries are the only available evidence for retrieval quality, and they are all same-pattern, so the retrieval mechanism has not been tested in the conditions (cross-pattern, cross-setting) where it is most valuable.</w:t>
      </w:r>
    </w:p>
    <w:p>
      <w:r>
        <w:t xml:space="preserve">The conservative policy (§8.4) interacts with both the small sample and the construct validity: because the current policy changes zero classifications, the evaluation will initially measure only the </w:t>
      </w:r>
      <w:r>
        <w:rPr>
          <w:i/>
        </w:rPr>
        <w:t>baseline's</w:t>
      </w:r>
      <w:r>
        <w:t xml:space="preserve"> accuracy against expert labels, not the artifact's effect on accuracy. This means that even with full labeling, the first evaluation cycle may show no difference between original and memory-informed classifications  -  a result that is by design, not a failure of the artifact.</w:t>
      </w:r>
    </w:p>
    <w:p>
      <w:pPr>
        <w:pStyle w:val="Heading2"/>
      </w:pPr>
      <w:r>
        <w:t>8.8 Summary</w:t>
      </w:r>
    </w:p>
    <w:p>
      <w:r>
        <w:t>The dominant threats are the small, leakage-heavy evidence base, missing independent labels, unstable class prevalence, and the risk of optimistic policy selection. The calibration, two-reviewer workflow, fixed 16/8 split, development-suitability gate, paired estimand, one-time holdout, and external replication form a chain of partial mitigations. None guarantees a positive result. They ensure that positive, null, mixed, or harmful outcomes can be interpreted without changing the evidence rules after the fact.</w:t>
      </w:r>
    </w:p>
    <w:p>
      <w:pPr>
        <w:pStyle w:val="Heading1"/>
        <w:pageBreakBefore/>
      </w:pPr>
      <w:r>
        <w:t>Chapter 9  -  Discussion</w:t>
      </w:r>
    </w:p>
    <w:p>
      <w:pPr>
        <w:pStyle w:val="EvidenceCallout"/>
        <w:shd w:fill="EEF5FA"/>
        <w:pBdr>
          <w:left w:val="single" w:sz="18" w:space="8" w:color="2E74B5"/>
        </w:pBdr>
      </w:pPr>
      <w:r>
        <w:t xml:space="preserve">Draft. Interprets what the artifact demonstrates and what it does not, derives design principles, maps findings to research questions, compares with related work, and discusses implications. Sources: </w:t>
      </w:r>
      <w:r>
        <w:rPr>
          <w:rFonts w:ascii="Consolas" w:hAnsi="Consolas"/>
          <w:color w:val="1F4D78"/>
          <w:sz w:val="18"/>
        </w:rPr>
        <w:t>papers/mas4models2026/claim-evidence-table.md</w:t>
      </w:r>
      <w:r>
        <w:t xml:space="preserve">, </w:t>
      </w:r>
      <w:r>
        <w:rPr>
          <w:rFonts w:ascii="Consolas" w:hAnsi="Consolas"/>
          <w:color w:val="1F4D78"/>
          <w:sz w:val="18"/>
        </w:rPr>
        <w:t>docs/research/literature-review-taxonomy.md</w:t>
      </w:r>
      <w:r>
        <w:t xml:space="preserve">, </w:t>
      </w:r>
      <w:r>
        <w:rPr>
          <w:rFonts w:ascii="Consolas" w:hAnsi="Consolas"/>
          <w:color w:val="1F4D78"/>
          <w:sz w:val="18"/>
        </w:rPr>
        <w:t>artifacts/EVALUATION_STRICT_REVIEW.md</w:t>
      </w:r>
      <w:r>
        <w:t>. No accuracy claim.</w:t>
      </w:r>
    </w:p>
    <w:p>
      <w:pPr>
        <w:pStyle w:val="Heading2"/>
      </w:pPr>
      <w:r>
        <w:t>9.1 What the artifact demonstrates</w:t>
      </w:r>
    </w:p>
    <w:p>
      <w:r>
        <w:t xml:space="preserve">The implemented system shows that reusable human judgment can be made operational in AI-assisted model assessment as a </w:t>
      </w:r>
      <w:r>
        <w:rPr>
          <w:i/>
        </w:rPr>
        <w:t>complete, inspectable path</w:t>
      </w:r>
      <w:r>
        <w:t>: AI uncertainty → human review → structured feedback → provenance-tracked judgment memory → advisory retrieval → non-destructive parallel comparison. Each step is schema-validated and reproducible, and the original AI output is preserved verbatim (</w:t>
      </w:r>
      <w:r>
        <w:rPr>
          <w:rFonts w:ascii="Consolas" w:hAnsi="Consolas"/>
          <w:color w:val="1F4D78"/>
          <w:sz w:val="18"/>
        </w:rPr>
        <w:t>ai_classification_changed = 0</w:t>
      </w:r>
      <w:r>
        <w:t xml:space="preserve">, </w:t>
      </w:r>
      <w:r>
        <w:rPr>
          <w:rFonts w:ascii="Consolas" w:hAnsi="Consolas"/>
          <w:color w:val="1F4D78"/>
          <w:sz w:val="18"/>
        </w:rPr>
        <w:t>ai_behavior_changed_in_baseline = false</w:t>
      </w:r>
      <w:r>
        <w:t>).</w:t>
      </w:r>
    </w:p>
    <w:p>
      <w:r>
        <w:t>This is a design-science result: an artifact that closes a loop the host architecture only anticipated. The baseline VEGO-AI system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implements skills for incorporating external answers (</w:t>
      </w:r>
      <w:r>
        <w:rPr>
          <w:rFonts w:ascii="Consolas" w:hAnsi="Consolas"/>
          <w:color w:val="1F4D78"/>
          <w:sz w:val="18"/>
        </w:rPr>
        <w:t>resolve_with_answers</w:t>
      </w:r>
      <w:r>
        <w:t>), but none of these are connected to an operational human-judgment workflow. The thesis artifact connects them, turning latent affordances into a functioning chain that selectively routes work to a human, captures the response structurally, stores it with provenance, retrieves it as advisory evidence, and evaluates its impact through a parallel comparison.</w:t>
      </w:r>
    </w:p>
    <w:p>
      <w:r>
        <w:t>The mechanism works at the scale of the available data: 179 models, 27 patterns, 11 review items, 3 reusable memories, 8 advice items, and 27 comparison records. The workflow is deterministic and offline  -  it does not depend on LLM calls, API availability, or network conditions  -  and it is governed by an evidence-consistency guard that verifies 18 invariants at every prompt.</w:t>
      </w:r>
    </w:p>
    <w:p>
      <w:pPr>
        <w:pStyle w:val="Heading2"/>
      </w:pPr>
      <w:r>
        <w:t>9.2 What it does not yet demonstrate</w:t>
      </w:r>
    </w:p>
    <w:p>
      <w:r>
        <w:t xml:space="preserve">The artifact does </w:t>
      </w:r>
      <w:r>
        <w:rPr>
          <w:b/>
        </w:rPr>
        <w:t>not</w:t>
      </w:r>
      <w:r>
        <w:t xml:space="preserve"> demonstrate that reusable judgment improves classification accuracy. Two facts make this precise.</w:t>
      </w:r>
    </w:p>
    <w:p>
      <w:r>
        <w:t>First, there is no independent benchmark in the data. The author-reviewed labels are byte-identical to the AI output for all 27 patterns, so they record agreement, not ground truth. Any evaluation using them would be circular. The only admissible evaluation requires independently collected expert labels (§6.6), which have not yet been obtained.</w:t>
      </w:r>
    </w:p>
    <w:p>
      <w:r>
        <w:t>Second, the current deterministic policy is conservative by design  -  it changes zero of 27 classifications. Original and memory-informed predictions are identical, so no labeling can produce a delta under the current policy. A delta is only possible if a future policy refinement (M4B-1.1) is justified by error analysis on development rows and evaluated once on the sealed holdout.</w:t>
      </w:r>
    </w:p>
    <w:p>
      <w:r>
        <w:t xml:space="preserve">The honest reading is that the present contribution is </w:t>
      </w:r>
      <w:r>
        <w:rPr>
          <w:b/>
        </w:rPr>
        <w:t>mechanism, traceability, and escalation</w:t>
      </w:r>
      <w:r>
        <w:t xml:space="preserve">, and that the accuracy question is </w:t>
      </w:r>
      <w:r>
        <w:rPr>
          <w:i/>
        </w:rPr>
        <w:t>well-posed but not yet answerable</w:t>
      </w:r>
      <w:r>
        <w:t>. This is itself a non-trivial result: the project has identified exactly what evidence is missing (independent expert labels), designed a protocol to obtain it (the bias- and leakage-controlled annotation study), built the machinery to process it (the evaluation harness), and defined the conditions under which claims are permitted (the evidence gates). The gap between mechanism readiness and empirical proof is as narrow and well-defined as it can be without the labels themselves.</w:t>
      </w:r>
    </w:p>
    <w:p>
      <w:pPr>
        <w:pStyle w:val="Heading2"/>
      </w:pPr>
      <w:r>
        <w:t>9.3 Addressing the research questions</w:t>
      </w:r>
    </w:p>
    <w:p>
      <w:r>
        <w:t>The research question (RQ) asks what approaches have been proposed to support human-AI collaboration in AI-assisted domain modeling and model assessment, and how they can inform the design of reusable human-judgment mechanisms. The five sub-questions map to specific findings.</w:t>
      </w:r>
    </w:p>
    <w:p>
      <w:r>
        <w:rPr>
          <w:b/>
        </w:rPr>
        <w:t>SQ1  -  Control and timing.</w:t>
      </w:r>
      <w:r>
        <w:t xml:space="preserve"> The literature review (§2.5) identifies three patterns: human-in-the-loop (the human is part of every decision cycle), human-on-the-loop (the human monitors and intervenes by exception), and human-AI co-reasoning (both parties contribute reasoning that remains visible and reusable). The thesis artifact positions itself between on-the-loop and co-reasoning: the Selective Intervention Policy (M1) escalates by exception (on-the-loop), but the human's rationale becomes durable, retrievable evidence (co-reasoning). This combination is not found in the surveyed literature.</w:t>
      </w:r>
    </w:p>
    <w:p>
      <w:r>
        <w:rPr>
          <w:b/>
        </w:rPr>
        <w:t>SQ2  -  Direction of information.</w:t>
      </w:r>
      <w:r>
        <w:t xml:space="preserve"> The surveyed systems predominantly flow information AI→human: the AI explains, and the human consumes the explanation. Where human→AI flow exists (in HITL systems), the input is typically a label or correction, not a structured, rationale-bearing judgment. The thesis artifact implements bidirectional flow: the AI's evidence and justification inform the human's review (M1), and the human's structured decision (M2) feeds forward through memory (M3), advisory retrieval (M4A), and controlled comparison (M4B-1).</w:t>
      </w:r>
    </w:p>
    <w:p>
      <w:r>
        <w:rPr>
          <w:b/>
        </w:rPr>
        <w:t>SQ3  -  Role of judgment.</w:t>
      </w:r>
      <w:r>
        <w:t xml:space="preserve"> Across the surveyed work, human judgment is treated as a temporary correction for current AI limits  -  it fixes the immediate case but does not accumulate. The thesis artifact treats human judgment as an essential, reusable asset: the Human Judgment Memory (M3) stores it with provenance, scope, conflict status, and match reasons, making it retrievable for future similar cases even if the underlying LLM improves.</w:t>
      </w:r>
    </w:p>
    <w:p>
      <w:r>
        <w:rPr>
          <w:b/>
        </w:rPr>
        <w:t>SQ4  -  Structure and reuse.</w:t>
      </w:r>
      <w:r>
        <w:t xml:space="preserve"> No surveyed system provides the combination of schema-validated feedback capture (M2), provenance-tracked memory storage (M3), explainable embedding-free retrieval (M3/M4A), and deterministic parallel comparison (M4B-1). Individual elements exist  -  structured feedback in annotation tools, memory in case-based reasoning systems, advisory retrieval in recommendation engines  -  but the specific combination for model-variability assessment is novel.</w:t>
      </w:r>
    </w:p>
    <w:p>
      <w:r>
        <w:rPr>
          <w:b/>
        </w:rPr>
        <w:t>SQ5  -  The MDE-assessment gap.</w:t>
      </w:r>
      <w:r>
        <w:t xml:space="preserve"> The gap in the model-assessment literature (§2.3) is the single-reference, error-centric stance: deviation is treated as defect (Bian et al., 2019; Ibáñez et al., 2025). VEGO-AI addresses this with the substantial/occasional distinction, and this thesis adds the missing human-judgment lifecycle. The running example (§4.4, §5.6, §7.3) makes this concrete: Agent 4 classifies "Customer as actor" as an error, but a human expert recognizes it as a valid alternative  -  a judgment that, once stored, can inform future assessments of similar patterns. The combination  -  variability-aware AI assessment </w:t>
      </w:r>
      <w:r>
        <w:rPr>
          <w:i/>
        </w:rPr>
        <w:t>plus</w:t>
      </w:r>
      <w:r>
        <w:t xml:space="preserve"> reusable human judgment  -  is not found in the surveyed MDE or HITL literature.</w:t>
      </w:r>
    </w:p>
    <w:p>
      <w:pPr>
        <w:pStyle w:val="Heading2"/>
      </w:pPr>
      <w:r>
        <w:t>9.4 Reusable judgment as co-reasoning</w:t>
      </w:r>
    </w:p>
    <w:p>
      <w:r>
        <w:t>The system sits between human-on-the-loop and human-AI co-reasoning, and this positioning deserves clarification because "co-reasoning" is a strong claim.</w:t>
      </w:r>
    </w:p>
    <w:p>
      <w:r>
        <w:t>The system is on-the-loop in that the Selective Intervention Policy escalates by exception rather than reviewing everything. The AI operates autonomously for confident, unambiguous cases, and the human is engaged only where the AI's own signals indicate uncertainty or a need for review. This is a standard on-the-loop pattern.</w:t>
      </w:r>
    </w:p>
    <w:p>
      <w:r>
        <w:t xml:space="preserve">What moves the system toward co-reasoning is the </w:t>
      </w:r>
      <w:r>
        <w:rPr>
          <w:b/>
        </w:rPr>
        <w:t>persistence and reuse</w:t>
      </w:r>
      <w:r>
        <w:t xml:space="preserve"> of the human's contribution. In a purely on-the-loop system, the human's intervention resolves the current case and is consumed  -  the system returns to autonomous operation with no memory of the human's reasoning. In this thesis's system, the human's rationale becomes durable, retrievable evidence that is surfaced when similar cases arise later. The human and the AI are not reasoning about the same case simultaneously (as in a real-time collaborative interface), but the human's past reasoning persists alongside the AI's current reasoning, and both are visible, attributable, and auditable.</w:t>
      </w:r>
    </w:p>
    <w:p>
      <w:r>
        <w:t xml:space="preserve">The distinctive feature is that the co-reasoning happens </w:t>
      </w:r>
      <w:r>
        <w:rPr>
          <w:i/>
        </w:rPr>
        <w:t>across time</w:t>
      </w:r>
      <w:r>
        <w:t>: a judgment made about "Customer as an actor" in the Cheers UCD setting persists and can inform the assessment of a similar pattern in ParkWise or in a class diagram  -  not as an automatic override, but as advisory evidence that a human or controlled experiment can evaluate. This temporal extension of the reasoning loop is what differentiates the artifact from a standard on-the-loop correction.</w:t>
      </w:r>
    </w:p>
    <w:p>
      <w:pPr>
        <w:pStyle w:val="Heading2"/>
      </w:pPr>
      <w:r>
        <w:t>9.5 Design principles</w:t>
      </w:r>
    </w:p>
    <w:p>
      <w:r>
        <w:t>The artifact instantiates a set of transferable design principles that could inform similar human-AI collaboration systems in other domains:</w:t>
      </w:r>
    </w:p>
    <w:p>
      <w:r>
        <w:rPr>
          <w:b/>
        </w:rPr>
        <w:t>DP1  -  Bidirectional explainability.</w:t>
      </w:r>
      <w:r>
        <w:t xml:space="preserve"> The AI explains its reasoning to the human (evidence, justification, confidence), and the human can explain back (structured rationale, decision, scope). Both explanations are preserved and auditable. This principle responds to the one-way explanation gap identified in §2.8.</w:t>
      </w:r>
    </w:p>
    <w:p>
      <w:r>
        <w:rPr>
          <w:b/>
        </w:rPr>
        <w:t>DP2  -  Structured, not free-text, feedback.</w:t>
      </w:r>
      <w:r>
        <w:t xml:space="preserve"> Human judgments are captured in a schema-validated format with required fields (decision, rationale, reviewer, timestamp). This makes them machine-actionable and comparable, unlike informal comments or email exchanges. The structure is what enables promotion to reusable memory.</w:t>
      </w:r>
    </w:p>
    <w:p>
      <w:r>
        <w:rPr>
          <w:b/>
        </w:rPr>
        <w:t>DP3  -  Reusable human judgment.</w:t>
      </w:r>
      <w:r>
        <w:t xml:space="preserve"> Every approved human decision becomes durable, recallable knowledge with provenance (who decided, when, on what case, with what rationale). The judgment is indexed by domain, diagram type, guideline, and keyword, and can be retrieved for future similar cases. This is the central design principle of the thesis.</w:t>
      </w:r>
    </w:p>
    <w:p>
      <w:r>
        <w:rPr>
          <w:b/>
        </w:rPr>
        <w:t>DP4  -  Selective intervention.</w:t>
      </w:r>
      <w:r>
        <w:t xml:space="preserve"> The system asks the human where explicit AI uncertainty and governance signals satisfy the routing policy. This makes the intervention criteria inspectable and configurable. Whether the policy concentrates expert-confirmed errors or saves time is not assumed from queue counts; EXP-022 and EXP-026 are designed to test those effects.</w:t>
      </w:r>
    </w:p>
    <w:p>
      <w:r>
        <w:rPr>
          <w:b/>
        </w:rPr>
        <w:t>DP5  -  Human authority over the rubric.</w:t>
      </w:r>
      <w:r>
        <w:t xml:space="preserve"> Guideline changes require human approval. The AI may flag a pattern for guideline update (</w:t>
      </w:r>
      <w:r>
        <w:rPr>
          <w:rFonts w:ascii="Consolas" w:hAnsi="Consolas"/>
          <w:color w:val="1F4D78"/>
          <w:sz w:val="18"/>
        </w:rPr>
        <w:t>flag_for_guidelines_update = true</w:t>
      </w:r>
      <w:r>
        <w:t>), but it cannot unilaterally rewrite the assessment criteria. This preserves the human's role as the authority on evaluation standards.</w:t>
      </w:r>
    </w:p>
    <w:p>
      <w:r>
        <w:rPr>
          <w:b/>
        </w:rPr>
        <w:t>DP6  -  Preserve separation of concerns.</w:t>
      </w:r>
      <w:r>
        <w:t xml:space="preserve"> The extension keeps language, domain, and pedagogical judgments distinct, mirroring the four-agent architecture of the baseline. Memory entries are scoped by domain and diagram type, and retrieval respects these scopes.</w:t>
      </w:r>
    </w:p>
    <w:p>
      <w:r>
        <w:rPr>
          <w:b/>
        </w:rPr>
        <w:t>DP7  -  Model-independent judgment assets.</w:t>
      </w:r>
      <w:r>
        <w:t xml:space="preserve"> The human-judgment record is separable from a particular base-model response and therefore can be reevaluated when the model changes. This design creates the </w:t>
      </w:r>
      <w:r>
        <w:rPr>
          <w:i/>
        </w:rPr>
        <w:t>possibility</w:t>
      </w:r>
      <w:r>
        <w:t xml:space="preserve"> of longitudinal value; whether the asset remains useful as base models improve requires a future multi-version study.</w:t>
      </w:r>
    </w:p>
    <w:p>
      <w:pPr>
        <w:pStyle w:val="Heading2"/>
      </w:pPr>
      <w:r>
        <w:t>9.6 Comparison with related work</w:t>
      </w:r>
    </w:p>
    <w:p>
      <w:r>
        <w:t>The design principles relate to and extend prior work in several ways.</w:t>
      </w:r>
    </w:p>
    <w:p>
      <w:r>
        <w:t xml:space="preserve">Amershi et al.'s (2019) </w:t>
      </w:r>
      <w:r>
        <w:rPr>
          <w:i/>
        </w:rPr>
        <w:t>Guidelines for Human-AI Interaction</w:t>
      </w:r>
      <w:r>
        <w:t xml:space="preserve"> emphasize making the AI's uncertainty visible, supporting efficient correction, and learning from human input. The thesis artifact implements these principles (visible confidence in M1, efficient review in M2) and extends them with reuse (M3) and non-destructive comparison (M4B-1), which the guidelines recommend but do not operationalize.</w:t>
      </w:r>
    </w:p>
    <w:p>
      <w:r>
        <w:t>The NIST AI Risk Management Framework (2023) frames human oversight as a governance requirement, emphasizing accountability and meaningful human control. The thesis artifact provides a concrete realization of these principles: every human judgment is traceable, every AI decision is preserved, and the comparison artifact makes the effect of human input measurable without hiding or overwriting the AI's original output.</w:t>
      </w:r>
    </w:p>
    <w:p>
      <w:r>
        <w:t>Silva et al.'s (2025) work on human-in-the-loop LLM-enabled domain modeling is the most directly relevant precedent. The thesis extends their HITL pattern by adding reuse: where their system captures human input for the current modeling session, this thesis's system stores it as persistent, retrievable knowledge for future sessions and settings.</w:t>
      </w:r>
    </w:p>
    <w:p>
      <w:r>
        <w:t>Mosqueira-Rey et al.'s (2023) HITL survey identifies patterns such as active learning and interactive labeling. The thesis artifact is distinct in that the human's input is not consumed by a training loop (as in active learning) but stored as a separable, inspectable knowledge item that retains its identity and provenance.</w:t>
      </w:r>
    </w:p>
    <w:p>
      <w:pPr>
        <w:pStyle w:val="Heading2"/>
      </w:pPr>
      <w:r>
        <w:t>9.7 Implications</w:t>
      </w:r>
    </w:p>
    <w:p>
      <w:r>
        <w:rPr>
          <w:b/>
        </w:rPr>
        <w:t>For practice.</w:t>
      </w:r>
      <w:r>
        <w:t xml:space="preserve"> The artifact offers educators and assessment practitioners a traceable way to route selected cases and accumulate an institutional judgment record rather than leaving decisions in informal channels. It may support future reuse across semesters, but the current evidence does not show that the routing selects the most important errors, reduces teaching-assistant workload, or improves consistency. Those are empirical questions, not assumed benefits.</w:t>
      </w:r>
    </w:p>
    <w:p>
      <w:r>
        <w:rPr>
          <w:b/>
        </w:rPr>
        <w:t>For evaluation methodology.</w:t>
      </w:r>
      <w:r>
        <w:t xml:space="preserve"> The no-benchmark finding  -  that author-reviewed labels duplicate the AI output byte-for-byte  -  is a caution for any study that uses researcher-agreed labels as ground truth. Agreement-with-AI artifacts are easy to mistake for independent benchmarks, and leakage-aware evaluation designs (per-row leakage tags, blind labeling, sealed holdouts) should be standard practice in human-AI assessment studies.</w:t>
      </w:r>
    </w:p>
    <w:p>
      <w:r>
        <w:rPr>
          <w:b/>
        </w:rPr>
        <w:t>For the HITL research community.</w:t>
      </w:r>
      <w:r>
        <w:t xml:space="preserve"> The work argues that the valuable target in AI-assisted assessment is not more automation but </w:t>
      </w:r>
      <w:r>
        <w:rPr>
          <w:b/>
        </w:rPr>
        <w:t>reusable, accountable human judgment</w:t>
      </w:r>
      <w:r>
        <w:t>. The design principles (§9.5) provide a transferable framework for systems that want to move human input from transient correction to durable knowledge.</w:t>
      </w:r>
    </w:p>
    <w:p>
      <w:r>
        <w:rPr>
          <w:b/>
        </w:rPr>
        <w:t>For the MDE community.</w:t>
      </w:r>
      <w:r>
        <w:t xml:space="preserve"> The artifact demonstrates that model-variability assessment can be framed as a human-AI co-reasoning activity, not just a classification task. This reframes the assessment problem from "compare against a reference" to "build a shared understanding of what counts as valid," with the judgment memory serving as the institutional record of that understanding.</w:t>
      </w:r>
    </w:p>
    <w:p>
      <w:pPr>
        <w:pStyle w:val="Heading2"/>
      </w:pPr>
      <w:r>
        <w:t>9.8 Contribution as a nascent design theory</w:t>
      </w:r>
    </w:p>
    <w:p>
      <w:r>
        <w:t xml:space="preserve">The design principles of §9.5 are not only a practitioner checklist; abstracted over the constructs introduced in §9.1-9.4, they constitute a </w:t>
      </w:r>
      <w:r>
        <w:rPr>
          <w:b/>
        </w:rPr>
        <w:t>nascent design theory</w:t>
      </w:r>
      <w:r>
        <w:t xml:space="preserve"> of governed human-judgment reuse (Gregor &amp; Hevner, 2013, Level 2), developed in full in the design-theory chapter. Two moves lift the principles to a theory. First, they are organized as </w:t>
      </w:r>
      <w:r>
        <w:rPr>
          <w:i/>
        </w:rPr>
        <w:t>principles of form and function</w:t>
      </w:r>
      <w:r>
        <w:t xml:space="preserve">  -  each commitment (e.g., non-destruction, selective intervention, governed reuse) is paired with the function it serves and the kernel knowledge that justifies it. Second, and decisively for a doctoral contribution, the theory yields </w:t>
      </w:r>
      <w:r>
        <w:rPr>
          <w:b/>
        </w:rPr>
        <w:t>testable propositions</w:t>
      </w:r>
      <w:r>
        <w:t>, each stated with its admissible test and current status, and none asserted as confirmed:</w:t>
      </w:r>
    </w:p>
    <w:p>
      <w:pPr>
        <w:pStyle w:val="ListBullet"/>
      </w:pPr>
      <w:r>
        <w:rPr>
          <w:b/>
        </w:rPr>
        <w:t>P1 (targeting)</w:t>
      </w:r>
      <w:r>
        <w:t xml:space="preserve">  -  selective intervention concentrates expert effort on the patterns most likely to be errors; </w:t>
      </w:r>
      <w:r>
        <w:rPr>
          <w:i/>
        </w:rPr>
        <w:t>queue rate measured (40.7%); error-coverage pending labels.</w:t>
      </w:r>
    </w:p>
    <w:p>
      <w:pPr>
        <w:pStyle w:val="ListBullet"/>
      </w:pPr>
      <w:r>
        <w:rPr>
          <w:b/>
        </w:rPr>
        <w:t>P2 (escalation without contamination)</w:t>
      </w:r>
      <w:r>
        <w:t xml:space="preserve">  -  governed comparison flags ambiguous cases for review while preserving correct baseline outputs verbatim; </w:t>
      </w:r>
      <w:r>
        <w:rPr>
          <w:i/>
        </w:rPr>
        <w:t>non-destruction demonstrated (0/27 changed); escalation precision pending labels.</w:t>
      </w:r>
    </w:p>
    <w:p>
      <w:pPr>
        <w:pStyle w:val="ListBullet"/>
      </w:pPr>
      <w:r>
        <w:rPr>
          <w:b/>
        </w:rPr>
        <w:t>P3 (non-circular reuse)</w:t>
      </w:r>
      <w:r>
        <w:t xml:space="preserve">  -  provenance plus per-row leakage tagging yields reuse evidence that is not self-referential; </w:t>
      </w:r>
      <w:r>
        <w:rPr>
          <w:i/>
        </w:rPr>
        <w:t>retrieval mechanism demonstrated; generalization-safe rows currently 0.</w:t>
      </w:r>
    </w:p>
    <w:p>
      <w:pPr>
        <w:pStyle w:val="ListBullet"/>
      </w:pPr>
      <w:r>
        <w:rPr>
          <w:b/>
        </w:rPr>
        <w:t>P4 (justified adoption)</w:t>
      </w:r>
      <w:r>
        <w:t xml:space="preserve">  -  a deterministic policy refinement raises agreement with experts only when justified by held-out error analysis, and without increasing changed-and-wrong; </w:t>
      </w:r>
      <w:r>
        <w:rPr>
          <w:i/>
        </w:rPr>
        <w:t>conditional and gated.</w:t>
      </w:r>
    </w:p>
    <w:p>
      <w:pPr>
        <w:pStyle w:val="ListBullet"/>
      </w:pPr>
      <w:r>
        <w:rPr>
          <w:b/>
        </w:rPr>
        <w:t>P5 (reviewer-grounded validity)</w:t>
      </w:r>
      <w:r>
        <w:t xml:space="preserve">  -  inter-rater reliability bounds the trust placed in any effect estimate; </w:t>
      </w:r>
      <w:r>
        <w:rPr>
          <w:i/>
        </w:rPr>
        <w:t>protocol ready; pending labels.</w:t>
      </w:r>
    </w:p>
    <w:p>
      <w:pPr>
        <w:pStyle w:val="ListBullet"/>
      </w:pPr>
      <w:r>
        <w:rPr>
          <w:b/>
        </w:rPr>
        <w:t>P6 (transferability)</w:t>
      </w:r>
      <w:r>
        <w:t xml:space="preserve">  -  the principles and the evaluation methodology transfer across domains, diagram types, reviewers, and model versions; </w:t>
      </w:r>
      <w:r>
        <w:rPr>
          <w:i/>
        </w:rPr>
        <w:t>PhD-scale, seeded by the five cross-setting comparison rows.</w:t>
      </w:r>
    </w:p>
    <w:p>
      <w:r>
        <w:t>This propositional framing is what separates the contribution from a single situated artifact: it renders the design knowledge falsifiable and transferable beyond VEGO-AI, positioning the work as a Level-2 design-theory contribution. The form-and-function principles (DP1-DP7) are demonstrated now; the effect propositions (P1-P4) await the gated evaluation  -  precisely the boundary the next section makes explicit.</w:t>
      </w:r>
    </w:p>
    <w:p>
      <w:pPr>
        <w:pStyle w:val="Heading2"/>
      </w:pPr>
      <w:r>
        <w:t>9.9 Conditional interpretation of empirical outcomes</w:t>
      </w:r>
    </w:p>
    <w:p>
      <w:r>
        <w:t>The evaluation is not structured around obtaining a positive result. Four outcome families lead to different conclusions:</w:t>
      </w:r>
    </w:p>
    <w:tbl>
      <w:tblPr>
        <w:tblStyle w:val="TableGrid"/>
        <w:tblW w:type="dxa" w:w="9360"/>
        <w:jc w:val="left"/>
        <w:tblLayout w:type="fixed"/>
        <w:tblLook w:firstColumn="1" w:firstRow="1" w:lastColumn="0" w:lastRow="0" w:noHBand="0" w:noVBand="1" w:val="04A0"/>
        <w:tblInd w:w="120" w:type="dxa"/>
      </w:tblPr>
      <w:tblGrid>
        <w:gridCol w:w="1990"/>
        <w:gridCol w:w="2582"/>
        <w:gridCol w:w="2582"/>
        <w:gridCol w:w="2206"/>
      </w:tblGrid>
      <w:tr>
        <w:trPr>
          <w:cantSplit/>
          <w:tblHeader w:val="true"/>
        </w:trPr>
        <w:tc>
          <w:tcPr>
            <w:tcW w:type="dxa" w:w="199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pattern</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c>
          <w:tcPr>
            <w:tcW w:type="dxa" w:w="22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Action</w:t>
            </w:r>
          </w:p>
        </w:tc>
      </w:tr>
      <w:tr>
        <w:trPr>
          <w:cantSplit/>
        </w:trPr>
        <w:tc>
          <w:tcPr>
            <w:tcW w:type="dxa" w:w="199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Mechanism only</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B1 passes; no independent labels</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Reusable judgment is implemented and governed; performance is unknown</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Complete EXP-019/020</w:t>
            </w:r>
          </w:p>
        </w:tc>
      </w:tr>
      <w:tr>
        <w:trPr>
          <w:cantSplit/>
        </w:trPr>
        <w:tc>
          <w:tcPr>
            <w:tcW w:type="dxa" w:w="199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Baseline errors but no safe candidate</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B2 finds errors; EXP-022 finds no reliable correction rule</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 review may remain valuable, but automatic parallel correction is not justified</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Strengthen escalation, not classification</w:t>
            </w:r>
          </w:p>
        </w:tc>
      </w:tr>
      <w:tr>
        <w:trPr>
          <w:cantSplit/>
        </w:trPr>
        <w:tc>
          <w:tcPr>
            <w:tcW w:type="dxa" w:w="199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Positive holdout pilot</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B4 net correction is positive on 8 rows</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Promising pilot only; uncertainty remains high</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Seek EXP-025, keep policy frozen</w:t>
            </w:r>
          </w:p>
        </w:tc>
      </w:tr>
      <w:tr>
        <w:trPr>
          <w:cantSplit/>
        </w:trPr>
        <w:tc>
          <w:tcPr>
            <w:tcW w:type="dxa" w:w="199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Null or harmful holdout</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Net correction is zero/negative or changed-and-wrong appears</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Candidate is unsupported or unsafe for the tested rows</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Reject/defer candidate; preserve baseline</w:t>
            </w:r>
          </w:p>
        </w:tc>
      </w:tr>
      <w:tr>
        <w:trPr>
          <w:cantSplit/>
        </w:trPr>
        <w:tc>
          <w:tcPr>
            <w:tcW w:type="dxa" w:w="199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Positive external gate</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N≥30 and every preregistered criterion passes</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Scoped formal improvement may be reported for the sampled education context</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Publish with validity limits</w:t>
            </w:r>
          </w:p>
        </w:tc>
      </w:tr>
      <w:tr>
        <w:trPr>
          <w:cantSplit/>
        </w:trPr>
        <w:tc>
          <w:tcPr>
            <w:tcW w:type="dxa" w:w="199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Mixed external outcome</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Aggregate improvement but macro-F1/subgroup/safety gate fails</w:t>
            </w:r>
          </w:p>
        </w:tc>
        <w:tc>
          <w:tcPr>
            <w:tcW w:type="dxa" w:w="258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No formal improvement claim</w:t>
            </w:r>
          </w:p>
        </w:tc>
        <w:tc>
          <w:tcPr>
            <w:tcW w:type="dxa" w:w="2206"/>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Report trade-offs and stop deployment</w:t>
            </w:r>
          </w:p>
        </w:tc>
      </w:tr>
    </w:tbl>
    <w:p>
      <w:pPr>
        <w:spacing w:after="40"/>
      </w:pPr>
    </w:p>
    <w:p>
      <w:r>
        <w:t>This matrix prevents a favorable point estimate from overriding reviewer reliability, paired harm, class balance, subgroup safety, or provenance.</w:t>
      </w:r>
    </w:p>
    <w:p>
      <w:pPr>
        <w:pStyle w:val="Heading2"/>
      </w:pPr>
      <w:r>
        <w:t>9.10 Limitations</w:t>
      </w:r>
    </w:p>
    <w:p>
      <w:r>
        <w:t>The evidence base is small (27 patterns, at most 24 generalization-safe, currently 0 labeled), the scope is narrow (two domains, two diagram types, one institution, one LLM), and the policy is deliberately conservative (zero classification changes). These limitations bound every claim and are analyzed in detail in Chapter 8. The central remaining question  -  whether reusable human judgment actually improves classification accuracy  -  is well-posed, methodologically prepared for, but not yet answerable. The thesis contributions (mechanism, design, methodology) stand independently of the eventual accuracy result, but the empirical contribution awaits the labels.</w:t>
      </w:r>
    </w:p>
    <w:p>
      <w:pPr>
        <w:pStyle w:val="Heading1"/>
        <w:pageBreakBefore/>
      </w:pPr>
      <w:r>
        <w:t>Chapter 10  -  Conclusion and PhD Continuation</w:t>
      </w:r>
    </w:p>
    <w:p>
      <w:pPr>
        <w:pStyle w:val="EvidenceCallout"/>
        <w:shd w:fill="EEF5FA"/>
        <w:pBdr>
          <w:left w:val="single" w:sz="18" w:space="8" w:color="2E74B5"/>
        </w:pBdr>
      </w:pPr>
      <w:r>
        <w:t xml:space="preserve">Draft. Summarizes contributions and honest status, revisits research questions, and sets out continuation work. Sources: </w:t>
      </w:r>
      <w:r>
        <w:rPr>
          <w:rFonts w:ascii="Consolas" w:hAnsi="Consolas"/>
          <w:color w:val="1F4D78"/>
          <w:sz w:val="18"/>
        </w:rPr>
        <w:t>docs/research/research-plan.md</w:t>
      </w:r>
      <w:r>
        <w:t xml:space="preserve">, </w:t>
      </w:r>
      <w:r>
        <w:rPr>
          <w:rFonts w:ascii="Consolas" w:hAnsi="Consolas"/>
          <w:color w:val="1F4D78"/>
          <w:sz w:val="18"/>
        </w:rPr>
        <w:t>docs/research/m4b1-policy-refinement-plan.md</w:t>
      </w:r>
      <w:r>
        <w:t>, the evaluation plan.</w:t>
      </w:r>
    </w:p>
    <w:p>
      <w:pPr>
        <w:pStyle w:val="Heading2"/>
      </w:pPr>
      <w:r>
        <w:t>10.1 Summary of contributions</w:t>
      </w:r>
    </w:p>
    <w:p>
      <w:r>
        <w:t>This thesis extended VEGO-AI from an automated agentic model-assessment pipeline into a staged human-AI co-reasoning system. The work makes four distinct contributions:</w:t>
      </w:r>
    </w:p>
    <w:p>
      <w:r>
        <w:rPr>
          <w:b/>
        </w:rPr>
        <w:t>A literature-grounded framing</w:t>
      </w:r>
      <w:r>
        <w:t xml:space="preserve"> of reusable human judgment for AI-assisted model-variability assessment. The literature review (Chapter 2) identified four interrelated gaps in the surveyed work: one-way explanation, transient judgment, emphasis on generation over assessment, and unused human-review signals. The contribution is the synthesis of these gaps into a coherent problem statement and the positioning of the thesis artifact against the state of the art.</w:t>
      </w:r>
    </w:p>
    <w:p>
      <w:r>
        <w:rPr>
          <w:b/>
        </w:rPr>
        <w:t>A design comprising selective review, structured feedback, and provenance-tracked judgment memory.</w:t>
      </w:r>
      <w:r>
        <w:t xml:space="preserve"> The co-reasoning artifact (Chapter 5) introduces seven transferable design principles  -  bidirectional explainability, structured feedback, reusable human judgment, selective intervention, human authority over the rubric, separation of concerns, and future-proofing  -  that can inform similar human-AI collaboration systems in other domains.</w:t>
      </w:r>
    </w:p>
    <w:p>
      <w:r>
        <w:rPr>
          <w:b/>
        </w:rPr>
        <w:t>A working, non-destructive technical prototype (M1-M4B-1)</w:t>
      </w:r>
      <w:r>
        <w:t xml:space="preserve"> with dashboard and visualizer inspection surfaces and deterministic verification. The accepted verification record reports both the VEGO-AI and research-script suites passing; exact counts remain attached to that dated record. The prototype demonstrates the mechanism at a concrete scale (179 models, 27 patterns, 11 review items, 3 reusable memories) and preserves the original baseline throughout.</w:t>
      </w:r>
    </w:p>
    <w:p>
      <w:r>
        <w:rPr>
          <w:b/>
        </w:rPr>
        <w:t>A bias- and leakage-controlled evaluation methodology</w:t>
      </w:r>
      <w:r>
        <w:t xml:space="preserve"> that makes the artifact's empirical effect measurable. The methodology (Chapter 6) identifies the byte-identical baseline labels as unusable ground truth, defines a blind annotation protocol with anonymization, randomization, and two-reviewer adjudication, establishes a sealed development/holdout split for policy refinement, and pre-commits to explicit evidence gates. The methodology itself is a contribution: it provides a template for evaluating human-AI collaboration artifacts where conventional benchmarks are unavailable or unreliable.</w:t>
      </w:r>
    </w:p>
    <w:p>
      <w:pPr>
        <w:pStyle w:val="Heading2"/>
      </w:pPr>
      <w:r>
        <w:t>10.2 Revisiting the research questions</w:t>
      </w:r>
    </w:p>
    <w:p>
      <w:r>
        <w:rPr>
          <w:b/>
        </w:rPr>
        <w:t>RQ.</w:t>
      </w:r>
      <w:r>
        <w:t xml:space="preserve"> The research question asked what approaches support human-AI collaboration in AI-assisted domain modeling and model assessment, and how they can inform the design of reusable human-judgment mechanisms. The thesis answered this by surveying six areas of related work, identifying four gaps, and demonstrating a concrete artifact that closes them.</w:t>
      </w:r>
    </w:p>
    <w:p>
      <w:r>
        <w:rPr>
          <w:b/>
        </w:rPr>
        <w:t>SQ1 (Control and timing):</w:t>
      </w:r>
      <w:r>
        <w:t xml:space="preserve"> the artifact positions itself between on-the-loop and co-reasoning, escalating by exception while making the human's rationale durable and retrievable.</w:t>
      </w:r>
    </w:p>
    <w:p>
      <w:r>
        <w:rPr>
          <w:b/>
        </w:rPr>
        <w:t>SQ2 (Information direction):</w:t>
      </w:r>
      <w:r>
        <w:t xml:space="preserve"> information flows bidirectionally  -  the AI's evidence informs the human's review, and the human's structured decision feeds forward through memory and advisory retrieval.</w:t>
      </w:r>
    </w:p>
    <w:p>
      <w:r>
        <w:rPr>
          <w:b/>
        </w:rPr>
        <w:t>SQ3 (Role of judgment):</w:t>
      </w:r>
      <w:r>
        <w:t xml:space="preserve"> human judgment is treated as a reusable asset, not a transient correction. The judgment memory stores it with provenance and retrieves it for similar future cases. The running example (§4.4-§7.3) illustrates this concretely: a single expert judgment about "Customer as actor" is captured, stored, retrieved as advisory evidence, and used in a controlled comparison  -  demonstrating the full lifecycle.</w:t>
      </w:r>
    </w:p>
    <w:p>
      <w:r>
        <w:rPr>
          <w:b/>
        </w:rPr>
        <w:t>SQ4 (Structure and reuse):</w:t>
      </w:r>
      <w:r>
        <w:t xml:space="preserve"> the combination of schema-validated feedback, provenance-tracked memory, explainable retrieval, and deterministic parallel comparison is novel in the model-assessment context.</w:t>
      </w:r>
    </w:p>
    <w:p>
      <w:r>
        <w:rPr>
          <w:b/>
        </w:rPr>
        <w:t>SQ5 (The MDE-assessment gap):</w:t>
      </w:r>
      <w:r>
        <w:t xml:space="preserve"> the thesis contributes the missing human-judgment lifecycle for variability interpretation, extending VEGO-AI's substantial/occasional distinction with reusable expert knowledge.</w:t>
      </w:r>
    </w:p>
    <w:p>
      <w:pPr>
        <w:pStyle w:val="Heading2"/>
      </w:pPr>
      <w:r>
        <w:t>10.3 Honest status</w:t>
      </w:r>
    </w:p>
    <w:p>
      <w:r>
        <w:t>The mechanism build is complete through M4B-1. The artifact is implemented, historically merged and tagged, and governed by evidence-consistency and protected-path checks. The evaluation methodology is designed, the annotation package is prepared with blind sheets and leakage controls, and the EXP-019-EXP-027 evidence sequence is preregistered.</w:t>
      </w:r>
    </w:p>
    <w:p>
      <w:r>
        <w:t>The empirical phase is not complete: there are zero generalization-safe expert labels, and the current deterministic policy changes zero classifications. The supportable claim at this stage is that the system enables structured, reusable human judgment with traceability, provenance, and safer escalation  -  not that it improves accuracy. This is an acceptable intermediate state for a design-science thesis because the artifact and methodology contributions stand on their own merits (Hevner et al., 2004; Peffers et al., 2007; Gregor &amp; Hevner, 2013), and the remaining work is clearly defined and human-gated.</w:t>
      </w:r>
    </w:p>
    <w:p>
      <w:pPr>
        <w:pStyle w:val="Heading2"/>
      </w:pPr>
      <w:r>
        <w:t>10.4 Immediate next work (unblocks the empirical claim)</w:t>
      </w:r>
    </w:p>
    <w:p>
      <w:r>
        <w:t>The empirical phase advances through the following gates. The first three are human-gated; later policy work is conditional rather than assumed:</w:t>
      </w:r>
    </w:p>
    <w:p>
      <w:pPr>
        <w:pStyle w:val="ListParagraph"/>
        <w:spacing w:after="60"/>
        <w:ind w:left="403" w:hanging="259"/>
      </w:pPr>
      <w:r>
        <w:t xml:space="preserve">1. </w:t>
      </w:r>
      <w:r>
        <w:rPr>
          <w:b/>
        </w:rPr>
        <w:t>Calibrate reviewers without consuming the evaluation set.</w:t>
      </w:r>
      <w:r>
        <w:t xml:space="preserve"> Two reviewers</w:t>
      </w:r>
    </w:p>
    <w:p>
      <w:r>
        <w:t>complete EXP-019 on the three excluded same-pattern rows and freeze the instruction version.</w:t>
      </w:r>
    </w:p>
    <w:p>
      <w:pPr>
        <w:pStyle w:val="ListParagraph"/>
        <w:spacing w:after="60"/>
        <w:ind w:left="403" w:hanging="259"/>
      </w:pPr>
      <w:r>
        <w:t xml:space="preserve">2. </w:t>
      </w:r>
      <w:r>
        <w:rPr>
          <w:b/>
        </w:rPr>
        <w:t>Execute independent annotation.</w:t>
      </w:r>
      <w:r>
        <w:t xml:space="preserve"> Two modeling experts label the 24 safe</w:t>
      </w:r>
    </w:p>
    <w:p>
      <w:r>
        <w:t>rows blind. Cohen's κ is computed before a third role adjudicates disagreements into a frozen gold-label set.</w:t>
      </w:r>
    </w:p>
    <w:p>
      <w:pPr>
        <w:pStyle w:val="ListParagraph"/>
        <w:spacing w:after="60"/>
        <w:ind w:left="403" w:hanging="259"/>
      </w:pPr>
      <w:r>
        <w:t xml:space="preserve">3. </w:t>
      </w:r>
      <w:r>
        <w:rPr>
          <w:b/>
        </w:rPr>
        <w:t>Characterize the frozen baseline.</w:t>
      </w:r>
      <w:r>
        <w:t xml:space="preserve"> Open only the 16 development rows for</w:t>
      </w:r>
    </w:p>
    <w:p>
      <w:r>
        <w:t>EXP-021/022, identifying baseline errors and auditing review/retrieval validity while eight holdout rows remain sealed.</w:t>
      </w:r>
    </w:p>
    <w:p>
      <w:pPr>
        <w:pStyle w:val="ListParagraph"/>
        <w:spacing w:after="60"/>
        <w:ind w:left="403" w:hanging="259"/>
      </w:pPr>
      <w:r>
        <w:t xml:space="preserve">4. </w:t>
      </w:r>
      <w:r>
        <w:rPr>
          <w:b/>
        </w:rPr>
        <w:t>Conditional policy decision.</w:t>
      </w:r>
      <w:r>
        <w:t xml:space="preserve"> Proceed to EXP-023 only if at least three</w:t>
      </w:r>
    </w:p>
    <w:p>
      <w:r>
        <w:t>potentially correctable development errors span at least two settings and a specific deterministic policy record is approved.</w:t>
      </w:r>
    </w:p>
    <w:p>
      <w:pPr>
        <w:pStyle w:val="ListParagraph"/>
        <w:spacing w:after="60"/>
        <w:ind w:left="403" w:hanging="259"/>
      </w:pPr>
      <w:r>
        <w:t xml:space="preserve">5. </w:t>
      </w:r>
      <w:r>
        <w:rPr>
          <w:b/>
        </w:rPr>
        <w:t>Evaluate once, then replicate externally.</w:t>
      </w:r>
      <w:r>
        <w:t xml:space="preserve"> Open the eight-row holdout once.</w:t>
      </w:r>
    </w:p>
    <w:p>
      <w:r>
        <w:t>Treat it as a pilot. A formal improvement claim requires a separate new education-domain batch with at least 30 and preferably 48 adjudicated safe rows and every preregistered statistical and safety gate.</w:t>
      </w:r>
    </w:p>
    <w:p>
      <w:r>
        <w:t>The evidence ladder is therefore B0 frozen baseline → B1 implemented mechanism → B2 independent labels → B3 approved frozen candidate → B4 sealed pilot → B5 external replication. Progress along the ladder is progress in evidence quality, not guaranteed progress in accuracy.</w:t>
      </w:r>
    </w:p>
    <w:p>
      <w:pPr>
        <w:pStyle w:val="Heading2"/>
      </w:pPr>
      <w:r>
        <w:t>10.5 PhD continuation directions</w:t>
      </w:r>
    </w:p>
    <w:p>
      <w:r>
        <w:t>The MSc thesis establishes the mechanism and methodology; several directions extend the work toward a fuller understanding of reusable human judgment in AI-assisted assessment.</w:t>
      </w:r>
    </w:p>
    <w:p>
      <w:r>
        <w:rPr>
          <w:b/>
        </w:rPr>
        <w:t>M4B-2  -  LLM-assisted reclassification.</w:t>
      </w:r>
      <w:r>
        <w:t xml:space="preserve"> A possible future research question, not an approved implementation. Any later study would require a separate plan, authorization, stochastic-evaluation protocol, and the same non-destructive comparison boundary.</w:t>
      </w:r>
    </w:p>
    <w:p>
      <w:r>
        <w:rPr>
          <w:b/>
        </w:rPr>
        <w:t>M5  -  Human-approved guideline refinement.</w:t>
      </w:r>
      <w:r>
        <w:t xml:space="preserve"> Studying the loop where substantial-variability judgments inform updates to the assessment rubric, under human authority. This extends the co-reasoning from classification to the assessment framework itself, addressing DP5 (human authority over the rubric) in a more ambitious form.</w:t>
      </w:r>
    </w:p>
    <w:p>
      <w:r>
        <w:rPr>
          <w:b/>
        </w:rPr>
        <w:t>Cross-context transfer.</w:t>
      </w:r>
      <w:r>
        <w:t xml:space="preserve"> Evaluating whether judgments transfer across settings (Cheers→ParkWise), diagram types (UCD→CD), and domains, using leave-one-pattern-out, cross-setting, and cross-domain experimental designs with larger expert panels and inter-rater reliability analysis.</w:t>
      </w:r>
    </w:p>
    <w:p>
      <w:r>
        <w:rPr>
          <w:b/>
        </w:rPr>
        <w:t>Longitudinal value.</w:t>
      </w:r>
      <w:r>
        <w:t xml:space="preserve"> Testing DP7 (future-proofing) directly by re-running the pipeline with newer LLMs and measuring whether the judgment memory's contribution persists, increases, or diminishes as the base model improves.</w:t>
      </w:r>
    </w:p>
    <w:p>
      <w:r>
        <w:rPr>
          <w:b/>
        </w:rPr>
        <w:t>Mixed-initiative interaction.</w:t>
      </w:r>
      <w:r>
        <w:t xml:space="preserve"> Extending the read-only inspection surfaces (dashboard, visualizer) into a genuine co-reasoning interface with feedback capture, real-time advisory display, and iterative refinement, while preserving the auditability and non-destruction guarantees established in this thesis.</w:t>
      </w:r>
    </w:p>
    <w:p>
      <w:pPr>
        <w:pStyle w:val="Heading2"/>
      </w:pPr>
      <w:r>
        <w:t>10.6 Closing statement</w:t>
      </w:r>
    </w:p>
    <w:p>
      <w:r>
        <w:t>This thesis moved VEGO-AI from "automated variability assessment" to "variability assessment with reusable human judgment." The artifact demonstrates that expert reasoning about model variability can be captured structurally, stored with provenance, retrieved as advisory evidence, and evaluated non-destructively against the original AI pipeline. Its lasting idea is methodological as much as technical: human judgment should be captured as structured, reusable, accountable knowledge  -  and its effect should be claimed only on the strength of leakage-aware, independently labeled evidence.</w:t>
      </w:r>
    </w:p>
    <w:p>
      <w:r>
        <w:t>The safe claim now is feasibility and governance of the reusable-human-judgment mechanism. A conditional pilot claim may be made after adjudicated labels and a sealed evaluation. A formal improvement claim is allowed only after the external EXP-025 gate passes. Accuracy improvement, generalization, reduced human effort, benchmark superiority, and clinical performance are not established by the current evidence.</w:t>
      </w:r>
    </w:p>
    <w:p>
      <w:pPr>
        <w:pStyle w:val="Heading1"/>
        <w:pageBreakBefore/>
      </w:pPr>
      <w:r>
        <w:t>Chapter  -  Toward a Design Theory of Governed Human-Judgment Reuse in AI-Assisted Model Assessment</w:t>
      </w:r>
    </w:p>
    <w:p>
      <w:pPr>
        <w:pStyle w:val="EvidenceCallout"/>
        <w:shd w:fill="EEF5FA"/>
        <w:pBdr>
          <w:left w:val="single" w:sz="18" w:space="8" w:color="2E74B5"/>
        </w:pBdr>
      </w:pPr>
      <w:r>
        <w:t xml:space="preserve">Candidate PhD-level chapter. It abstracts the situated VEGO-AI artifact (Ch 5) into a </w:t>
      </w:r>
      <w:r>
        <w:rPr>
          <w:b/>
        </w:rPr>
        <w:t>nascent design theory</w:t>
      </w:r>
      <w:r>
        <w:t xml:space="preserve"> (Gregor &amp; Hevner, 2013, Level 2) and states its </w:t>
      </w:r>
      <w:r>
        <w:rPr>
          <w:b/>
        </w:rPr>
        <w:t>testable propositions</w:t>
      </w:r>
      <w:r>
        <w:t xml:space="preserve">. Consistent with the evidence boundary, propositions are presented as </w:t>
      </w:r>
      <w:r>
        <w:rPr>
          <w:i/>
        </w:rPr>
        <w:t>falsifiable claims with their admissible tests and current status</w:t>
      </w:r>
      <w:r>
        <w:t xml:space="preserve">  -  </w:t>
      </w:r>
      <w:r>
        <w:rPr>
          <w:b/>
        </w:rPr>
        <w:t>none is asserted as confirmed, and no accuracy improvement is claimed.</w:t>
      </w:r>
      <w:r>
        <w:t xml:space="preserve"> Intended to follow Ch 5 (artifact) and precede/extend Ch 9 (discussion). </w:t>
      </w:r>
      <w:r>
        <w:rPr>
          <w:i/>
        </w:rPr>
        <w:t>(Author note: ground the design-theory anatomy with a canonical reference before submission; flagged, not cited as present.)</w:t>
      </w:r>
    </w:p>
    <w:p>
      <w:pPr>
        <w:pStyle w:val="Heading2"/>
      </w:pPr>
      <w:r>
        <w:t>1. Purpose and scope</w:t>
      </w:r>
    </w:p>
    <w:p>
      <w:r>
        <w:t xml:space="preserve">This chapter proposes a design theory for information systems that </w:t>
      </w:r>
      <w:r>
        <w:rPr>
          <w:b/>
        </w:rPr>
        <w:t>capture, reuse, and govern human judgment</w:t>
      </w:r>
      <w:r>
        <w:t xml:space="preserve"> in AI-assisted assessment of conceptual models. Its scope is the class of settings where (a) assessment is </w:t>
      </w:r>
      <w:r>
        <w:rPr>
          <w:i/>
        </w:rPr>
        <w:t>interpretive</w:t>
      </w:r>
      <w:r>
        <w:t xml:space="preserve">  -  a deviation may be a valid alternative or an error (Bian et al., 2020; Ibáñez et al., 2025); (b) an independent benchmark is </w:t>
      </w:r>
      <w:r>
        <w:rPr>
          <w:i/>
        </w:rPr>
        <w:t>scarce or contaminated</w:t>
      </w:r>
      <w:r>
        <w:t xml:space="preserve">; and (c) qualified experts may </w:t>
      </w:r>
      <w:r>
        <w:rPr>
          <w:i/>
        </w:rPr>
        <w:t>disagree</w:t>
      </w:r>
      <w:r>
        <w:t xml:space="preserve">. It is explicitly </w:t>
      </w:r>
      <w:r>
        <w:rPr>
          <w:b/>
        </w:rPr>
        <w:t>out of scope</w:t>
      </w:r>
      <w:r>
        <w:t xml:space="preserve"> where ground truth is authoritative and correctness is unambiguous, since automated grading suffices there. Following design-science guidance (Hevner et al., 2004; Peffers et al., 2007; Gregor &amp; Hevner, 2013), the theory is </w:t>
      </w:r>
      <w:r>
        <w:rPr>
          <w:i/>
        </w:rPr>
        <w:t>nascent</w:t>
      </w:r>
      <w:r>
        <w:t>: specified and partially instantiated, with its effect propositions reserved for future evaluation.</w:t>
      </w:r>
    </w:p>
    <w:p>
      <w:pPr>
        <w:pStyle w:val="Heading2"/>
      </w:pPr>
      <w:r>
        <w:t>2. Constructs (the theory's vocabulary)</w:t>
      </w:r>
    </w:p>
    <w:p>
      <w:pPr>
        <w:pStyle w:val="ListBullet"/>
      </w:pPr>
      <w:r>
        <w:rPr>
          <w:b/>
        </w:rPr>
        <w:t>Reusable human judgment</w:t>
      </w:r>
      <w:r>
        <w:t xml:space="preserve">  -  an expert decision about a pattern, persisted as a first-class, retrievable</w:t>
      </w:r>
    </w:p>
    <w:p>
      <w:r>
        <w:t>asset rather than a transient correction.</w:t>
      </w:r>
    </w:p>
    <w:p>
      <w:pPr>
        <w:pStyle w:val="ListBullet"/>
      </w:pPr>
      <w:r>
        <w:rPr>
          <w:b/>
        </w:rPr>
        <w:t>Provenance</w:t>
      </w:r>
      <w:r>
        <w:t xml:space="preserve">  -  the chain linking a judgment to the feedback, review item, AI classification, and cases</w:t>
      </w:r>
    </w:p>
    <w:p>
      <w:r>
        <w:t>that produced it.</w:t>
      </w:r>
    </w:p>
    <w:p>
      <w:pPr>
        <w:pStyle w:val="ListBullet"/>
      </w:pPr>
      <w:r>
        <w:rPr>
          <w:b/>
        </w:rPr>
        <w:t>Leakage status</w:t>
      </w:r>
      <w:r>
        <w:t xml:space="preserve">  -  a per-row tag recording whether (and how) memory used to inform a case derives from</w:t>
      </w:r>
    </w:p>
    <w:p>
      <w:r>
        <w:t>that same case, setting, or a different one.</w:t>
      </w:r>
    </w:p>
    <w:p>
      <w:pPr>
        <w:pStyle w:val="ListBullet"/>
      </w:pPr>
      <w:r>
        <w:rPr>
          <w:b/>
        </w:rPr>
        <w:t>Advice strength</w:t>
      </w:r>
      <w:r>
        <w:t xml:space="preserve">  -  the graded weight (none/weak/moderate/strong) of retrieved memory as advisory</w:t>
      </w:r>
    </w:p>
    <w:p>
      <w:r>
        <w:t>evidence.</w:t>
      </w:r>
    </w:p>
    <w:p>
      <w:pPr>
        <w:pStyle w:val="ListBullet"/>
      </w:pPr>
      <w:r>
        <w:rPr>
          <w:b/>
        </w:rPr>
        <w:t>Governance mode</w:t>
      </w:r>
      <w:r>
        <w:t xml:space="preserve">  -  the decision of whether a judgment may </w:t>
      </w:r>
      <w:r>
        <w:rPr>
          <w:i/>
        </w:rPr>
        <w:t>advise</w:t>
      </w:r>
      <w:r>
        <w:t xml:space="preserve">, </w:t>
      </w:r>
      <w:r>
        <w:rPr>
          <w:i/>
        </w:rPr>
        <w:t>decide</w:t>
      </w:r>
      <w:r>
        <w:t xml:space="preserve">, or </w:t>
      </w:r>
      <w:r>
        <w:rPr>
          <w:i/>
        </w:rPr>
        <w:t>escalate</w:t>
      </w:r>
      <w:r>
        <w:t>.</w:t>
      </w:r>
    </w:p>
    <w:p>
      <w:pPr>
        <w:pStyle w:val="ListBullet"/>
      </w:pPr>
      <w:r>
        <w:rPr>
          <w:b/>
        </w:rPr>
        <w:t>Evidence gate</w:t>
      </w:r>
      <w:r>
        <w:t xml:space="preserve">  -  a pre-committed threshold (by label count and reliability) bounding which claims are</w:t>
      </w:r>
    </w:p>
    <w:p>
      <w:r>
        <w:t>permissible.</w:t>
      </w:r>
    </w:p>
    <w:p>
      <w:pPr>
        <w:pStyle w:val="ListBullet"/>
      </w:pPr>
      <w:r>
        <w:rPr>
          <w:b/>
        </w:rPr>
        <w:t>Non-destruction</w:t>
      </w:r>
      <w:r>
        <w:t xml:space="preserve">  -  the invariant that the baseline AI output is never modified.</w:t>
      </w:r>
    </w:p>
    <w:p>
      <w:pPr>
        <w:pStyle w:val="ListBullet"/>
      </w:pPr>
      <w:r>
        <w:rPr>
          <w:b/>
        </w:rPr>
        <w:t>Selective intervention</w:t>
      </w:r>
      <w:r>
        <w:t xml:space="preserve">  -  escalation of cases to humans by exception, driven by the AI's own</w:t>
      </w:r>
    </w:p>
    <w:p>
      <w:r>
        <w:t>uncertainty signals.</w:t>
      </w:r>
    </w:p>
    <w:p>
      <w:pPr>
        <w:pStyle w:val="Heading2"/>
      </w:pPr>
      <w:r>
        <w:t>3. Principles of form and function</w:t>
      </w:r>
    </w:p>
    <w:p>
      <w:r>
        <w:t>Each principle states an architectural commitment (form), the purpose it serves (function), and the justificatory knowledge it draws on.</w:t>
      </w:r>
    </w:p>
    <w:tbl>
      <w:tblPr>
        <w:tblStyle w:val="TableGrid"/>
        <w:tblW w:type="dxa" w:w="9360"/>
        <w:jc w:val="left"/>
        <w:tblLayout w:type="fixed"/>
        <w:tblLook w:firstColumn="1" w:firstRow="1" w:lastColumn="0" w:lastRow="0" w:noHBand="0" w:noVBand="1" w:val="04A0"/>
        <w:tblInd w:w="120" w:type="dxa"/>
      </w:tblPr>
      <w:tblGrid>
        <w:gridCol w:w="900"/>
        <w:gridCol w:w="1985"/>
        <w:gridCol w:w="3404"/>
        <w:gridCol w:w="307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w:t>
            </w:r>
          </w:p>
        </w:tc>
        <w:tc>
          <w:tcPr>
            <w:tcW w:type="dxa" w:w="198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Principle (form)</w:t>
            </w:r>
          </w:p>
        </w:tc>
        <w:tc>
          <w:tcPr>
            <w:tcW w:type="dxa" w:w="340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Function / rationale</w:t>
            </w:r>
          </w:p>
        </w:tc>
        <w:tc>
          <w:tcPr>
            <w:tcW w:type="dxa" w:w="307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Kernel knowledge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DP1</w:t>
            </w:r>
          </w:p>
        </w:tc>
        <w:tc>
          <w:tcPr>
            <w:tcW w:type="dxa" w:w="198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Bidirectional explainability</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AI evidence and human rationale remain mutually inspectable</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XAI/traceability (Silva Mercado, 2024); HAI guidelines (Amershi et al., 2019)</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DP2</w:t>
            </w:r>
          </w:p>
        </w:tc>
        <w:tc>
          <w:tcPr>
            <w:tcW w:type="dxa" w:w="198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Structured capture</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Decisions are schema-valid and machine-actionable for reuse</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knowledge-reuse; auditability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DP3</w:t>
            </w:r>
          </w:p>
        </w:tc>
        <w:tc>
          <w:tcPr>
            <w:tcW w:type="dxa" w:w="198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Reusable provenance memory</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Judgments persist with origin, scope, and conflict status</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HITL critique of transience (Mosqueira-Rey et al., 2023)</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DP4</w:t>
            </w:r>
          </w:p>
        </w:tc>
        <w:tc>
          <w:tcPr>
            <w:tcW w:type="dxa" w:w="198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Selective intervention</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Scarce expert attention is allocated by exception</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human-on-the-loop oversight (NIST, 2023; Amershi et al., 2019)</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DP5</w:t>
            </w:r>
          </w:p>
        </w:tc>
        <w:tc>
          <w:tcPr>
            <w:tcW w:type="dxa" w:w="19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Non-destruction</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Effect can be measured against an uncontaminated baseline; value persists across model updates</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design-science evaluation (Hevner et al., 2004)</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DP6</w:t>
            </w:r>
          </w:p>
        </w:tc>
        <w:tc>
          <w:tcPr>
            <w:tcW w:type="dxa" w:w="19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Governed reuse</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Advice→decision transitions require evidence and pass gates</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accountable human oversight (NIST, 2023)</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DP7</w:t>
            </w:r>
          </w:p>
        </w:tc>
        <w:tc>
          <w:tcPr>
            <w:tcW w:type="dxa" w:w="198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Leakage-aware evaluability</w:t>
            </w:r>
          </w:p>
        </w:tc>
        <w:tc>
          <w:tcPr>
            <w:tcW w:type="dxa" w:w="3404"/>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Reuse evidence is non-circular</w:t>
            </w:r>
          </w:p>
        </w:tc>
        <w:tc>
          <w:tcPr>
            <w:tcW w:type="dxa" w:w="3071"/>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experimental validity; co-reasoning precedent (Silva et al., 2025; Tselonis et al., 2005)</w:t>
            </w:r>
          </w:p>
        </w:tc>
      </w:tr>
    </w:tbl>
    <w:p>
      <w:pPr>
        <w:spacing w:after="40"/>
      </w:pPr>
    </w:p>
    <w:p>
      <w:pPr>
        <w:pStyle w:val="Heading2"/>
      </w:pPr>
      <w:r>
        <w:t>4. Justificatory (kernel) knowledge</w:t>
      </w:r>
    </w:p>
    <w:p>
      <w:r>
        <w:t xml:space="preserve">The theory rests on three bodies of knowledge: the design-science research paradigm and its dual mechanism/effect evaluation stance (Hevner et al., 2004; Gregor &amp; Hevner, 2013; Peffers et al., 2007); the human-AI collaboration spectrum from in-the-loop through on-the-loop to co-reasoning (Mosqueira-Rey et al., 2023; NIST, 2023; Amershi et al., 2019; Silva et al., 2025; Tselonis et al., 2005); and the assessment and variability literatures that establish </w:t>
      </w:r>
      <w:r>
        <w:rPr>
          <w:i/>
        </w:rPr>
        <w:t>why</w:t>
      </w:r>
      <w:r>
        <w:t xml:space="preserve"> the task is interpretive (Bian et al., 2020; Ibáñez et al., 2025; Pohl et al., 2005; Metzger &amp; Pohl, 2014). The host system is VEGO-AI (Ahmed et al., 2026).</w:t>
      </w:r>
    </w:p>
    <w:p>
      <w:pPr>
        <w:pStyle w:val="Heading2"/>
      </w:pPr>
      <w:r>
        <w:t>5. Testable propositions</w:t>
      </w:r>
    </w:p>
    <w:p>
      <w:r>
        <w:t xml:space="preserve">The doctoral move is to state the theory as falsifiable propositions, each with its admissible test and current status. </w:t>
      </w:r>
      <w:r>
        <w:rPr>
          <w:b/>
        </w:rPr>
        <w:t>No proposition below is asserted as confirmed.</w:t>
      </w:r>
    </w:p>
    <w:p>
      <w:pPr>
        <w:pStyle w:val="ListBullet"/>
      </w:pPr>
      <w:r>
        <w:rPr>
          <w:b/>
        </w:rPr>
        <w:t>P1  -  Targeting.</w:t>
      </w:r>
      <w:r>
        <w:t xml:space="preserve"> Selective intervention concentrates expert effort on patterns more likely to be</w:t>
      </w:r>
    </w:p>
    <w:p>
      <w:r>
        <w:t xml:space="preserve">baseline errors than an unfocused review would. </w:t>
      </w:r>
      <w:r>
        <w:rPr>
          <w:i/>
        </w:rPr>
        <w:t>Test:</w:t>
      </w:r>
      <w:r>
        <w:t xml:space="preserve"> queue coverage/precision against expert errors on generalization-safe rows. </w:t>
      </w:r>
      <w:r>
        <w:rPr>
          <w:i/>
        </w:rPr>
        <w:t>Status:</w:t>
      </w:r>
      <w:r>
        <w:t xml:space="preserve"> queue rate measured (11/27 = 40.7%); error-coverage </w:t>
      </w:r>
      <w:r>
        <w:rPr>
          <w:b/>
        </w:rPr>
        <w:t>pending labels.</w:t>
      </w:r>
    </w:p>
    <w:p>
      <w:pPr>
        <w:pStyle w:val="ListBullet"/>
      </w:pPr>
      <w:r>
        <w:rPr>
          <w:b/>
        </w:rPr>
        <w:t>P2  -  Escalation without contamination.</w:t>
      </w:r>
      <w:r>
        <w:t xml:space="preserve"> Governed comparison can flag ambiguous cases for review while</w:t>
      </w:r>
    </w:p>
    <w:p>
      <w:r>
        <w:t xml:space="preserve">preserving correct baseline outputs verbatim. </w:t>
      </w:r>
      <w:r>
        <w:rPr>
          <w:i/>
        </w:rPr>
        <w:t>Test:</w:t>
      </w:r>
      <w:r>
        <w:t xml:space="preserve"> escalation precision/recall plus the non-destruction invariant. </w:t>
      </w:r>
      <w:r>
        <w:rPr>
          <w:i/>
        </w:rPr>
        <w:t>Status:</w:t>
      </w:r>
      <w:r>
        <w:t xml:space="preserve"> non-destruction </w:t>
      </w:r>
      <w:r>
        <w:rPr>
          <w:b/>
        </w:rPr>
        <w:t>demonstrated</w:t>
      </w:r>
      <w:r>
        <w:t xml:space="preserve"> (0/27 changed, const-enforced); escalation precision </w:t>
      </w:r>
      <w:r>
        <w:rPr>
          <w:b/>
        </w:rPr>
        <w:t>pending labels.</w:t>
      </w:r>
    </w:p>
    <w:p>
      <w:pPr>
        <w:pStyle w:val="ListBullet"/>
      </w:pPr>
      <w:r>
        <w:rPr>
          <w:b/>
        </w:rPr>
        <w:t>P3  -  Non-circular reuse.</w:t>
      </w:r>
      <w:r>
        <w:t xml:space="preserve"> Provenance plus leakage tagging yields reuse evidence that is not</w:t>
      </w:r>
    </w:p>
    <w:p>
      <w:r>
        <w:t xml:space="preserve">self-referential. </w:t>
      </w:r>
      <w:r>
        <w:rPr>
          <w:i/>
        </w:rPr>
        <w:t>Test:</w:t>
      </w:r>
      <w:r>
        <w:t xml:space="preserve"> generalization-safe metrics computed with same-pattern rows excluded. </w:t>
      </w:r>
      <w:r>
        <w:rPr>
          <w:i/>
        </w:rPr>
        <w:t>Status:</w:t>
      </w:r>
      <w:r>
        <w:t xml:space="preserve"> retrieval mechanism </w:t>
      </w:r>
      <w:r>
        <w:rPr>
          <w:b/>
        </w:rPr>
        <w:t>demonstrated</w:t>
      </w:r>
      <w:r>
        <w:t>; generalization-safe rows currently 0 (</w:t>
      </w:r>
      <w:r>
        <w:rPr>
          <w:b/>
        </w:rPr>
        <w:t>pending</w:t>
      </w:r>
      <w:r>
        <w:t>).</w:t>
      </w:r>
    </w:p>
    <w:p>
      <w:pPr>
        <w:pStyle w:val="ListBullet"/>
      </w:pPr>
      <w:r>
        <w:rPr>
          <w:b/>
        </w:rPr>
        <w:t>P4  -  Justified adoption.</w:t>
      </w:r>
      <w:r>
        <w:t xml:space="preserve"> A deterministic policy refinement raises agreement with experts </w:t>
      </w:r>
      <w:r>
        <w:rPr>
          <w:i/>
        </w:rPr>
        <w:t>only when</w:t>
      </w:r>
    </w:p>
    <w:p>
      <w:r>
        <w:t xml:space="preserve">justified by held-out error analysis, and </w:t>
      </w:r>
      <w:r>
        <w:rPr>
          <w:i/>
        </w:rPr>
        <w:t>without</w:t>
      </w:r>
      <w:r>
        <w:t xml:space="preserve"> increasing changed-and-wrong. </w:t>
      </w:r>
      <w:r>
        <w:rPr>
          <w:i/>
        </w:rPr>
        <w:t>Test:</w:t>
      </w:r>
      <w:r>
        <w:t xml:space="preserve"> development leave-one-pattern-out, then one-shot sealed holdout. </w:t>
      </w:r>
      <w:r>
        <w:rPr>
          <w:i/>
        </w:rPr>
        <w:t>Status:</w:t>
      </w:r>
      <w:r>
        <w:t xml:space="preserve"> </w:t>
      </w:r>
      <w:r>
        <w:rPr>
          <w:b/>
        </w:rPr>
        <w:t>conditional/gated</w:t>
      </w:r>
      <w:r>
        <w:t xml:space="preserve"> (the current policy changes 0/27 by design).</w:t>
      </w:r>
    </w:p>
    <w:p>
      <w:pPr>
        <w:pStyle w:val="ListBullet"/>
      </w:pPr>
      <w:r>
        <w:rPr>
          <w:b/>
        </w:rPr>
        <w:t>P5  -  Reviewer-grounded validity.</w:t>
      </w:r>
      <w:r>
        <w:t xml:space="preserve"> Inter-rater reliability bounds the trust placed in any effect</w:t>
      </w:r>
    </w:p>
    <w:p>
      <w:r>
        <w:t xml:space="preserve">estimate. </w:t>
      </w:r>
      <w:r>
        <w:rPr>
          <w:i/>
        </w:rPr>
        <w:t>Test:</w:t>
      </w:r>
      <w:r>
        <w:t xml:space="preserve"> Cohen's κ and adjudication rate reported with every effect figure. </w:t>
      </w:r>
      <w:r>
        <w:rPr>
          <w:i/>
        </w:rPr>
        <w:t>Status:</w:t>
      </w:r>
      <w:r>
        <w:t xml:space="preserve"> protocol ready; </w:t>
      </w:r>
      <w:r>
        <w:rPr>
          <w:b/>
        </w:rPr>
        <w:t>pending labels.</w:t>
      </w:r>
    </w:p>
    <w:p>
      <w:pPr>
        <w:pStyle w:val="ListBullet"/>
      </w:pPr>
      <w:r>
        <w:rPr>
          <w:b/>
        </w:rPr>
        <w:t>P6  -  Transferability.</w:t>
      </w:r>
      <w:r>
        <w:t xml:space="preserve"> The principles and methodology transfer across domains, diagram types, reviewer</w:t>
      </w:r>
    </w:p>
    <w:p>
      <w:r>
        <w:t xml:space="preserve">panels, and model versions. </w:t>
      </w:r>
      <w:r>
        <w:rPr>
          <w:i/>
        </w:rPr>
        <w:t>Test:</w:t>
      </w:r>
      <w:r>
        <w:t xml:space="preserve"> cross-setting, cross-diagram, and multi-reviewer studies. </w:t>
      </w:r>
      <w:r>
        <w:rPr>
          <w:i/>
        </w:rPr>
        <w:t>Status:</w:t>
      </w:r>
      <w:r>
        <w:t xml:space="preserve"> </w:t>
      </w:r>
      <w:r>
        <w:rPr>
          <w:b/>
        </w:rPr>
        <w:t>PhD-scale</w:t>
      </w:r>
      <w:r>
        <w:t>; five cross-setting rows seed it; otherwise untested.</w:t>
      </w:r>
    </w:p>
    <w:p>
      <w:pPr>
        <w:pStyle w:val="Heading2"/>
      </w:pPr>
      <w:r>
        <w:t>6. Boundary conditions</w:t>
      </w:r>
    </w:p>
    <w:p>
      <w:r>
        <w:t>The theory applies where assessment is interpretive, benchmarks are scarce or contaminated, experts may disagree, and reuse retains value across model updates. It does not apply where authoritative ground truth exists and correctness is unambiguous. Its claims weaken as samples shrink and as reviewer agreement falls; both are therefore reported, never assumed.</w:t>
      </w:r>
    </w:p>
    <w:p>
      <w:pPr>
        <w:pStyle w:val="Heading2"/>
      </w:pPr>
      <w:r>
        <w:t>7. Evaluation criteria for the theory</w:t>
      </w:r>
    </w:p>
    <w:p>
      <w:r>
        <w:t xml:space="preserve">Three levels, matching the evidence gates: </w:t>
      </w:r>
      <w:r>
        <w:rPr>
          <w:b/>
        </w:rPr>
        <w:t>mechanism validity</w:t>
      </w:r>
      <w:r>
        <w:t xml:space="preserve"> (assessable now, by inspection and tests); </w:t>
      </w:r>
      <w:r>
        <w:rPr>
          <w:b/>
        </w:rPr>
        <w:t>empirical effect</w:t>
      </w:r>
      <w:r>
        <w:t xml:space="preserve"> (gated on ≥20 generalization-safe labels); and </w:t>
      </w:r>
      <w:r>
        <w:rPr>
          <w:b/>
        </w:rPr>
        <w:t>generalization</w:t>
      </w:r>
      <w:r>
        <w:t xml:space="preserve"> (PhD-scale, multiple runs and reviewers). A nascent design theory is judged first on the coherence and instantiability of its principles, and only later on confirmation of its effect propositions.</w:t>
      </w:r>
    </w:p>
    <w:p>
      <w:pPr>
        <w:pStyle w:val="Heading2"/>
      </w:pPr>
      <w:r>
        <w:t>8. Contribution positioning</w:t>
      </w:r>
    </w:p>
    <w:p>
      <w:r>
        <w:t xml:space="preserve">In Gregor &amp; Hevner's (2013) terms the work contributes at two levels: a </w:t>
      </w:r>
      <w:r>
        <w:rPr>
          <w:b/>
        </w:rPr>
        <w:t>Level-1 situated implementation</w:t>
      </w:r>
      <w:r>
        <w:t xml:space="preserve"> (the VEGO-AI artifact, Ch 5) and a </w:t>
      </w:r>
      <w:r>
        <w:rPr>
          <w:b/>
        </w:rPr>
        <w:t>Level-2 nascent design theory</w:t>
      </w:r>
      <w:r>
        <w:t xml:space="preserve"> (this chapter). The doctoral contribution is the </w:t>
      </w:r>
      <w:r>
        <w:rPr>
          <w:i/>
        </w:rPr>
        <w:t>governed-reuse theory</w:t>
      </w:r>
      <w:r>
        <w:t xml:space="preserve"> together with its </w:t>
      </w:r>
      <w:r>
        <w:rPr>
          <w:i/>
        </w:rPr>
        <w:t>bias-controlled evaluation methodology</w:t>
      </w:r>
      <w:r>
        <w:t xml:space="preserve">, of which VEGO-AI is one instantiation. The propositions map to the PhD research questions: P-RQ1↔DP4/P1; P-RQ2↔DP2/DP3; P-RQ3↔P1-P3; P-RQ4↔DP6/P4; P-RQ5↔P6. This abstraction is what turns </w:t>
      </w:r>
      <w:r>
        <w:rPr>
          <w:i/>
        </w:rPr>
        <w:t>"we built a system"</w:t>
      </w:r>
      <w:r>
        <w:t xml:space="preserve"> into </w:t>
      </w:r>
      <w:r>
        <w:rPr>
          <w:i/>
        </w:rPr>
        <w:t>"we propose principles and falsifiable propositions about a class of systems"</w:t>
      </w:r>
      <w:r>
        <w:t xml:space="preserve">  -  the standard expected of doctoral design-science work.</w:t>
      </w:r>
    </w:p>
    <w:p>
      <w:pPr>
        <w:pStyle w:val="Heading1"/>
        <w:pageBreakBefore/>
      </w:pPr>
      <w:r>
        <w:t>References</w:t>
      </w:r>
    </w:p>
    <w:p>
      <w:r>
        <w:t xml:space="preserve">Ahmed, A., et al. (2026). Not All Differences Matter: Variability Exploration of Domain Models via Agentic AI. </w:t>
      </w:r>
      <w:r>
        <w:rPr>
          <w:i/>
        </w:rPr>
        <w:t>Proceedings of the MAS4Models Workshop at MODELS 2026</w:t>
      </w:r>
      <w:r>
        <w:t>. (To appear.)</w:t>
      </w:r>
    </w:p>
    <w:p>
      <w:r>
        <w:t xml:space="preserve">Ahmed, K., Song, J., Chen, B., Wei, O., &amp; Zheng, B. (2025). MCeT: Behavioral Model Correctness Evaluation using Large Language Models. </w:t>
      </w:r>
      <w:r>
        <w:rPr>
          <w:i/>
        </w:rPr>
        <w:t>Proceedings of the ACM/IEEE 28th International Conference on Model Driven Engineering Languages and Systems (MODELS)</w:t>
      </w:r>
      <w:r>
        <w:t>, 84-95.</w:t>
      </w:r>
    </w:p>
    <w:p>
      <w:r>
        <w:t xml:space="preserve">Ali, S. J., Reinhartz-Berger, I., &amp; Bork, D. (2024). How are LLMs used for conceptual modeling? An exploratory study on interaction behavior and user perception. </w:t>
      </w:r>
      <w:r>
        <w:rPr>
          <w:i/>
        </w:rPr>
        <w:t>International Conference on Conceptual Modeling</w:t>
      </w:r>
      <w:r>
        <w:t>, 257-275. Springer.</w:t>
      </w:r>
    </w:p>
    <w:p>
      <w:r>
        <w:t xml:space="preserve">Amershi, S., Weld, D., Vorvoreanu, M., Fourney, A., Nushi, B., Collisson, P., Suh, J., Iqbal, S., Bennett, P. N., Inkpen, K., Teevan, J., Kiber, R., &amp; Horvitz, E. (2019). Guidelines for Human-AI Interaction. </w:t>
      </w:r>
      <w:r>
        <w:rPr>
          <w:i/>
        </w:rPr>
        <w:t>Proceedings of the 2019 CHI Conference on Human Factors in Computing Systems (CHI '19)</w:t>
      </w:r>
      <w:r>
        <w:t>. https://doi.org/10.1145/3290605.3300233</w:t>
      </w:r>
    </w:p>
    <w:p>
      <w:r>
        <w:t xml:space="preserve">Ananieva, S., Greiner, S., Kühn, T., Krüger, J., Linsbauer, L., Grüner, S., Kehrer, T., Klare, H., Schulze, A., Reiter, S., Reuling, D., &amp; Westfechtel, B. (2022). A conceptual model for unifying variability in space and time. </w:t>
      </w:r>
      <w:r>
        <w:rPr>
          <w:i/>
        </w:rPr>
        <w:t>Empirical Software Engineering</w:t>
      </w:r>
      <w:r>
        <w:t>, 27(5), 101.</w:t>
      </w:r>
    </w:p>
    <w:p>
      <w:r>
        <w:t xml:space="preserve">Auxepaules, L., Py, D., &amp; Lemeunier, T. (2008). A diagnosis method that matches class diagrams in a learning environment for object-oriented modeling. </w:t>
      </w:r>
      <w:r>
        <w:rPr>
          <w:i/>
        </w:rPr>
        <w:t>8th IEEE International Conference on Advanced Learning Technologies (ICALT)</w:t>
      </w:r>
      <w:r>
        <w:t>, 26-30.</w:t>
      </w:r>
    </w:p>
    <w:p>
      <w:r>
        <w:t xml:space="preserve">Bian, W., Alam, O., &amp; Kienzle, J. (2019). Automated grading of class diagrams. </w:t>
      </w:r>
      <w:r>
        <w:rPr>
          <w:i/>
        </w:rPr>
        <w:t>MODELS Companion (MODELSC)</w:t>
      </w:r>
      <w:r>
        <w:t>, 700-709. IEEE.</w:t>
      </w:r>
    </w:p>
    <w:p>
      <w:r>
        <w:t xml:space="preserve">Bian, W., Alam, O., &amp; Kienzle, J. (2020). Is automated grading of models effective? Assessing automated grading of class diagrams. </w:t>
      </w:r>
      <w:r>
        <w:rPr>
          <w:i/>
        </w:rPr>
        <w:t>23rd ACM/IEEE International Conference on Model Driven Engineering Languages and Systems (MODELS)</w:t>
      </w:r>
      <w:r>
        <w:t>, 365-376.</w:t>
      </w:r>
    </w:p>
    <w:p>
      <w:r>
        <w:t xml:space="preserve">Bouali, N., Gerhold, M., Rehman, T. U., &amp; Ahmed, F. (2025). Toward Automated UML Diagram Assessment: Comparing LLM-Generated Scores with Teaching Assistants. </w:t>
      </w:r>
      <w:r>
        <w:rPr>
          <w:i/>
        </w:rPr>
        <w:t>Proceedings of the 17th International Conference on Computer Supported Education (CSEDU)</w:t>
      </w:r>
      <w:r>
        <w:t>, 158-169.</w:t>
      </w:r>
    </w:p>
    <w:p>
      <w:r>
        <w:t xml:space="preserve">Bragilovski, M., van Can, A. T., Dalpiaz, F., &amp; Sturm, A. (2025). Leveraging machines to derive domain models from user stories. </w:t>
      </w:r>
      <w:r>
        <w:rPr>
          <w:i/>
        </w:rPr>
        <w:t>Requirements Engineering</w:t>
      </w:r>
      <w:r>
        <w:t>, 30(2), 241-262.</w:t>
      </w:r>
    </w:p>
    <w:p>
      <w:r>
        <w:t xml:space="preserve">Calamo, M., Mecella, M., &amp; Snoeck, M. (2025). Assessing the Suitability of Large Language Models in Generating UML Class Diagrams as Conceptual Models. </w:t>
      </w:r>
      <w:r>
        <w:rPr>
          <w:i/>
        </w:rPr>
        <w:t>International Conference on Business Process Modeling, Development and Support (BPMDS)</w:t>
      </w:r>
      <w:r>
        <w:t>, 211-226. Springer.</w:t>
      </w:r>
    </w:p>
    <w:p>
      <w:r>
        <w:t xml:space="preserve">Cámara, J., Troya, J., Burgueño, L., &amp; Vallecillo, A. (2023). On the assessment of generative AI in modeling tasks: an experience report with ChatGPT and UML. </w:t>
      </w:r>
      <w:r>
        <w:rPr>
          <w:i/>
        </w:rPr>
        <w:t>Software and Systems Modeling</w:t>
      </w:r>
      <w:r>
        <w:t>, 22(3), 781-793.</w:t>
      </w:r>
    </w:p>
    <w:p>
      <w:r>
        <w:t xml:space="preserve">Chaaben, M. B., Burgueño, L., David, I., &amp; Sahraoui, H. (2024). On the utility of domain modeling assistance with large language models. </w:t>
      </w:r>
      <w:r>
        <w:rPr>
          <w:i/>
        </w:rPr>
        <w:t>arXiv:2410.12577</w:t>
      </w:r>
      <w:r>
        <w:t>.</w:t>
      </w:r>
    </w:p>
    <w:p>
      <w:r>
        <w:t xml:space="preserve">Chen, K., Chen, B., Yang, Y., Mussbacher, G., &amp; Varró, D. (2024). Embedding-based Automated Assessment of Domain Models. </w:t>
      </w:r>
      <w:r>
        <w:rPr>
          <w:i/>
        </w:rPr>
        <w:t>MODELS Companion '24</w:t>
      </w:r>
      <w:r>
        <w:t>, 87-94.</w:t>
      </w:r>
    </w:p>
    <w:p>
      <w:r>
        <w:t xml:space="preserve">Dam, H. K. (2025). Towards Multi-Agentic AI for automated software design and modelling. </w:t>
      </w:r>
      <w:r>
        <w:rPr>
          <w:i/>
        </w:rPr>
        <w:t>Proceedings of the ASE Workshop (ASEW 2025)</w:t>
      </w:r>
      <w:r>
        <w:t>, 311-314.</w:t>
      </w:r>
    </w:p>
    <w:p>
      <w:r>
        <w:t xml:space="preserve">El-Sharkawy, S., Yamagishi-Eichler, N., &amp; Schmid, K. (2019). Metrics for analyzing variability and its implementation in software product lines: A systematic literature review. </w:t>
      </w:r>
      <w:r>
        <w:rPr>
          <w:i/>
        </w:rPr>
        <w:t>Information and Software Technology</w:t>
      </w:r>
      <w:r>
        <w:t>, 106, 1-30.</w:t>
      </w:r>
    </w:p>
    <w:p>
      <w:r>
        <w:t xml:space="preserve">Ferrari, A., Abualhaija, S., &amp; Arora, C. (2024). Model generation with LLMs: From requirements to UML sequence diagrams. </w:t>
      </w:r>
      <w:r>
        <w:rPr>
          <w:i/>
        </w:rPr>
        <w:t>IEEE International Requirements Engineering Workshops (REW)</w:t>
      </w:r>
      <w:r>
        <w:t>, 291-300.</w:t>
      </w:r>
    </w:p>
    <w:p>
      <w:r>
        <w:t xml:space="preserve">Galster, M., Weyns, D., Tofan, D., Michalik, B., &amp; Avgeriou, P. (2013). Variability in software systems  -  a systematic literature review. </w:t>
      </w:r>
      <w:r>
        <w:rPr>
          <w:i/>
        </w:rPr>
        <w:t>IEEE Transactions on Software Engineering</w:t>
      </w:r>
      <w:r>
        <w:t>, 40(3), 282-306.</w:t>
      </w:r>
    </w:p>
    <w:p>
      <w:r>
        <w:t xml:space="preserve">Gregor, S., &amp; Hevner, A. R. (2013). Positioning and presenting design science research for maximum impact. </w:t>
      </w:r>
      <w:r>
        <w:rPr>
          <w:i/>
        </w:rPr>
        <w:t>MIS Quarterly</w:t>
      </w:r>
      <w:r>
        <w:t>, 37(2), 337-355.</w:t>
      </w:r>
    </w:p>
    <w:p>
      <w:r>
        <w:t xml:space="preserve">Hamann, M., Götz, S., &amp; Aßmann, U. (2024). Towards an Interoperable Model-driven Automated Assessment System for Computer Science Education. </w:t>
      </w:r>
      <w:r>
        <w:rPr>
          <w:i/>
        </w:rPr>
        <w:t>MODELS Companion '24</w:t>
      </w:r>
      <w:r>
        <w:t>, 95-102.</w:t>
      </w:r>
    </w:p>
    <w:p>
      <w:r>
        <w:t xml:space="preserve">Hevner, A. R., March, S. T., Park, J., &amp; Ram, S. (2004). Design science in information systems research. </w:t>
      </w:r>
      <w:r>
        <w:rPr>
          <w:i/>
        </w:rPr>
        <w:t>MIS Quarterly</w:t>
      </w:r>
      <w:r>
        <w:t>, 28(1), 75-105.</w:t>
      </w:r>
    </w:p>
    <w:p>
      <w:r>
        <w:t xml:space="preserve">Ibáñez, M. B., Barrón-Estrada, M. L., &amp; Zatarain-Cabada, R. (2025). Can multimodal large language models grade like an expert? A study on UML class diagram assessment accuracy. </w:t>
      </w:r>
      <w:r>
        <w:rPr>
          <w:i/>
        </w:rPr>
        <w:t>Computer Applications in Engineering Education</w:t>
      </w:r>
      <w:r>
        <w:t>, 33(5).</w:t>
      </w:r>
    </w:p>
    <w:p>
      <w:r>
        <w:t xml:space="preserve">Jin, H., Huang, L., Cai, H., Yan, J., Li, B., &amp; Chen, H. (2024). From LLMs to LLM-based agents for software engineering: A survey. </w:t>
      </w:r>
      <w:r>
        <w:rPr>
          <w:i/>
        </w:rPr>
        <w:t>arXiv:2408.02479</w:t>
      </w:r>
      <w:r>
        <w:t>.</w:t>
      </w:r>
    </w:p>
    <w:p>
      <w:r>
        <w:t xml:space="preserve">Klievtsova, N., Benzin, J.-V., Kampik, T., Mangler, J., &amp; Rinderle-Ma, S. (2023). Conversational process modelling: State of the art, applications, and implications in practice. </w:t>
      </w:r>
      <w:r>
        <w:rPr>
          <w:i/>
        </w:rPr>
        <w:t>BPM Forum 2023</w:t>
      </w:r>
      <w:r>
        <w:t>, 319-336. Springer.</w:t>
      </w:r>
    </w:p>
    <w:p>
      <w:r>
        <w:t xml:space="preserve">Metzger, A., &amp; Pohl, K. (2014). Software product line engineering and variability management: achievements and challenges. </w:t>
      </w:r>
      <w:r>
        <w:rPr>
          <w:i/>
        </w:rPr>
        <w:t>Future of Software Engineering (FOSE)</w:t>
      </w:r>
      <w:r>
        <w:t>, 70-84.</w:t>
      </w:r>
    </w:p>
    <w:p>
      <w:r>
        <w:t xml:space="preserve">Mosqueira-Rey, E., Hernández-Pereira, E., Alonso-Ríos, D., Bobes-Bascarán, J., &amp; Fernández-Leal, Á. (2023). Human-in-the-loop machine learning: a state of the art. </w:t>
      </w:r>
      <w:r>
        <w:rPr>
          <w:i/>
        </w:rPr>
        <w:t>Artificial Intelligence Review</w:t>
      </w:r>
      <w:r>
        <w:t>, 56, 3005-3054.</w:t>
      </w:r>
    </w:p>
    <w:p>
      <w:r>
        <w:t xml:space="preserve">National Institute of Standards and Technology. (2023). </w:t>
      </w:r>
      <w:r>
        <w:rPr>
          <w:i/>
        </w:rPr>
        <w:t>Artificial Intelligence Risk Management Framework (AI RMF 1.0)</w:t>
      </w:r>
      <w:r>
        <w:t>. NIST AI 100-1. https://doi.org/10.6028/NIST.AI.100-1</w:t>
      </w:r>
    </w:p>
    <w:p>
      <w:r>
        <w:t xml:space="preserve">Peffers, K., Tuunanen, T., Rothenberger, M. A., &amp; Chatterjee, S. (2007). A design science research methodology for information systems research. </w:t>
      </w:r>
      <w:r>
        <w:rPr>
          <w:i/>
        </w:rPr>
        <w:t>Journal of Management Information Systems</w:t>
      </w:r>
      <w:r>
        <w:t>, 24(3), 45-77.</w:t>
      </w:r>
    </w:p>
    <w:p>
      <w:r>
        <w:t xml:space="preserve">Pohl, K., Böckle, G., &amp; Van Der Linden, F. (2005). </w:t>
      </w:r>
      <w:r>
        <w:rPr>
          <w:i/>
        </w:rPr>
        <w:t>Software product line engineering: foundations, principles, and techniques</w:t>
      </w:r>
      <w:r>
        <w:t>. Springer.</w:t>
      </w:r>
    </w:p>
    <w:p>
      <w:r>
        <w:t xml:space="preserve">Pol'la, M., Buccella, A., &amp; Cechich, A. (2021). Analysis of variability models: a systematic literature review. </w:t>
      </w:r>
      <w:r>
        <w:rPr>
          <w:i/>
        </w:rPr>
        <w:t>Software and Systems Modeling</w:t>
      </w:r>
      <w:r>
        <w:t>, 20, 1043-1077.</w:t>
      </w:r>
    </w:p>
    <w:p>
      <w:r>
        <w:t xml:space="preserve">Rajbhoj, A., Somase, A., Sant, T., Vale, S., &amp; Kulkarni, V. (2025). LLM4Model: Automated Requirements Specification Model Authoring. </w:t>
      </w:r>
      <w:r>
        <w:rPr>
          <w:i/>
        </w:rPr>
        <w:t>International Conference on Advanced Information Systems Engineering (CAiSE)</w:t>
      </w:r>
      <w:r>
        <w:t>, 128-136. Springer.</w:t>
      </w:r>
    </w:p>
    <w:p>
      <w:r>
        <w:t xml:space="preserve">Rosa, M. L., van der Aalst, W. M. P., Dumas, M., &amp; Milani, F. P. (2017). Business process variability modeling: A survey. </w:t>
      </w:r>
      <w:r>
        <w:rPr>
          <w:i/>
        </w:rPr>
        <w:t>ACM Computing Surveys</w:t>
      </w:r>
      <w:r>
        <w:t>, 50(1), 1-45.</w:t>
      </w:r>
    </w:p>
    <w:p>
      <w:r>
        <w:t xml:space="preserve">Sami, M. A., Waseem, M., Rasheed, Z., Saari, M., Systä, K., &amp; Abrahamsson, P. (2024). Experimenting with multi-agent software development: Towards a unified platform. </w:t>
      </w:r>
      <w:r>
        <w:rPr>
          <w:i/>
        </w:rPr>
        <w:t>arXiv:2406.05381</w:t>
      </w:r>
      <w:r>
        <w:t>.</w:t>
      </w:r>
    </w:p>
    <w:p>
      <w:r>
        <w:t xml:space="preserve">Silva, J., Ma, Q., Cabot, J., Kelsen, P., &amp; Proper, H. A. (2025). Towards Human-in-the-Loop LLM-Enabled Domain Modeling. </w:t>
      </w:r>
      <w:r>
        <w:rPr>
          <w:i/>
        </w:rPr>
        <w:t>International Conference on Conceptual Modeling</w:t>
      </w:r>
      <w:r>
        <w:t>, 127-145. Springer.</w:t>
      </w:r>
    </w:p>
    <w:p>
      <w:r>
        <w:t xml:space="preserve">Silva Mercado, J. (2024). AI Assisted Domain Modeling Explainability and Traceability. </w:t>
      </w:r>
      <w:r>
        <w:rPr>
          <w:i/>
        </w:rPr>
        <w:t>MODELS Companion 2024</w:t>
      </w:r>
      <w:r>
        <w:t>. https://doi.org/10.1145/3652620.3688197</w:t>
      </w:r>
    </w:p>
    <w:p>
      <w:r>
        <w:t xml:space="preserve">Singh, P., Boubekeur, Y., &amp; Mussbacher, G. (2022). Detecting mistakes in a domain model. </w:t>
      </w:r>
      <w:r>
        <w:rPr>
          <w:i/>
        </w:rPr>
        <w:t>MODELS '22 Companion</w:t>
      </w:r>
      <w:r>
        <w:t>, 257-266.</w:t>
      </w:r>
    </w:p>
    <w:p>
      <w:r>
        <w:t xml:space="preserve">Tselonis, C., Sargeant, J., &amp; Wood, M. M. (2005). Diagram matching for human-computer collaborative assessment. </w:t>
      </w:r>
      <w:r>
        <w:rPr>
          <w:i/>
        </w:rPr>
        <w:t>9th International Computer Assisted Assessment Conference</w:t>
      </w:r>
      <w:r>
        <w:t>.</w:t>
      </w:r>
    </w:p>
    <w:p>
      <w:pPr>
        <w:pStyle w:val="Heading1"/>
        <w:pageBreakBefore/>
      </w:pPr>
      <w:r>
        <w:t>Appendix A  -  Supplementary Materials</w:t>
      </w:r>
    </w:p>
    <w:p>
      <w:pPr>
        <w:pStyle w:val="Heading2"/>
      </w:pPr>
      <w:r>
        <w:t>A.1 M4B-1 policy table (complete)</w:t>
      </w:r>
    </w:p>
    <w:p>
      <w:r>
        <w:t xml:space="preserve">The deterministic comparison policy maps each combination of advisory evidence to an outcome. The policy version is </w:t>
      </w:r>
      <w:r>
        <w:rPr>
          <w:rFonts w:ascii="Consolas" w:hAnsi="Consolas"/>
          <w:color w:val="1F4D78"/>
          <w:sz w:val="18"/>
        </w:rPr>
        <w:t>memory-informed-classifier-v1</w:t>
      </w:r>
      <w:r>
        <w:t>.</w:t>
      </w:r>
    </w:p>
    <w:tbl>
      <w:tblPr>
        <w:tblStyle w:val="TableGrid"/>
        <w:tblW w:type="dxa" w:w="9360"/>
        <w:jc w:val="left"/>
        <w:tblLayout w:type="fixed"/>
        <w:tblLook w:firstColumn="1" w:firstRow="1" w:lastColumn="0" w:lastRow="0" w:noHBand="0" w:noVBand="1" w:val="04A0"/>
        <w:tblInd w:w="120" w:type="dxa"/>
      </w:tblPr>
      <w:tblGrid>
        <w:gridCol w:w="900"/>
        <w:gridCol w:w="968"/>
        <w:gridCol w:w="1485"/>
        <w:gridCol w:w="968"/>
        <w:gridCol w:w="3098"/>
        <w:gridCol w:w="194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Advice strength</w:t>
            </w:r>
          </w:p>
        </w:tc>
        <w:tc>
          <w:tcPr>
            <w:tcW w:type="dxa" w:w="1485"/>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Agreement with original</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Conflict status</w:t>
            </w:r>
          </w:p>
        </w:tc>
        <w:tc>
          <w:tcPr>
            <w:tcW w:type="dxa" w:w="309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Outcome</w:t>
            </w:r>
          </w:p>
        </w:tc>
        <w:tc>
          <w:tcPr>
            <w:tcW w:type="dxa" w:w="1941"/>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requires_human_review_after_memory</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1</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none</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2</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weak</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3</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4</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5</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6</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Propose memory-supported alternative (parallel artifact only)</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7</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any</w:t>
            </w:r>
          </w:p>
        </w:tc>
        <w:tc>
          <w:tcPr>
            <w:tcW w:type="dxa" w:w="148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conflicting</w:t>
            </w:r>
          </w:p>
        </w:tc>
        <w:tc>
          <w:tcPr>
            <w:tcW w:type="dxa" w:w="3098"/>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true</w:t>
            </w:r>
          </w:p>
        </w:tc>
      </w:tr>
    </w:tbl>
    <w:p>
      <w:pPr>
        <w:spacing w:after="40"/>
      </w:pPr>
    </w:p>
    <w:p>
      <w:r>
        <w:t>Under the current data, row 4 is exercised by the "Customer as actor" pattern (ucd_ch P6). Rows 6 and 7 have not been exercised because no strong-disagreement or conflicting-memory cases exist in the current run. The policy changes zero of 27 classifications.</w:t>
      </w:r>
    </w:p>
    <w:p>
      <w:pPr>
        <w:pStyle w:val="Heading2"/>
      </w:pPr>
      <w:r>
        <w:t>A.2 Schema overview</w:t>
      </w:r>
    </w:p>
    <w:p>
      <w:r>
        <w:t>The artifact chain uses six JSON schemas, each enforcing structural contracts at write time:</w:t>
      </w:r>
    </w:p>
    <w:tbl>
      <w:tblPr>
        <w:tblStyle w:val="TableGrid"/>
        <w:tblW w:type="dxa" w:w="9360"/>
        <w:jc w:val="left"/>
        <w:tblLayout w:type="fixed"/>
        <w:tblLook w:firstColumn="1" w:firstRow="1" w:lastColumn="0" w:lastRow="0" w:noHBand="0" w:noVBand="1" w:val="04A0"/>
        <w:tblInd w:w="120" w:type="dxa"/>
      </w:tblPr>
      <w:tblGrid>
        <w:gridCol w:w="3900"/>
        <w:gridCol w:w="900"/>
        <w:gridCol w:w="4560"/>
      </w:tblGrid>
      <w:tr>
        <w:trPr>
          <w:cantSplit/>
          <w:tblHeader w:val="true"/>
        </w:trPr>
        <w:tc>
          <w:tcPr>
            <w:tcW w:type="dxa" w:w="3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Schema file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Layer</w:t>
            </w:r>
          </w:p>
        </w:tc>
        <w:tc>
          <w:tcPr>
            <w:tcW w:type="dxa" w:w="456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Key enforced fields</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human_review_queue.schema.json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M1</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review_id</w:t>
            </w:r>
            <w:r>
              <w:rPr>
                <w:rFonts w:ascii="Calibri" w:hAnsi="Calibri"/>
                <w:b w:val="0"/>
                <w:color w:val="1E232A"/>
                <w:sz w:val="18"/>
              </w:rPr>
              <w:t xml:space="preserve">, </w:t>
            </w:r>
            <w:r>
              <w:rPr>
                <w:rFonts w:ascii="Calibri" w:hAnsi="Calibri"/>
                <w:b w:val="0"/>
                <w:color w:val="1E232A"/>
                <w:sz w:val="18"/>
              </w:rPr>
              <w:t>review_signature</w:t>
            </w:r>
            <w:r>
              <w:rPr>
                <w:rFonts w:ascii="Calibri" w:hAnsi="Calibri"/>
                <w:b w:val="0"/>
                <w:color w:val="1E232A"/>
                <w:sz w:val="18"/>
              </w:rPr>
              <w:t xml:space="preserve">, </w:t>
            </w:r>
            <w:r>
              <w:rPr>
                <w:rFonts w:ascii="Calibri" w:hAnsi="Calibri"/>
                <w:b w:val="0"/>
                <w:color w:val="1E232A"/>
                <w:sz w:val="18"/>
              </w:rPr>
              <w:t>source_pattern_id</w:t>
            </w:r>
            <w:r>
              <w:rPr>
                <w:rFonts w:ascii="Calibri" w:hAnsi="Calibri"/>
                <w:b w:val="0"/>
                <w:color w:val="1E232A"/>
                <w:sz w:val="18"/>
              </w:rPr>
              <w:t xml:space="preserve">, </w:t>
            </w:r>
            <w:r>
              <w:rPr>
                <w:rFonts w:ascii="Calibri" w:hAnsi="Calibri"/>
                <w:b w:val="0"/>
                <w:color w:val="1E232A"/>
                <w:sz w:val="18"/>
              </w:rPr>
              <w:t>trigger_reasons</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human_feedback.schema.json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M2</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decision</w:t>
            </w:r>
            <w:r>
              <w:rPr>
                <w:rFonts w:ascii="Calibri" w:hAnsi="Calibri"/>
                <w:b w:val="0"/>
                <w:color w:val="1E232A"/>
                <w:sz w:val="18"/>
              </w:rPr>
              <w:t xml:space="preserve"> (enum), </w:t>
            </w:r>
            <w:r>
              <w:rPr>
                <w:rFonts w:ascii="Calibri" w:hAnsi="Calibri"/>
                <w:b w:val="0"/>
                <w:color w:val="1E232A"/>
                <w:sz w:val="18"/>
              </w:rPr>
              <w:t>rationale</w:t>
            </w:r>
            <w:r>
              <w:rPr>
                <w:rFonts w:ascii="Calibri" w:hAnsi="Calibri"/>
                <w:b w:val="0"/>
                <w:color w:val="1E232A"/>
                <w:sz w:val="18"/>
              </w:rPr>
              <w:t xml:space="preserve"> (required for non-approve), </w:t>
            </w:r>
            <w:r>
              <w:rPr>
                <w:rFonts w:ascii="Calibri" w:hAnsi="Calibri"/>
                <w:b w:val="0"/>
                <w:color w:val="1E232A"/>
                <w:sz w:val="18"/>
              </w:rPr>
              <w:t>reviewer_id</w:t>
            </w:r>
            <w:r>
              <w:rPr>
                <w:rFonts w:ascii="Calibri" w:hAnsi="Calibri"/>
                <w:b w:val="0"/>
                <w:color w:val="1E232A"/>
                <w:sz w:val="18"/>
              </w:rPr>
              <w:t xml:space="preserve">, </w:t>
            </w:r>
            <w:r>
              <w:rPr>
                <w:rFonts w:ascii="Calibri" w:hAnsi="Calibri"/>
                <w:b w:val="0"/>
                <w:color w:val="1E232A"/>
                <w:sz w:val="18"/>
              </w:rPr>
              <w:t>timestamp</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human_judgment.schema.json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M3</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memory_id</w:t>
            </w:r>
            <w:r>
              <w:rPr>
                <w:rFonts w:ascii="Calibri" w:hAnsi="Calibri"/>
                <w:b w:val="0"/>
                <w:color w:val="1E232A"/>
                <w:sz w:val="18"/>
              </w:rPr>
              <w:t xml:space="preserve">, </w:t>
            </w:r>
            <w:r>
              <w:rPr>
                <w:rFonts w:ascii="Calibri" w:hAnsi="Calibri"/>
                <w:b w:val="0"/>
                <w:color w:val="1E232A"/>
                <w:sz w:val="18"/>
              </w:rPr>
              <w:t>memory_signature</w:t>
            </w:r>
            <w:r>
              <w:rPr>
                <w:rFonts w:ascii="Calibri" w:hAnsi="Calibri"/>
                <w:b w:val="0"/>
                <w:color w:val="1E232A"/>
                <w:sz w:val="18"/>
              </w:rPr>
              <w:t xml:space="preserve">, </w:t>
            </w:r>
            <w:r>
              <w:rPr>
                <w:rFonts w:ascii="Calibri" w:hAnsi="Calibri"/>
                <w:b w:val="0"/>
                <w:color w:val="1E232A"/>
                <w:sz w:val="18"/>
              </w:rPr>
              <w:t>source_review_id</w:t>
            </w:r>
            <w:r>
              <w:rPr>
                <w:rFonts w:ascii="Calibri" w:hAnsi="Calibri"/>
                <w:b w:val="0"/>
                <w:color w:val="1E232A"/>
                <w:sz w:val="18"/>
              </w:rPr>
              <w:t xml:space="preserve">, </w:t>
            </w:r>
            <w:r>
              <w:rPr>
                <w:rFonts w:ascii="Calibri" w:hAnsi="Calibri"/>
                <w:b w:val="0"/>
                <w:color w:val="1E232A"/>
                <w:sz w:val="18"/>
              </w:rPr>
              <w:t>reuse_scope</w:t>
            </w:r>
            <w:r>
              <w:rPr>
                <w:rFonts w:ascii="Calibri" w:hAnsi="Calibri"/>
                <w:b w:val="0"/>
                <w:color w:val="1E232A"/>
                <w:sz w:val="18"/>
              </w:rPr>
              <w:t xml:space="preserve">, </w:t>
            </w:r>
            <w:r>
              <w:rPr>
                <w:rFonts w:ascii="Calibri" w:hAnsi="Calibri"/>
                <w:b w:val="0"/>
                <w:color w:val="1E232A"/>
                <w:sz w:val="18"/>
              </w:rPr>
              <w:t>conflict_status</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memory_advice.schema.json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M4A</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advice_strength</w:t>
            </w:r>
            <w:r>
              <w:rPr>
                <w:rFonts w:ascii="Calibri" w:hAnsi="Calibri"/>
                <w:b w:val="0"/>
                <w:color w:val="1E232A"/>
                <w:sz w:val="18"/>
              </w:rPr>
              <w:t xml:space="preserve"> (enum), </w:t>
            </w:r>
            <w:r>
              <w:rPr>
                <w:rFonts w:ascii="Calibri" w:hAnsi="Calibri"/>
                <w:b w:val="0"/>
                <w:color w:val="1E232A"/>
                <w:sz w:val="18"/>
              </w:rPr>
              <w:t>match_reasons</w:t>
            </w:r>
            <w:r>
              <w:rPr>
                <w:rFonts w:ascii="Calibri" w:hAnsi="Calibri"/>
                <w:b w:val="0"/>
                <w:color w:val="1E232A"/>
                <w:sz w:val="18"/>
              </w:rPr>
              <w:t xml:space="preserve">, </w:t>
            </w:r>
            <w:r>
              <w:rPr>
                <w:rFonts w:ascii="Calibri" w:hAnsi="Calibri"/>
                <w:b w:val="0"/>
                <w:color w:val="1E232A"/>
                <w:sz w:val="18"/>
              </w:rPr>
              <w:t>advice_mode = "advisory_only"</w:t>
            </w:r>
            <w:r>
              <w:rPr>
                <w:rFonts w:ascii="Calibri" w:hAnsi="Calibri"/>
                <w:b w:val="0"/>
                <w:color w:val="1E232A"/>
                <w:sz w:val="18"/>
              </w:rPr>
              <w:t xml:space="preserve"> (const), </w:t>
            </w:r>
            <w:r>
              <w:rPr>
                <w:rFonts w:ascii="Calibri" w:hAnsi="Calibri"/>
                <w:b w:val="0"/>
                <w:color w:val="1E232A"/>
                <w:sz w:val="18"/>
              </w:rPr>
              <w:t>ai_classification_changed = false</w:t>
            </w:r>
            <w:r>
              <w:rPr>
                <w:rFonts w:ascii="Calibri" w:hAnsi="Calibri"/>
                <w:b w:val="0"/>
                <w:color w:val="1E232A"/>
                <w:sz w:val="18"/>
              </w:rPr>
              <w:t xml:space="preserve"> (const)</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memory_informed_comparison.schema.json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M4B-1</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policy_version</w:t>
            </w:r>
            <w:r>
              <w:rPr>
                <w:rFonts w:ascii="Calibri" w:hAnsi="Calibri"/>
                <w:b w:val="0"/>
                <w:color w:val="1E232A"/>
                <w:sz w:val="18"/>
              </w:rPr>
              <w:t xml:space="preserve">, </w:t>
            </w:r>
            <w:r>
              <w:rPr>
                <w:rFonts w:ascii="Calibri" w:hAnsi="Calibri"/>
                <w:b w:val="0"/>
                <w:color w:val="1E232A"/>
                <w:sz w:val="18"/>
              </w:rPr>
              <w:t>decision_trace</w:t>
            </w:r>
            <w:r>
              <w:rPr>
                <w:rFonts w:ascii="Calibri" w:hAnsi="Calibri"/>
                <w:b w:val="0"/>
                <w:color w:val="1E232A"/>
                <w:sz w:val="18"/>
              </w:rPr>
              <w:t xml:space="preserve">, </w:t>
            </w:r>
            <w:r>
              <w:rPr>
                <w:rFonts w:ascii="Calibri" w:hAnsi="Calibri"/>
                <w:b w:val="0"/>
                <w:color w:val="1E232A"/>
                <w:sz w:val="18"/>
              </w:rPr>
              <w:t>mode = "experimental"</w:t>
            </w:r>
            <w:r>
              <w:rPr>
                <w:rFonts w:ascii="Calibri" w:hAnsi="Calibri"/>
                <w:b w:val="0"/>
                <w:color w:val="1E232A"/>
                <w:sz w:val="18"/>
              </w:rPr>
              <w:t xml:space="preserve"> (const), </w:t>
            </w:r>
            <w:r>
              <w:rPr>
                <w:rFonts w:ascii="Calibri" w:hAnsi="Calibri"/>
                <w:b w:val="0"/>
                <w:color w:val="1E232A"/>
                <w:sz w:val="18"/>
              </w:rPr>
              <w:t>ai_behavior_changed_in_baseline = false</w:t>
            </w:r>
            <w:r>
              <w:rPr>
                <w:rFonts w:ascii="Calibri" w:hAnsi="Calibri"/>
                <w:b w:val="0"/>
                <w:color w:val="1E232A"/>
                <w:sz w:val="18"/>
              </w:rPr>
              <w:t xml:space="preserve"> (const), </w:t>
            </w:r>
            <w:r>
              <w:rPr>
                <w:rFonts w:ascii="Calibri" w:hAnsi="Calibri"/>
                <w:b w:val="0"/>
                <w:color w:val="1E232A"/>
                <w:sz w:val="18"/>
              </w:rPr>
              <w:t>evaluation_leakage_status</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review_signature.schema.json</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M1.2</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signature_hash</w:t>
            </w:r>
            <w:r>
              <w:rPr>
                <w:rFonts w:ascii="Calibri" w:hAnsi="Calibri"/>
                <w:b w:val="0"/>
                <w:color w:val="1E232A"/>
                <w:sz w:val="18"/>
              </w:rPr>
              <w:t xml:space="preserve">, </w:t>
            </w:r>
            <w:r>
              <w:rPr>
                <w:rFonts w:ascii="Calibri" w:hAnsi="Calibri"/>
                <w:b w:val="0"/>
                <w:color w:val="1E232A"/>
                <w:sz w:val="18"/>
              </w:rPr>
              <w:t>source_fields</w:t>
            </w:r>
            <w:r>
              <w:rPr>
                <w:rFonts w:ascii="Calibri" w:hAnsi="Calibri"/>
                <w:b w:val="0"/>
                <w:color w:val="1E232A"/>
                <w:sz w:val="18"/>
              </w:rPr>
              <w:t xml:space="preserve">, </w:t>
            </w:r>
            <w:r>
              <w:rPr>
                <w:rFonts w:ascii="Calibri" w:hAnsi="Calibri"/>
                <w:b w:val="0"/>
                <w:color w:val="1E232A"/>
                <w:sz w:val="18"/>
              </w:rPr>
              <w:t>computation_method</w:t>
            </w:r>
          </w:p>
        </w:tc>
      </w:tr>
    </w:tbl>
    <w:p>
      <w:pPr>
        <w:spacing w:after="40"/>
      </w:pPr>
    </w:p>
    <w:p>
      <w:r>
        <w:t xml:space="preserve">The </w:t>
      </w:r>
      <w:r>
        <w:rPr>
          <w:rFonts w:ascii="Consolas" w:hAnsi="Consolas"/>
          <w:color w:val="1F4D78"/>
          <w:sz w:val="18"/>
        </w:rPr>
        <w:t>const</w:t>
      </w:r>
      <w:r>
        <w:t xml:space="preserve"> fields in M4A and M4B-1 schemas are architectural guarantees: they cannot be overridden at runtime, making non-destruction a machine-verified property rather than a convention.</w:t>
      </w:r>
    </w:p>
    <w:p>
      <w:pPr>
        <w:pStyle w:val="Heading2"/>
      </w:pPr>
      <w:r>
        <w:t>A.3 Blind annotation sheet structure</w:t>
      </w:r>
    </w:p>
    <w:p>
      <w:r>
        <w:t>Each reviewer receives a CSV with the following columns (AI-derived fields are withheld):</w:t>
      </w:r>
    </w:p>
    <w:tbl>
      <w:tblPr>
        <w:tblStyle w:val="TableGrid"/>
        <w:tblW w:type="dxa" w:w="9360"/>
        <w:jc w:val="left"/>
        <w:tblLayout w:type="fixed"/>
        <w:tblLook w:firstColumn="1" w:firstRow="1" w:lastColumn="0" w:lastRow="0" w:noHBand="0" w:noVBand="1" w:val="04A0"/>
        <w:tblInd w:w="120" w:type="dxa"/>
      </w:tblPr>
      <w:tblGrid>
        <w:gridCol w:w="2317"/>
        <w:gridCol w:w="4448"/>
        <w:gridCol w:w="2595"/>
      </w:tblGrid>
      <w:tr>
        <w:trPr>
          <w:cantSplit/>
          <w:tblHeader w:val="true"/>
        </w:trPr>
        <w:tc>
          <w:tcPr>
            <w:tcW w:type="dxa" w:w="23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Column</w:t>
            </w:r>
          </w:p>
        </w:tc>
        <w:tc>
          <w:tcPr>
            <w:tcW w:type="dxa" w:w="444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Description</w:t>
            </w:r>
          </w:p>
        </w:tc>
        <w:tc>
          <w:tcPr>
            <w:tcW w:type="dxa" w:w="259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Source</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anonymous_item_id</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Randomized identifier (differs per reviewer)</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Generated</w:t>
            </w:r>
          </w:p>
        </w:tc>
      </w:tr>
      <w:tr>
        <w:trPr>
          <w:cantSplit/>
        </w:trPr>
        <w:tc>
          <w:tcPr>
            <w:tcW w:type="dxa" w:w="23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setting</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Domain and diagram type (e.g., "Cheers  -  Use-Case Diagram")</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Baseline</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pattern_description</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Neutral description of the recurring deviation</w:t>
            </w:r>
          </w:p>
        </w:tc>
        <w:tc>
          <w:tcPr>
            <w:tcW w:type="dxa" w:w="259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Agent 4 output (neutralized)</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affected_student_models</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Count of models exhibiting this pattern</w:t>
            </w:r>
          </w:p>
        </w:tc>
        <w:tc>
          <w:tcPr>
            <w:tcW w:type="dxa" w:w="259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Agent 3 aggregation</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related_guideline</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The reference guideline the pattern relates to</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Agent 2 output</w:t>
            </w:r>
          </w:p>
        </w:tc>
      </w:tr>
      <w:tr>
        <w:trPr>
          <w:cantSplit/>
        </w:trPr>
        <w:tc>
          <w:tcPr>
            <w:tcW w:type="dxa" w:w="23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cited_evidence</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Neutral evidence excerpts from student submissions</w:t>
            </w:r>
          </w:p>
        </w:tc>
        <w:tc>
          <w:tcPr>
            <w:tcW w:type="dxa" w:w="259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Agent 3 output (neutralized)</w:t>
            </w:r>
          </w:p>
        </w:tc>
      </w:tr>
      <w:tr>
        <w:trPr>
          <w:cantSplit/>
        </w:trPr>
        <w:tc>
          <w:tcPr>
            <w:tcW w:type="dxa" w:w="2317"/>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expert_label</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expert_rationale</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expert_confidence</w:t>
            </w:r>
          </w:p>
        </w:tc>
        <w:tc>
          <w:tcPr>
            <w:tcW w:type="dxa" w:w="4448"/>
            <w:tcMar>
              <w:top w:w="80" w:type="dxa"/>
              <w:start w:w="120" w:type="dxa"/>
              <w:bottom w:w="80" w:type="dxa"/>
              <w:end w:w="120" w:type="dxa"/>
            </w:tcMar>
            <w:vAlign w:val="center"/>
          </w:tcPr>
          <w:p>
            <w:pPr>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 xml:space="preserve"> - </w:t>
            </w:r>
          </w:p>
        </w:tc>
      </w:tr>
    </w:tbl>
    <w:p>
      <w:pPr>
        <w:spacing w:after="40"/>
      </w:pPr>
    </w:p>
    <w:p>
      <w:r>
        <w:rPr>
          <w:b/>
        </w:rPr>
        <w:t>Withheld fields</w:t>
      </w:r>
      <w:r>
        <w:t xml:space="preserve"> (hidden from reviewers, present only in the adjudication audit sheet): </w:t>
      </w:r>
      <w:r>
        <w:rPr>
          <w:rFonts w:ascii="Consolas" w:hAnsi="Consolas"/>
          <w:color w:val="1F4D78"/>
          <w:sz w:val="18"/>
        </w:rPr>
        <w:t>original_ai_label</w:t>
      </w:r>
      <w:r>
        <w:t xml:space="preserve">, </w:t>
      </w:r>
      <w:r>
        <w:rPr>
          <w:rFonts w:ascii="Consolas" w:hAnsi="Consolas"/>
          <w:color w:val="1F4D78"/>
          <w:sz w:val="18"/>
        </w:rPr>
        <w:t>ai_justification</w:t>
      </w:r>
      <w:r>
        <w:t xml:space="preserve">, </w:t>
      </w:r>
      <w:r>
        <w:rPr>
          <w:rFonts w:ascii="Consolas" w:hAnsi="Consolas"/>
          <w:color w:val="1F4D78"/>
          <w:sz w:val="18"/>
        </w:rPr>
        <w:t>memory_advice_strength</w:t>
      </w:r>
      <w:r>
        <w:t xml:space="preserve">, </w:t>
      </w:r>
      <w:r>
        <w:rPr>
          <w:rFonts w:ascii="Consolas" w:hAnsi="Consolas"/>
          <w:color w:val="1F4D78"/>
          <w:sz w:val="18"/>
        </w:rPr>
        <w:t>memory_informed_label</w:t>
      </w:r>
      <w:r>
        <w:t xml:space="preserve">, </w:t>
      </w:r>
      <w:r>
        <w:rPr>
          <w:rFonts w:ascii="Consolas" w:hAnsi="Consolas"/>
          <w:color w:val="1F4D78"/>
          <w:sz w:val="18"/>
        </w:rPr>
        <w:t>evaluation_leakage_status</w:t>
      </w:r>
      <w:r>
        <w:t xml:space="preserve">, </w:t>
      </w:r>
      <w:r>
        <w:rPr>
          <w:rFonts w:ascii="Consolas" w:hAnsi="Consolas"/>
          <w:color w:val="1F4D78"/>
          <w:sz w:val="18"/>
        </w:rPr>
        <w:t>priority_rank</w:t>
      </w:r>
      <w:r>
        <w:t>.</w:t>
      </w:r>
    </w:p>
    <w:p>
      <w:r>
        <w:t xml:space="preserve">Row order is randomized separately per reviewer to prevent order effects. The mapping between </w:t>
      </w:r>
      <w:r>
        <w:rPr>
          <w:rFonts w:ascii="Consolas" w:hAnsi="Consolas"/>
          <w:color w:val="1F4D78"/>
          <w:sz w:val="18"/>
        </w:rPr>
        <w:t>anonymous_item_id</w:t>
      </w:r>
      <w:r>
        <w:t xml:space="preserve"> and actual pattern IDs is stored in </w:t>
      </w:r>
      <w:r>
        <w:rPr>
          <w:rFonts w:ascii="Consolas" w:hAnsi="Consolas"/>
          <w:color w:val="1F4D78"/>
          <w:sz w:val="18"/>
        </w:rPr>
        <w:t>item_mapping_PRIVATE.csv</w:t>
      </w:r>
      <w:r>
        <w:t>, which is not shared with reviewers.</w:t>
      </w:r>
    </w:p>
    <w:p>
      <w:pPr>
        <w:pStyle w:val="Heading2"/>
      </w:pPr>
      <w:r>
        <w:t>A.4 Evidence-consistency guard invariants</w:t>
      </w:r>
    </w:p>
    <w:p>
      <w:r>
        <w:t>The guard (</w:t>
      </w:r>
      <w:r>
        <w:rPr>
          <w:rFonts w:ascii="Consolas" w:hAnsi="Consolas"/>
          <w:color w:val="1F4D78"/>
          <w:sz w:val="18"/>
        </w:rPr>
        <w:t>scripts/check_evidence_consistency.py</w:t>
      </w:r>
      <w:r>
        <w:t>) verifies 18 invariants at every agent prompt:</w:t>
      </w:r>
    </w:p>
    <w:p>
      <w:pPr>
        <w:pStyle w:val="ListParagraph"/>
        <w:spacing w:after="60"/>
        <w:ind w:left="403" w:hanging="259"/>
      </w:pPr>
      <w:r>
        <w:t xml:space="preserve">1. </w:t>
      </w:r>
      <w:r>
        <w:t xml:space="preserve">Baseline </w:t>
      </w:r>
      <w:r>
        <w:rPr>
          <w:rFonts w:ascii="Consolas" w:hAnsi="Consolas"/>
          <w:color w:val="1F4D78"/>
          <w:sz w:val="18"/>
        </w:rPr>
        <w:t>eval_output/</w:t>
      </w:r>
      <w:r>
        <w:t xml:space="preserve"> files unchanged from tagged commit</w:t>
      </w:r>
    </w:p>
    <w:p>
      <w:pPr>
        <w:pStyle w:val="ListParagraph"/>
        <w:spacing w:after="60"/>
        <w:ind w:left="403" w:hanging="259"/>
      </w:pPr>
      <w:r>
        <w:t xml:space="preserve">2. </w:t>
      </w:r>
      <w:r>
        <w:rPr>
          <w:rFonts w:ascii="Consolas" w:hAnsi="Consolas"/>
          <w:color w:val="1F4D78"/>
          <w:sz w:val="18"/>
        </w:rPr>
        <w:t>ai_classification_changed = 0</w:t>
      </w:r>
      <w:r>
        <w:t xml:space="preserve"> across all comparison records</w:t>
      </w:r>
    </w:p>
    <w:p>
      <w:pPr>
        <w:pStyle w:val="ListParagraph"/>
        <w:spacing w:after="60"/>
        <w:ind w:left="403" w:hanging="259"/>
      </w:pPr>
      <w:r>
        <w:t xml:space="preserve">3. </w:t>
      </w:r>
      <w:r>
        <w:rPr>
          <w:rFonts w:ascii="Consolas" w:hAnsi="Consolas"/>
          <w:color w:val="1F4D78"/>
          <w:sz w:val="18"/>
        </w:rPr>
        <w:t>ai_behavior_changed_in_baseline = false</w:t>
      </w:r>
      <w:r>
        <w:t xml:space="preserve"> in all M4B-1 records</w:t>
      </w:r>
    </w:p>
    <w:p>
      <w:pPr>
        <w:pStyle w:val="ListParagraph"/>
        <w:spacing w:after="60"/>
        <w:ind w:left="403" w:hanging="259"/>
      </w:pPr>
      <w:r>
        <w:t xml:space="preserve">4. </w:t>
      </w:r>
      <w:r>
        <w:t xml:space="preserve">No forbidden tracked artifacts in </w:t>
      </w:r>
      <w:r>
        <w:rPr>
          <w:rFonts w:ascii="Consolas" w:hAnsi="Consolas"/>
          <w:color w:val="1F4D78"/>
          <w:sz w:val="18"/>
        </w:rPr>
        <w:t>eval_output/</w:t>
      </w:r>
    </w:p>
    <w:p>
      <w:pPr>
        <w:pStyle w:val="ListParagraph"/>
        <w:spacing w:after="60"/>
        <w:ind w:left="403" w:hanging="259"/>
      </w:pPr>
      <w:r>
        <w:t xml:space="preserve">5. </w:t>
      </w:r>
      <w:r>
        <w:t xml:space="preserve">Policy version matches </w:t>
      </w:r>
      <w:r>
        <w:rPr>
          <w:rFonts w:ascii="Consolas" w:hAnsi="Consolas"/>
          <w:color w:val="1F4D78"/>
          <w:sz w:val="18"/>
        </w:rPr>
        <w:t>memory-informed-classifier-v1</w:t>
      </w:r>
    </w:p>
    <w:p>
      <w:pPr>
        <w:pStyle w:val="ListParagraph"/>
        <w:spacing w:after="60"/>
        <w:ind w:left="403" w:hanging="259"/>
      </w:pPr>
      <w:r>
        <w:t xml:space="preserve">6. </w:t>
      </w:r>
      <w:r>
        <w:t xml:space="preserve">All M4A records have </w:t>
      </w:r>
      <w:r>
        <w:rPr>
          <w:rFonts w:ascii="Consolas" w:hAnsi="Consolas"/>
          <w:color w:val="1F4D78"/>
          <w:sz w:val="18"/>
        </w:rPr>
        <w:t>advice_mode = "advisory_only"</w:t>
      </w:r>
    </w:p>
    <w:p>
      <w:pPr>
        <w:pStyle w:val="ListParagraph"/>
        <w:spacing w:after="60"/>
        <w:ind w:left="403" w:hanging="259"/>
      </w:pPr>
      <w:r>
        <w:t xml:space="preserve">7. </w:t>
      </w:r>
      <w:r>
        <w:t>Memory-informed classifications that differ from original = 0</w:t>
      </w:r>
    </w:p>
    <w:p>
      <w:pPr>
        <w:pStyle w:val="ListParagraph"/>
        <w:spacing w:after="60"/>
        <w:ind w:left="403" w:hanging="259"/>
      </w:pPr>
      <w:r>
        <w:t xml:space="preserve">8. </w:t>
      </w:r>
      <w:r>
        <w:t>No claim-language violations in tracked documentation</w:t>
      </w:r>
    </w:p>
    <w:p>
      <w:pPr>
        <w:pStyle w:val="ListParagraph"/>
        <w:spacing w:after="60"/>
        <w:ind w:left="403" w:hanging="259"/>
      </w:pPr>
      <w:r>
        <w:t xml:space="preserve">9. </w:t>
      </w:r>
      <w:r>
        <w:t xml:space="preserve">Baseline tag </w:t>
      </w:r>
      <w:r>
        <w:rPr>
          <w:rFonts w:ascii="Consolas" w:hAnsi="Consolas"/>
          <w:color w:val="1F4D78"/>
          <w:sz w:val="18"/>
        </w:rPr>
        <w:t>official-vego-ai-baseline</w:t>
      </w:r>
      <w:r>
        <w:t xml:space="preserve"> resolves to expected commit</w:t>
      </w:r>
    </w:p>
    <w:p>
      <w:pPr>
        <w:pStyle w:val="ListParagraph"/>
        <w:spacing w:after="60"/>
        <w:ind w:left="403" w:hanging="259"/>
      </w:pPr>
      <w:r>
        <w:t xml:space="preserve">10. </w:t>
      </w:r>
      <w:r>
        <w:t>All schema-validated artifacts pass their respective JSON schemas</w:t>
      </w:r>
    </w:p>
    <w:p>
      <w:pPr>
        <w:pStyle w:val="ListParagraph"/>
        <w:spacing w:after="60"/>
        <w:ind w:left="403" w:hanging="259"/>
      </w:pPr>
      <w:r>
        <w:t xml:space="preserve">11. </w:t>
      </w:r>
      <w:r>
        <w:t>Review signature integrity across M1-M2 chain</w:t>
      </w:r>
    </w:p>
    <w:p>
      <w:pPr>
        <w:pStyle w:val="ListParagraph"/>
        <w:spacing w:after="60"/>
        <w:ind w:left="403" w:hanging="259"/>
      </w:pPr>
      <w:r>
        <w:t xml:space="preserve">12. </w:t>
      </w:r>
      <w:r>
        <w:t>Memory provenance chain integrity (M2→M3 linkage)</w:t>
      </w:r>
    </w:p>
    <w:p>
      <w:pPr>
        <w:pStyle w:val="ListParagraph"/>
        <w:spacing w:after="60"/>
        <w:ind w:left="403" w:hanging="259"/>
      </w:pPr>
      <w:r>
        <w:t xml:space="preserve">13. </w:t>
      </w:r>
      <w:r>
        <w:t>Leakage status tags present on all comparison records</w:t>
      </w:r>
    </w:p>
    <w:p>
      <w:pPr>
        <w:pStyle w:val="ListParagraph"/>
        <w:spacing w:after="60"/>
        <w:ind w:left="403" w:hanging="259"/>
      </w:pPr>
      <w:r>
        <w:t xml:space="preserve">14. </w:t>
      </w:r>
      <w:r>
        <w:t>Generalization-safe label count matches reported value</w:t>
      </w:r>
    </w:p>
    <w:p>
      <w:pPr>
        <w:pStyle w:val="ListParagraph"/>
        <w:spacing w:after="60"/>
        <w:ind w:left="403" w:hanging="259"/>
      </w:pPr>
      <w:r>
        <w:t xml:space="preserve">15. </w:t>
      </w:r>
      <w:r>
        <w:t>No synthetic labels in real-evidence reporting paths</w:t>
      </w:r>
    </w:p>
    <w:p>
      <w:pPr>
        <w:pStyle w:val="ListParagraph"/>
        <w:spacing w:after="60"/>
        <w:ind w:left="403" w:hanging="259"/>
      </w:pPr>
      <w:r>
        <w:t xml:space="preserve">16. </w:t>
      </w:r>
      <w:r>
        <w:t>Test suite passes (94 tests)</w:t>
      </w:r>
    </w:p>
    <w:p>
      <w:pPr>
        <w:pStyle w:val="ListParagraph"/>
        <w:spacing w:after="60"/>
        <w:ind w:left="403" w:hanging="259"/>
      </w:pPr>
      <w:r>
        <w:t xml:space="preserve">17. </w:t>
      </w:r>
      <w:r>
        <w:t>No M4B-1.1 or M4B-2 code in the active codebase</w:t>
      </w:r>
    </w:p>
    <w:p>
      <w:pPr>
        <w:pStyle w:val="ListParagraph"/>
        <w:spacing w:after="60"/>
        <w:ind w:left="403" w:hanging="259"/>
      </w:pPr>
      <w:r>
        <w:t xml:space="preserve">18. </w:t>
      </w:r>
      <w:r>
        <w:t>Dashboard figures consistent with source data</w:t>
      </w:r>
    </w:p>
    <w:p>
      <w:pPr>
        <w:pStyle w:val="Heading2"/>
      </w:pPr>
      <w:r>
        <w:t>A.5 AI review loop architecture</w:t>
      </w:r>
    </w:p>
    <w:p>
      <w:r>
        <w:t>The thesis quality assurance process uses an automated review loop with eight validators organized in three groups. The loop runs after each editing cycle and feeds issues back for correction before the next cycle.</w:t>
      </w:r>
    </w:p>
    <w:p>
      <w:pPr>
        <w:pStyle w:val="EvidenceCallout"/>
        <w:shd w:fill="EEF5FA"/>
        <w:pBdr>
          <w:left w:val="single" w:sz="18" w:space="8" w:color="2E74B5"/>
        </w:pBdr>
      </w:pPr>
      <w:r>
        <w:rPr>
          <w:b/>
        </w:rPr>
        <w:t>Figure A.1.</w:t>
      </w:r>
      <w:r>
        <w:t xml:space="preserve"> AI review loop architecture for thesis quality assurance. See </w:t>
      </w:r>
      <w:r>
        <w:rPr>
          <w:rFonts w:ascii="Consolas" w:hAnsi="Consolas"/>
          <w:color w:val="1F4D78"/>
          <w:sz w:val="18"/>
        </w:rPr>
        <w:t>thesis/figures/fig-ai-review-loop.mmd</w:t>
      </w:r>
      <w:r>
        <w:t>.</w:t>
      </w:r>
    </w:p>
    <w:p>
      <w:r>
        <w:rPr>
          <w:b/>
        </w:rPr>
        <w:t>Structural validators</w:t>
      </w:r>
      <w:r>
        <w:t xml:space="preserve"> check that all section cross-references (§X.Y) resolve to real headings, all figure references match existing figure files, and all in-text citations appear in the reference list.</w:t>
      </w:r>
    </w:p>
    <w:p>
      <w:r>
        <w:rPr>
          <w:b/>
        </w:rPr>
        <w:t>Consistency validators</w:t>
      </w:r>
      <w:r>
        <w:t xml:space="preserve"> verify uniform terminology across chapters (e.g., "human-AI" with en-dash, "M4B-1" with hyphen, "Agent 4" with space) and confirm the "Customer as actor" running example threads correctly through chapters 1, 4, 5, 6, 7, 8, and 9 with consistent data.</w:t>
      </w:r>
    </w:p>
    <w:p>
      <w:r>
        <w:rPr>
          <w:b/>
        </w:rPr>
        <w:t>Evidence and claim guards</w:t>
      </w:r>
      <w:r>
        <w:t xml:space="preserve"> enforce the evidence gates: with 0 of 24 expert labels, no accuracy-improvement claim is permitted. The claim-language guard scans all chapters for forbidden language, and the evidence-consistency guard runs 18 automated invariant checks.</w:t>
      </w:r>
    </w:p>
    <w:p>
      <w:pPr>
        <w:pStyle w:val="Heading2"/>
      </w:pPr>
      <w:r>
        <w:t>A.6 Reproduction checklist</w:t>
      </w:r>
    </w:p>
    <w:tbl>
      <w:tblPr>
        <w:tblStyle w:val="TableGrid"/>
        <w:tblW w:type="dxa" w:w="9360"/>
        <w:jc w:val="left"/>
        <w:tblLayout w:type="fixed"/>
        <w:tblLook w:firstColumn="1" w:firstRow="1" w:lastColumn="0" w:lastRow="0" w:noHBand="0" w:noVBand="1" w:val="04A0"/>
        <w:tblInd w:w="120" w:type="dxa"/>
      </w:tblPr>
      <w:tblGrid>
        <w:gridCol w:w="2055"/>
        <w:gridCol w:w="3653"/>
        <w:gridCol w:w="3652"/>
      </w:tblGrid>
      <w:tr>
        <w:trPr>
          <w:cantSplit/>
          <w:tblHeader w:val="true"/>
        </w:trPr>
        <w:tc>
          <w:tcPr>
            <w:tcW w:type="dxa" w:w="205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Step</w:t>
            </w:r>
          </w:p>
        </w:tc>
        <w:tc>
          <w:tcPr>
            <w:tcW w:type="dxa" w:w="36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Command</w:t>
            </w:r>
          </w:p>
        </w:tc>
        <w:tc>
          <w:tcPr>
            <w:tcW w:type="dxa" w:w="365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Expected result</w:t>
            </w:r>
          </w:p>
        </w:tc>
      </w:tr>
      <w:tr>
        <w:trPr>
          <w:cantSplit/>
        </w:trPr>
        <w:tc>
          <w:tcPr>
            <w:tcW w:type="dxa" w:w="205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Build M4B-1 comparison</w:t>
            </w:r>
          </w:p>
        </w:tc>
        <w:tc>
          <w:tcPr>
            <w:tcW w:type="dxa" w:w="36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python -m VEGO-AI.framework.memory_informed_classifier</w:t>
            </w:r>
          </w:p>
        </w:tc>
        <w:tc>
          <w:tcPr>
            <w:tcW w:type="dxa" w:w="365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27 comparison records, 0 differ from original</w:t>
            </w:r>
          </w:p>
        </w:tc>
      </w:tr>
      <w:tr>
        <w:trPr>
          <w:cantSplit/>
        </w:trPr>
        <w:tc>
          <w:tcPr>
            <w:tcW w:type="dxa" w:w="205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Run evaluation harness</w:t>
            </w:r>
          </w:p>
        </w:tc>
        <w:tc>
          <w:tcPr>
            <w:tcW w:type="dxa" w:w="36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python VEGO-AI/analysis/evaluate_accuracy_improvement.py --labels &lt;gold_labels.csv&gt;</w:t>
            </w:r>
          </w:p>
        </w:tc>
        <w:tc>
          <w:tcPr>
            <w:tcW w:type="dxa" w:w="365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Requires labels CSV; refuses to assert improvement with &lt;20 labels</w:t>
            </w:r>
          </w:p>
        </w:tc>
      </w:tr>
      <w:tr>
        <w:trPr>
          <w:cantSplit/>
        </w:trPr>
        <w:tc>
          <w:tcPr>
            <w:tcW w:type="dxa" w:w="205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Verify evidence consistency</w:t>
            </w:r>
          </w:p>
        </w:tc>
        <w:tc>
          <w:tcPr>
            <w:tcW w:type="dxa" w:w="36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python scripts/check_evidence_consistency.py</w:t>
            </w:r>
          </w:p>
        </w:tc>
        <w:tc>
          <w:tcPr>
            <w:tcW w:type="dxa" w:w="365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18/18 checks pass</w:t>
            </w:r>
          </w:p>
        </w:tc>
      </w:tr>
      <w:tr>
        <w:trPr>
          <w:cantSplit/>
        </w:trPr>
        <w:tc>
          <w:tcPr>
            <w:tcW w:type="dxa" w:w="2055"/>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Run test suite</w:t>
            </w:r>
          </w:p>
        </w:tc>
        <w:tc>
          <w:tcPr>
            <w:tcW w:type="dxa" w:w="36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python -m pytest VEGO-AI/tests -q</w:t>
            </w:r>
          </w:p>
        </w:tc>
        <w:tc>
          <w:tcPr>
            <w:tcW w:type="dxa" w:w="3652"/>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8"/>
              </w:rPr>
              <w:t>94 tests pass</w:t>
            </w:r>
          </w:p>
        </w:tc>
      </w:tr>
      <w:tr>
        <w:trPr>
          <w:cantSplit/>
        </w:trPr>
        <w:tc>
          <w:tcPr>
            <w:tcW w:type="dxa" w:w="2055"/>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Build results dashboard</w:t>
            </w:r>
          </w:p>
        </w:tc>
        <w:tc>
          <w:tcPr>
            <w:tcW w:type="dxa" w:w="3653"/>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python VEGO-AI/analysis/build_results_dashboard.py</w:t>
            </w:r>
          </w:p>
        </w:tc>
        <w:tc>
          <w:tcPr>
            <w:tcW w:type="dxa" w:w="3652"/>
            <w:tcMar>
              <w:top w:w="80" w:type="dxa"/>
              <w:start w:w="120" w:type="dxa"/>
              <w:bottom w:w="80" w:type="dxa"/>
              <w:end w:w="120" w:type="dxa"/>
            </w:tcMar>
            <w:vAlign w:val="center"/>
          </w:tcPr>
          <w:p>
            <w:pPr>
              <w:spacing w:before="0" w:after="0" w:line="252" w:lineRule="auto"/>
              <w:jc w:val="left"/>
            </w:pPr>
            <w:r>
              <w:rPr>
                <w:rFonts w:ascii="Calibri" w:hAnsi="Calibri"/>
                <w:b w:val="0"/>
                <w:color w:val="1E232A"/>
                <w:sz w:val="18"/>
              </w:rPr>
              <w:t>Dashboard with milestone summaries</w:t>
            </w:r>
          </w:p>
        </w:tc>
      </w:tr>
    </w:tbl>
    <w:p>
      <w:pPr>
        <w:spacing w:after="40"/>
      </w:pPr>
    </w:p>
    <w:p>
      <w:pPr>
        <w:pStyle w:val="Heading2"/>
      </w:pPr>
      <w:r>
        <w:t>A.7 RQ and hypothesis traceability</w:t>
      </w:r>
    </w:p>
    <w:p>
      <w:r>
        <w:t>This table is a design-time traceability register. EXP-019 through EXP-027 are registered protocols, not completed empirical results.</w:t>
      </w:r>
    </w:p>
    <w:tbl>
      <w:tblPr>
        <w:tblStyle w:val="TableGrid"/>
        <w:tblW w:type="dxa" w:w="9360"/>
        <w:jc w:val="left"/>
        <w:tblLayout w:type="fixed"/>
        <w:tblLook w:firstColumn="1" w:firstRow="1" w:lastColumn="0" w:lastRow="0" w:noHBand="0" w:noVBand="1" w:val="04A0"/>
        <w:tblInd w:w="120" w:type="dxa"/>
      </w:tblPr>
      <w:tblGrid>
        <w:gridCol w:w="900"/>
        <w:gridCol w:w="1300"/>
        <w:gridCol w:w="2496"/>
        <w:gridCol w:w="2496"/>
        <w:gridCol w:w="1196"/>
        <w:gridCol w:w="972"/>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Research item</w:t>
            </w:r>
          </w:p>
        </w:tc>
        <w:tc>
          <w:tcPr>
            <w:tcW w:type="dxa" w:w="13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Experiment path</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Primary measure</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Gate</w:t>
            </w:r>
          </w:p>
        </w:tc>
        <w:tc>
          <w:tcPr>
            <w:tcW w:type="dxa" w:w="11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Thesis location</w:t>
            </w:r>
          </w:p>
        </w:tc>
        <w:tc>
          <w:tcPr>
            <w:tcW w:type="dxa" w:w="972"/>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Current evidence state</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E-RQ1 / H1</w:t>
            </w:r>
          </w:p>
        </w:tc>
        <w:tc>
          <w:tcPr>
            <w:tcW w:type="dxa" w:w="13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EXP-019, EXP-020, EXP-021</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Reviewer agreement, baseline error taxonomy</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Two independent reviews and adjudicated labels; at least 20 safe rows for quantitative reporting</w:t>
            </w:r>
          </w:p>
        </w:tc>
        <w:tc>
          <w:tcPr>
            <w:tcW w:type="dxa" w:w="119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Chapters 3, 6, 7</w:t>
            </w:r>
          </w:p>
        </w:tc>
        <w:tc>
          <w:tcPr>
            <w:tcW w:type="dxa" w:w="972"/>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Pending expert input</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E-RQ2 / H2</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EXP-021, EXP-022</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Routing precision/recall; retrieval relevance, scope, and conflict rate</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Development labels only; same-pattern rows excluded from generalization-safe measures</w:t>
            </w:r>
          </w:p>
        </w:tc>
        <w:tc>
          <w:tcPr>
            <w:tcW w:type="dxa" w:w="11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Chapters 3, 5, 6, 7</w:t>
            </w:r>
          </w:p>
        </w:tc>
        <w:tc>
          <w:tcPr>
            <w:tcW w:type="dxa" w:w="972"/>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Blocked by EXP-020</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E-RQ3 / H3</w:t>
            </w:r>
          </w:p>
        </w:tc>
        <w:tc>
          <w:tcPr>
            <w:tcW w:type="dxa" w:w="1300"/>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EXP-023, EXP-024, EXP-025</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Net correction, macro-F1 non-decline, exact McNemar test</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One approved frozen policy; one-time eight-row holdout; external N &gt;= 30 for a formal claim gate</w:t>
            </w:r>
          </w:p>
        </w:tc>
        <w:tc>
          <w:tcPr>
            <w:tcW w:type="dxa" w:w="11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Chapters 3, 6, 8, 9, 10</w:t>
            </w:r>
          </w:p>
        </w:tc>
        <w:tc>
          <w:tcPr>
            <w:tcW w:type="dxa" w:w="972"/>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H4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EXP-026</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Review time, repeated-question rate, and escalation quality</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Ethics/consent approval and controlled reviewer study</w:t>
            </w:r>
          </w:p>
        </w:tc>
        <w:tc>
          <w:tcPr>
            <w:tcW w:type="dxa" w:w="11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Chapters 3, 6, 8, 9</w:t>
            </w:r>
          </w:p>
        </w:tc>
        <w:tc>
          <w:tcPr>
            <w:tcW w:type="dxa" w:w="972"/>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Robustness</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EXP-027</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Predeclared ablation and subgroup safety measures</w:t>
            </w:r>
          </w:p>
        </w:tc>
        <w:tc>
          <w:tcPr>
            <w:tcW w:type="dxa" w:w="2496"/>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Primary external analysis completed without policy retuning</w:t>
            </w:r>
          </w:p>
        </w:tc>
        <w:tc>
          <w:tcPr>
            <w:tcW w:type="dxa" w:w="1196"/>
            <w:tcMar>
              <w:top w:w="80" w:type="dxa"/>
              <w:start w:w="120" w:type="dxa"/>
              <w:bottom w:w="80" w:type="dxa"/>
              <w:end w:w="120" w:type="dxa"/>
            </w:tcMar>
            <w:vAlign w:val="center"/>
          </w:tcPr>
          <w:p>
            <w:pPr>
              <w:spacing w:before="0" w:after="0" w:line="252" w:lineRule="auto"/>
              <w:jc w:val="center"/>
            </w:pPr>
            <w:r>
              <w:rPr>
                <w:rFonts w:ascii="Calibri" w:hAnsi="Calibri"/>
                <w:b w:val="0"/>
                <w:color w:val="1E232A"/>
                <w:sz w:val="16"/>
              </w:rPr>
              <w:t>Chapters 6, 8, 9</w:t>
            </w:r>
          </w:p>
        </w:tc>
        <w:tc>
          <w:tcPr>
            <w:tcW w:type="dxa" w:w="972"/>
            <w:tcMar>
              <w:top w:w="80" w:type="dxa"/>
              <w:start w:w="120" w:type="dxa"/>
              <w:bottom w:w="80" w:type="dxa"/>
              <w:end w:w="120" w:type="dxa"/>
            </w:tcMar>
            <w:vAlign w:val="center"/>
          </w:tcPr>
          <w:p>
            <w:pPr>
              <w:spacing w:before="0" w:after="0" w:line="252" w:lineRule="auto"/>
              <w:jc w:val="left"/>
            </w:pPr>
            <w:r>
              <w:rPr>
                <w:rFonts w:ascii="Calibri" w:hAnsi="Calibri"/>
                <w:b w:val="0"/>
                <w:color w:val="1E232A"/>
                <w:sz w:val="16"/>
              </w:rPr>
              <w:t>Proposal - not approved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573"/>
        <w:sz w:val="17"/>
      </w:rPr>
      <w:t xml:space="preserve">Evidence-ready draft   |   Page </w:t>
    </w:r>
    <w:r>
      <w:fldChar w:fldCharType="begin"/>
      <w:instrText xml:space="preserve">PAGE</w:instrText>
      <w:fldChar w:fldCharType="separate"/>
      <w:fldChar w:fldCharType="end"/>
    </w:r>
    <w:r>
      <w:rPr>
        <w:rFonts w:ascii="Calibri" w:hAnsi="Calibri"/>
        <w:color w:val="596573"/>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6573"/>
        <w:sz w:val="17"/>
      </w:rPr>
      <w:t>VEGO-AI MSc Thesis Review Draft</w:t>
    </w:r>
    <w:r>
      <w:rPr>
        <w:rFonts w:ascii="Calibri" w:hAnsi="Calibri"/>
        <w:color w:val="596573"/>
        <w:sz w:val="17"/>
      </w:rPr>
      <w:t xml:space="preserve">   |   source adc56a3c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E23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17" w:right="173"/>
    </w:pPr>
    <w:rPr>
      <w:rFonts w:ascii="Consolas" w:hAnsi="Consolas"/>
      <w:sz w:val="17"/>
    </w:rPr>
  </w:style>
  <w:style w:type="paragraph" w:customStyle="1" w:styleId="EvidenceCallout">
    <w:name w:val="Evidence Callout"/>
    <w:pPr>
      <w:spacing w:before="120" w:after="160" w:line="288" w:lineRule="auto"/>
      <w:ind w:left="259" w:right="173"/>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Human Judgment in AI-Assisted Domain Model Assessment</dc:title>
  <dc:subject>Evidence-ready VEGO-AI MSc thesis review draft</dc:subject>
  <dc:creator>VEGO-AI research project</dc:creator>
  <cp:keywords>VEGO-AI, reusable human judgment, evidence gate, MSc thesis</cp:keywords>
  <dc:description>Generated deterministically from canonical revision adc56a3ccfec4ccc21a9ed2abb04b116c72a7693</dc:description>
  <cp:lastModifiedBy>VEGO-AI Research Project</cp:lastModifiedBy>
  <cp:revision>1</cp:revision>
  <dcterms:created xsi:type="dcterms:W3CDTF">2026-07-24T19:02:10Z</dcterms:created>
  <dcterms:modified xsi:type="dcterms:W3CDTF">2026-07-24T19:02:10Z</dcterms:modified>
  <cp:category/>
</cp:coreProperties>
</file>