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160"/>
        <w:jc w:val="left"/>
      </w:pPr>
      <w:r>
        <w:rPr>
          <w:rFonts w:ascii="Arial" w:hAnsi="Arial"/>
          <w:b/>
          <w:color w:val="7257D6"/>
          <w:sz w:val="18"/>
          <w:rtl w:val="0"/>
        </w:rPr>
        <w:t>‎VEGO‑AI‎</w:t>
      </w:r>
      <w:r>
        <w:rPr>
          <w:rFonts w:ascii="Arial" w:hAnsi="Arial"/>
          <w:b/>
          <w:color w:val="7257D6"/>
          <w:sz w:val="18"/>
          <w:rtl w:val="1"/>
        </w:rPr>
        <w:t xml:space="preserve"> | תכנית מחקר לדוקטורט</w:t>
      </w:r>
    </w:p>
    <w:p>
      <w:pPr>
        <w:bidi w:val="1"/>
        <w:spacing w:after="120"/>
        <w:jc w:val="left"/>
      </w:pPr>
      <w:r>
        <w:rPr>
          <w:rFonts w:ascii="Arial" w:hAnsi="Arial"/>
          <w:b/>
          <w:color w:val="17233C"/>
          <w:sz w:val="48"/>
          <w:rtl w:val="1"/>
        </w:rPr>
        <w:t>פרק 2 - סקירת ספרות: שיתוף פעולה אדם-סוכן ומשילות של שיפוט</w:t>
      </w:r>
    </w:p>
    <w:p>
      <w:pPr>
        <w:bidi w:val="1"/>
        <w:spacing w:after="240"/>
        <w:jc w:val="left"/>
      </w:pPr>
      <w:r>
        <w:rPr>
          <w:rFonts w:ascii="Arial" w:hAnsi="Arial"/>
          <w:b w:val="0"/>
          <w:i/>
          <w:color w:val="5B6578"/>
          <w:sz w:val="22"/>
          <w:rtl w:val="1"/>
        </w:rPr>
        <w:t>טיוטה התחומה לראיות הזמינות לבדיקת המנחים - ספרות בלבד</w:t>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80" w:type="dxa"/>
              <w:start w:w="120" w:type="dxa"/>
              <w:bottom w:w="80" w:type="dxa"/>
              <w:end w:w="120" w:type="dxa"/>
            </w:tcMar>
            <w:shd w:fill="EEF2FF"/>
          </w:tcPr>
          <w:p>
            <w:pPr>
              <w:spacing w:after="60"/>
              <w:bidi w:val="1"/>
              <w:jc w:val="left"/>
            </w:pPr>
            <w:r>
              <w:rPr>
                <w:rFonts w:ascii="Arial" w:hAnsi="Arial"/>
                <w:b/>
                <w:rtl w:val="1"/>
              </w:rPr>
              <w:t xml:space="preserve">גבול הראיות: 525 מופעים המתכנסים ל־116 עבודות; סינון אנושי </w:t>
            </w:r>
            <w:r>
              <w:rPr>
                <w:rFonts w:ascii="Arial" w:hAnsi="Arial"/>
                <w:b/>
                <w:rtl w:val="0"/>
              </w:rPr>
              <w:t>‎0/116‎</w:t>
            </w:r>
            <w:r>
              <w:rPr>
                <w:rFonts w:ascii="Arial" w:hAnsi="Arial"/>
                <w:b/>
                <w:rtl w:val="1"/>
              </w:rPr>
              <w:t xml:space="preserve">; </w:t>
            </w:r>
            <w:r>
              <w:rPr>
                <w:rFonts w:ascii="Arial" w:hAnsi="Arial"/>
                <w:b/>
                <w:rtl w:val="0"/>
              </w:rPr>
              <w:t>‎EXP‑005‎</w:t>
            </w:r>
            <w:r>
              <w:rPr>
                <w:rFonts w:ascii="Arial" w:hAnsi="Arial"/>
                <w:b/>
                <w:rtl w:val="1"/>
              </w:rPr>
              <w:t xml:space="preserve"> </w:t>
            </w:r>
            <w:r>
              <w:rPr>
                <w:rFonts w:ascii="Arial" w:hAnsi="Arial"/>
                <w:b/>
                <w:rtl w:val="0"/>
              </w:rPr>
              <w:t>‎0/24‎</w:t>
            </w:r>
            <w:r>
              <w:rPr>
                <w:rFonts w:ascii="Arial" w:hAnsi="Arial"/>
                <w:b/>
                <w:rtl w:val="1"/>
              </w:rPr>
              <w:t xml:space="preserve">; מוכנות רפואית </w:t>
            </w:r>
            <w:r>
              <w:rPr>
                <w:rFonts w:ascii="Arial" w:hAnsi="Arial"/>
                <w:b/>
                <w:rtl w:val="0"/>
              </w:rPr>
              <w:t>‎0/6‎</w:t>
            </w:r>
            <w:r>
              <w:rPr>
                <w:rFonts w:ascii="Arial" w:hAnsi="Arial"/>
                <w:b/>
                <w:rtl w:val="1"/>
              </w:rPr>
              <w:t>.</w:t>
            </w:r>
          </w:p>
          <w:p>
            <w:pPr>
              <w:spacing w:after="0"/>
              <w:bidi w:val="1"/>
              <w:jc w:val="left"/>
            </w:pPr>
            <w:r>
              <w:rPr>
                <w:rFonts w:ascii="Arial" w:hAnsi="Arial"/>
                <w:b w:val="0"/>
                <w:rtl w:val="1"/>
              </w:rPr>
              <w:t>מצב: מוכן לבדיקת עלי; לא נמסר, לא התקבל ולא נסגר.</w:t>
            </w:r>
          </w:p>
        </w:tc>
      </w:tr>
    </w:tbl>
    <w:p>
      <w:pPr>
        <w:spacing w:after="0"/>
      </w:pPr>
    </w:p>
    <w:p>
      <w:pPr>
        <w:pStyle w:val="Heading1"/>
        <w:bidi w:val="1"/>
        <w:jc w:val="left"/>
      </w:pPr>
      <w:r>
        <w:rPr>
          <w:rFonts w:ascii="Arial" w:hAnsi="Arial"/>
          <w:b w:val="0"/>
          <w:rtl w:val="0"/>
        </w:rPr>
        <w:t>‎C2‑01‎</w:t>
      </w:r>
      <w:r>
        <w:rPr>
          <w:rFonts w:ascii="Arial" w:hAnsi="Arial"/>
          <w:b w:val="0"/>
          <w:rtl w:val="1"/>
        </w:rPr>
        <w:t xml:space="preserve">  תחום הסקירה ושיטת הראיות</w:t>
      </w:r>
    </w:p>
    <w:p>
      <w:pPr>
        <w:bidi w:val="1"/>
        <w:jc w:val="both"/>
      </w:pPr>
      <w:r>
        <w:rPr>
          <w:rFonts w:ascii="Arial" w:hAnsi="Arial"/>
          <w:b w:val="0"/>
          <w:rtl w:val="1"/>
        </w:rPr>
        <w:t>פרק זה הוא מקטע ספרות מוגבל שהוכן בהתאם להנחיה המסכמת משיחת ההנחיה ב-12 באוגוסט: לקדם תחילה את הספרות ולדחות פיתוח נוסף של המתודולוגיה עד שתושג התקדמות בסקירה. לפיכך, טיוטת פרק 4 הקיימת מוקפאת, אינה מורחבת ואינה מוצגת כמאושרת בחבילה זו.</w:t>
      </w:r>
    </w:p>
    <w:p>
      <w:pPr>
        <w:bidi w:val="1"/>
        <w:jc w:val="both"/>
      </w:pPr>
      <w:r>
        <w:rPr>
          <w:rFonts w:ascii="Arial" w:hAnsi="Arial"/>
          <w:b w:val="0"/>
          <w:rtl w:val="1"/>
        </w:rPr>
        <w:t xml:space="preserve">לבסיס הראיות ארבע רמות. ראשית, סקירת </w:t>
      </w:r>
      <w:r>
        <w:rPr>
          <w:rFonts w:ascii="Arial" w:hAnsi="Arial"/>
          <w:b w:val="0"/>
          <w:rtl w:val="0"/>
        </w:rPr>
        <w:t>‎ACL‎</w:t>
      </w:r>
      <w:r>
        <w:rPr>
          <w:rFonts w:ascii="Arial" w:hAnsi="Arial"/>
          <w:b w:val="0"/>
          <w:rtl w:val="1"/>
        </w:rPr>
        <w:t xml:space="preserve"> 2026 משמשת עם עוגני עמודים לטענות ברמת הסקירה. שנית, מאגר הטקסונומיה הנלווה ננעל בגרסה 7b3ba9deefe99172748582f6025d995ccc2a6f86 ונותח באופן דטרמיניסטי. שלישית, שתים-עשרה עבודות מוצגות רק כמועמדות שמרניות לסינון אנושי של כותרת, תקציר וטקסט מלא. רביעית, המאגר המקומי, חוברת העבודה המקורית ובדיקת שאילתה חיה אחת מתועדים כראיות תהליך ולא כסקירה שהושלמה.</w:t>
      </w:r>
    </w:p>
    <w:p>
      <w:pPr>
        <w:bidi w:val="1"/>
        <w:jc w:val="both"/>
      </w:pPr>
      <w:r>
        <w:rPr>
          <w:rFonts w:ascii="Arial" w:hAnsi="Arial"/>
          <w:b w:val="0"/>
          <w:rtl w:val="1"/>
        </w:rPr>
        <w:t>המאגר הנעול כולל 525 מופעים בתחום שהצטמצמו ל-116 עבודות שונות. מיפוי דטרמיניסטי של כותרות וטקסונומיה הושלם, אך הסינון האנושי עומד על 0 מתוך 116. המיפוי המכני המקדמי מסווג 11 עבודות כמועמדות ליבה, 40 כרלוונטיות, 47 כהקשריות ו-18 כהיקפיות. התוויות מתעדפות סקירה; הן אינן קובעות הכללה, איכות, זהות או ממצאים.</w:t>
      </w:r>
    </w:p>
    <w:p>
      <w:pPr>
        <w:bidi w:val="1"/>
        <w:jc w:val="both"/>
      </w:pPr>
      <w:r>
        <w:rPr>
          <w:rFonts w:ascii="Arial" w:hAnsi="Arial"/>
          <w:b w:val="0"/>
          <w:rtl w:val="1"/>
        </w:rPr>
        <w:t xml:space="preserve">השאילתות </w:t>
      </w:r>
      <w:r>
        <w:rPr>
          <w:rFonts w:ascii="Arial" w:hAnsi="Arial"/>
          <w:b w:val="0"/>
          <w:rtl w:val="0"/>
        </w:rPr>
        <w:t>‎QL‑01‎</w:t>
      </w:r>
      <w:r>
        <w:rPr>
          <w:rFonts w:ascii="Arial" w:hAnsi="Arial"/>
          <w:b w:val="0"/>
          <w:rtl w:val="1"/>
        </w:rPr>
        <w:t xml:space="preserve"> עד </w:t>
      </w:r>
      <w:r>
        <w:rPr>
          <w:rFonts w:ascii="Arial" w:hAnsi="Arial"/>
          <w:b w:val="0"/>
          <w:rtl w:val="0"/>
        </w:rPr>
        <w:t>‎QL‑05‎</w:t>
      </w:r>
      <w:r>
        <w:rPr>
          <w:rFonts w:ascii="Arial" w:hAnsi="Arial"/>
          <w:b w:val="0"/>
          <w:rtl w:val="1"/>
        </w:rPr>
        <w:t xml:space="preserve"> מוכנות ברמת פרוטוקול וטרם בוצעו. לפי תצפית מפעיל שלא אומתה, בדיקת Foundations ב-Google Scholar הציגה כ-2,500 תוצאות ולא הוצג CAPTCHA ב-15 באוגוסט. לא בוצעו יצוא או סינון, והכמות ונוסח השאילתה לא אומתו באופן עצמאי. תצפית זו אינה עומדת בשער המוכנות ואין לספור אותה כביצוע שאילתה פורמלית.</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cantSplit w:val="true"/>
        </w:trPr>
        <w:tc>
          <w:tcPr>
            <w:tcW w:type="dxa" w:w="2200"/>
            <w:shd w:fill="F4F6F9"/>
            <w:vAlign w:val="center"/>
            <w:tcMar>
              <w:top w:w="80" w:type="dxa"/>
              <w:start w:w="120" w:type="dxa"/>
              <w:bottom w:w="80" w:type="dxa"/>
              <w:end w:w="120" w:type="dxa"/>
            </w:tcMar>
          </w:tcPr>
          <w:p>
            <w:pPr>
              <w:spacing w:after="0"/>
              <w:bidi w:val="1"/>
              <w:jc w:val="left"/>
            </w:pPr>
            <w:r>
              <w:rPr>
                <w:rFonts w:ascii="Arial" w:hAnsi="Arial"/>
                <w:b/>
                <w:sz w:val="18"/>
                <w:rtl w:val="1"/>
              </w:rPr>
              <w:t>שכבת ראיות</w:t>
            </w:r>
          </w:p>
        </w:tc>
        <w:tc>
          <w:tcPr>
            <w:tcW w:type="dxa" w:w="3000"/>
            <w:shd w:fill="F4F6F9"/>
            <w:vAlign w:val="center"/>
            <w:tcMar>
              <w:top w:w="80" w:type="dxa"/>
              <w:start w:w="120" w:type="dxa"/>
              <w:bottom w:w="80" w:type="dxa"/>
              <w:end w:w="120" w:type="dxa"/>
            </w:tcMar>
          </w:tcPr>
          <w:p>
            <w:pPr>
              <w:spacing w:after="0"/>
              <w:bidi w:val="1"/>
              <w:jc w:val="left"/>
            </w:pPr>
            <w:r>
              <w:rPr>
                <w:rFonts w:ascii="Arial" w:hAnsi="Arial"/>
                <w:b/>
                <w:sz w:val="18"/>
                <w:rtl w:val="1"/>
              </w:rPr>
              <w:t>כיסוי נוכחי</w:t>
            </w:r>
          </w:p>
        </w:tc>
        <w:tc>
          <w:tcPr>
            <w:tcW w:type="dxa" w:w="4160"/>
            <w:shd w:fill="F4F6F9"/>
            <w:vAlign w:val="center"/>
            <w:tcMar>
              <w:top w:w="80" w:type="dxa"/>
              <w:start w:w="120" w:type="dxa"/>
              <w:bottom w:w="80" w:type="dxa"/>
              <w:end w:w="120" w:type="dxa"/>
            </w:tcMar>
          </w:tcPr>
          <w:p>
            <w:pPr>
              <w:spacing w:after="0"/>
              <w:bidi w:val="1"/>
              <w:jc w:val="left"/>
            </w:pPr>
            <w:r>
              <w:rPr>
                <w:rFonts w:ascii="Arial" w:hAnsi="Arial"/>
                <w:b/>
                <w:sz w:val="18"/>
                <w:rtl w:val="1"/>
              </w:rPr>
              <w:t>שימוש מותר</w:t>
            </w:r>
          </w:p>
        </w:tc>
      </w:tr>
      <w:tr>
        <w:trPr>
          <w:cantSplit w:val="true"/>
        </w:trPr>
        <w:tc>
          <w:tcPr>
            <w:tcW w:type="dxa" w:w="2200"/>
            <w:vAlign w:val="center"/>
            <w:tcMar>
              <w:top w:w="80" w:type="dxa"/>
              <w:start w:w="120" w:type="dxa"/>
              <w:bottom w:w="80" w:type="dxa"/>
              <w:end w:w="120" w:type="dxa"/>
            </w:tcMar>
          </w:tcPr>
          <w:p>
            <w:pPr>
              <w:spacing w:after="0"/>
              <w:bidi w:val="1"/>
              <w:jc w:val="left"/>
            </w:pPr>
            <w:r>
              <w:rPr>
                <w:rFonts w:ascii="Arial" w:hAnsi="Arial"/>
                <w:b w:val="0"/>
                <w:sz w:val="18"/>
                <w:rtl w:val="1"/>
              </w:rPr>
              <w:t xml:space="preserve">סקירת </w:t>
            </w:r>
            <w:r>
              <w:rPr>
                <w:rFonts w:ascii="Arial" w:hAnsi="Arial"/>
                <w:b w:val="0"/>
                <w:sz w:val="18"/>
                <w:rtl w:val="0"/>
              </w:rPr>
              <w:t>‎ACL‎</w:t>
            </w:r>
          </w:p>
        </w:tc>
        <w:tc>
          <w:tcPr>
            <w:tcW w:type="dxa" w:w="3000"/>
            <w:vAlign w:val="center"/>
            <w:tcMar>
              <w:top w:w="80" w:type="dxa"/>
              <w:start w:w="120" w:type="dxa"/>
              <w:bottom w:w="80" w:type="dxa"/>
              <w:end w:w="120" w:type="dxa"/>
            </w:tcMar>
          </w:tcPr>
          <w:p>
            <w:pPr>
              <w:spacing w:after="0"/>
              <w:bidi w:val="1"/>
              <w:jc w:val="left"/>
            </w:pPr>
            <w:r>
              <w:rPr>
                <w:rFonts w:ascii="Arial" w:hAnsi="Arial"/>
                <w:b w:val="0"/>
                <w:sz w:val="18"/>
                <w:rtl w:val="1"/>
              </w:rPr>
              <w:t>מקור ראשוני עם שישה עוגני עמודים</w:t>
            </w:r>
          </w:p>
        </w:tc>
        <w:tc>
          <w:tcPr>
            <w:tcW w:type="dxa" w:w="4160"/>
            <w:vAlign w:val="center"/>
            <w:tcMar>
              <w:top w:w="80" w:type="dxa"/>
              <w:start w:w="120" w:type="dxa"/>
              <w:bottom w:w="80" w:type="dxa"/>
              <w:end w:w="120" w:type="dxa"/>
            </w:tcMar>
          </w:tcPr>
          <w:p>
            <w:pPr>
              <w:spacing w:after="0"/>
              <w:bidi w:val="1"/>
              <w:jc w:val="left"/>
            </w:pPr>
            <w:r>
              <w:rPr>
                <w:rFonts w:ascii="Arial" w:hAnsi="Arial"/>
                <w:b w:val="0"/>
                <w:sz w:val="18"/>
                <w:rtl w:val="1"/>
              </w:rPr>
              <w:t>טענות טקסונומיות ברמת הסקירה</w:t>
            </w:r>
          </w:p>
        </w:tc>
      </w:tr>
      <w:tr>
        <w:trPr>
          <w:cantSplit w:val="true"/>
        </w:trPr>
        <w:tc>
          <w:tcPr>
            <w:tcW w:type="dxa" w:w="2200"/>
            <w:vAlign w:val="center"/>
            <w:tcMar>
              <w:top w:w="80" w:type="dxa"/>
              <w:start w:w="120" w:type="dxa"/>
              <w:bottom w:w="80" w:type="dxa"/>
              <w:end w:w="120" w:type="dxa"/>
            </w:tcMar>
          </w:tcPr>
          <w:p>
            <w:pPr>
              <w:spacing w:after="0"/>
              <w:bidi w:val="1"/>
              <w:jc w:val="left"/>
            </w:pPr>
            <w:r>
              <w:rPr>
                <w:rFonts w:ascii="Arial" w:hAnsi="Arial"/>
                <w:b w:val="0"/>
                <w:sz w:val="18"/>
                <w:rtl w:val="1"/>
              </w:rPr>
              <w:t>מאגר נעול</w:t>
            </w:r>
          </w:p>
        </w:tc>
        <w:tc>
          <w:tcPr>
            <w:tcW w:type="dxa" w:w="3000"/>
            <w:vAlign w:val="center"/>
            <w:tcMar>
              <w:top w:w="80" w:type="dxa"/>
              <w:start w:w="120" w:type="dxa"/>
              <w:bottom w:w="80" w:type="dxa"/>
              <w:end w:w="120" w:type="dxa"/>
            </w:tcMar>
          </w:tcPr>
          <w:p>
            <w:pPr>
              <w:spacing w:after="0"/>
              <w:bidi w:val="1"/>
              <w:jc w:val="left"/>
            </w:pPr>
            <w:r>
              <w:rPr>
                <w:rFonts w:ascii="Arial" w:hAnsi="Arial"/>
                <w:b w:val="0"/>
                <w:sz w:val="18"/>
                <w:rtl w:val="1"/>
              </w:rPr>
              <w:t>525 מופעים; 116 עבודות</w:t>
            </w:r>
          </w:p>
        </w:tc>
        <w:tc>
          <w:tcPr>
            <w:tcW w:type="dxa" w:w="4160"/>
            <w:vAlign w:val="center"/>
            <w:tcMar>
              <w:top w:w="80" w:type="dxa"/>
              <w:start w:w="120" w:type="dxa"/>
              <w:bottom w:w="80" w:type="dxa"/>
              <w:end w:w="120" w:type="dxa"/>
            </w:tcMar>
          </w:tcPr>
          <w:p>
            <w:pPr>
              <w:spacing w:after="0"/>
              <w:bidi w:val="1"/>
              <w:jc w:val="left"/>
            </w:pPr>
            <w:r>
              <w:rPr>
                <w:rFonts w:ascii="Arial" w:hAnsi="Arial"/>
                <w:b w:val="0"/>
                <w:sz w:val="18"/>
                <w:rtl w:val="1"/>
              </w:rPr>
              <w:t>מטא-נתונים של כותרות וטקסונומיה בלבד</w:t>
            </w:r>
          </w:p>
        </w:tc>
      </w:tr>
      <w:tr>
        <w:trPr>
          <w:cantSplit w:val="true"/>
        </w:trPr>
        <w:tc>
          <w:tcPr>
            <w:tcW w:type="dxa" w:w="2200"/>
            <w:vAlign w:val="center"/>
            <w:tcMar>
              <w:top w:w="80" w:type="dxa"/>
              <w:start w:w="120" w:type="dxa"/>
              <w:bottom w:w="80" w:type="dxa"/>
              <w:end w:w="120" w:type="dxa"/>
            </w:tcMar>
          </w:tcPr>
          <w:p>
            <w:pPr>
              <w:spacing w:after="0"/>
              <w:bidi w:val="1"/>
              <w:jc w:val="left"/>
            </w:pPr>
            <w:r>
              <w:rPr>
                <w:rFonts w:ascii="Arial" w:hAnsi="Arial"/>
                <w:b w:val="0"/>
                <w:sz w:val="18"/>
                <w:rtl w:val="1"/>
              </w:rPr>
              <w:t>מערך מועמדים</w:t>
            </w:r>
          </w:p>
        </w:tc>
        <w:tc>
          <w:tcPr>
            <w:tcW w:type="dxa" w:w="3000"/>
            <w:vAlign w:val="center"/>
            <w:tcMar>
              <w:top w:w="80" w:type="dxa"/>
              <w:start w:w="120" w:type="dxa"/>
              <w:bottom w:w="80" w:type="dxa"/>
              <w:end w:w="120" w:type="dxa"/>
            </w:tcMar>
          </w:tcPr>
          <w:p>
            <w:pPr>
              <w:spacing w:after="0"/>
              <w:bidi w:val="1"/>
              <w:jc w:val="left"/>
            </w:pPr>
            <w:r>
              <w:rPr>
                <w:rFonts w:ascii="Arial" w:hAnsi="Arial"/>
                <w:b w:val="0"/>
                <w:sz w:val="18"/>
                <w:rtl w:val="1"/>
              </w:rPr>
              <w:t>12 נקודות התחלה שמרניות</w:t>
            </w:r>
          </w:p>
        </w:tc>
        <w:tc>
          <w:tcPr>
            <w:tcW w:type="dxa" w:w="4160"/>
            <w:vAlign w:val="center"/>
            <w:tcMar>
              <w:top w:w="80" w:type="dxa"/>
              <w:start w:w="120" w:type="dxa"/>
              <w:bottom w:w="80" w:type="dxa"/>
              <w:end w:w="120" w:type="dxa"/>
            </w:tcMar>
          </w:tcPr>
          <w:p>
            <w:pPr>
              <w:spacing w:after="0"/>
              <w:bidi w:val="1"/>
              <w:jc w:val="left"/>
            </w:pPr>
            <w:r>
              <w:rPr>
                <w:rFonts w:ascii="Arial" w:hAnsi="Arial"/>
                <w:b w:val="0"/>
                <w:sz w:val="18"/>
                <w:rtl w:val="1"/>
              </w:rPr>
              <w:t>תעדוף לסינון אנושי</w:t>
            </w:r>
          </w:p>
        </w:tc>
      </w:tr>
      <w:tr>
        <w:trPr>
          <w:cantSplit w:val="true"/>
        </w:trPr>
        <w:tc>
          <w:tcPr>
            <w:tcW w:type="dxa" w:w="2200"/>
            <w:vAlign w:val="center"/>
            <w:tcMar>
              <w:top w:w="80" w:type="dxa"/>
              <w:start w:w="120" w:type="dxa"/>
              <w:bottom w:w="80" w:type="dxa"/>
              <w:end w:w="120" w:type="dxa"/>
            </w:tcMar>
          </w:tcPr>
          <w:p>
            <w:pPr>
              <w:spacing w:after="0"/>
              <w:bidi w:val="1"/>
              <w:jc w:val="left"/>
            </w:pPr>
            <w:r>
              <w:rPr>
                <w:rFonts w:ascii="Arial" w:hAnsi="Arial"/>
                <w:b w:val="0"/>
                <w:sz w:val="18"/>
                <w:rtl w:val="1"/>
              </w:rPr>
              <w:t>חיפושים פורמליים</w:t>
            </w:r>
          </w:p>
        </w:tc>
        <w:tc>
          <w:tcPr>
            <w:tcW w:type="dxa" w:w="3000"/>
            <w:vAlign w:val="center"/>
            <w:tcMar>
              <w:top w:w="80" w:type="dxa"/>
              <w:start w:w="120" w:type="dxa"/>
              <w:bottom w:w="80" w:type="dxa"/>
              <w:end w:w="120" w:type="dxa"/>
            </w:tcMar>
          </w:tcPr>
          <w:p>
            <w:pPr>
              <w:spacing w:after="0"/>
              <w:bidi w:val="1"/>
              <w:jc w:val="left"/>
            </w:pPr>
            <w:r>
              <w:rPr>
                <w:rFonts w:ascii="Arial" w:hAnsi="Arial"/>
                <w:b w:val="0"/>
                <w:sz w:val="18"/>
                <w:rtl w:val="0"/>
              </w:rPr>
              <w:t>‎QL‑01‎</w:t>
            </w:r>
            <w:r>
              <w:rPr>
                <w:rFonts w:ascii="Arial" w:hAnsi="Arial"/>
                <w:b w:val="0"/>
                <w:sz w:val="18"/>
                <w:rtl w:val="1"/>
              </w:rPr>
              <w:t xml:space="preserve"> עד </w:t>
            </w:r>
            <w:r>
              <w:rPr>
                <w:rFonts w:ascii="Arial" w:hAnsi="Arial"/>
                <w:b w:val="0"/>
                <w:sz w:val="18"/>
                <w:rtl w:val="0"/>
              </w:rPr>
              <w:t>‎QL‑05‎</w:t>
            </w:r>
            <w:r>
              <w:rPr>
                <w:rFonts w:ascii="Arial" w:hAnsi="Arial"/>
                <w:b w:val="0"/>
                <w:sz w:val="18"/>
                <w:rtl w:val="1"/>
              </w:rPr>
              <w:t xml:space="preserve"> לא בוצעו</w:t>
            </w:r>
          </w:p>
        </w:tc>
        <w:tc>
          <w:tcPr>
            <w:tcW w:type="dxa" w:w="4160"/>
            <w:vAlign w:val="center"/>
            <w:tcMar>
              <w:top w:w="80" w:type="dxa"/>
              <w:start w:w="120" w:type="dxa"/>
              <w:bottom w:w="80" w:type="dxa"/>
              <w:end w:w="120" w:type="dxa"/>
            </w:tcMar>
          </w:tcPr>
          <w:p>
            <w:pPr>
              <w:spacing w:after="0"/>
              <w:bidi w:val="1"/>
              <w:jc w:val="left"/>
            </w:pPr>
            <w:r>
              <w:rPr>
                <w:rFonts w:ascii="Arial" w:hAnsi="Arial"/>
                <w:b w:val="0"/>
                <w:sz w:val="18"/>
                <w:rtl w:val="1"/>
              </w:rPr>
              <w:t>סטטוס פרוטוקול בלבד</w:t>
            </w:r>
          </w:p>
        </w:tc>
      </w:tr>
    </w:tbl>
    <w:p>
      <w:pPr>
        <w:spacing w:after="0"/>
      </w:pPr>
    </w:p>
    <w:p>
      <w:pPr>
        <w:bidi w:val="1"/>
        <w:jc w:val="left"/>
      </w:pPr>
      <w:r>
        <w:rPr>
          <w:rFonts w:ascii="Arial" w:hAnsi="Arial"/>
          <w:b w:val="0"/>
          <w:i/>
          <w:color w:val="5B6578"/>
          <w:sz w:val="18"/>
          <w:rtl w:val="1"/>
        </w:rPr>
        <w:t xml:space="preserve">עוגני מקור: </w:t>
      </w:r>
      <w:r>
        <w:rPr>
          <w:rFonts w:ascii="Arial" w:hAnsi="Arial"/>
          <w:b w:val="0"/>
          <w:i/>
          <w:color w:val="5B6578"/>
          <w:sz w:val="18"/>
          <w:rtl w:val="0"/>
        </w:rPr>
        <w:t>‎C2‑ACL‑01‎</w:t>
      </w:r>
      <w:r>
        <w:rPr>
          <w:rFonts w:ascii="Arial" w:hAnsi="Arial"/>
          <w:b w:val="0"/>
          <w:i/>
          <w:color w:val="5B6578"/>
          <w:sz w:val="18"/>
          <w:rtl w:val="1"/>
        </w:rPr>
        <w:t xml:space="preserve">; </w:t>
      </w:r>
      <w:r>
        <w:rPr>
          <w:rFonts w:ascii="Arial" w:hAnsi="Arial"/>
          <w:b w:val="0"/>
          <w:i/>
          <w:color w:val="5B6578"/>
          <w:sz w:val="18"/>
          <w:rtl w:val="0"/>
        </w:rPr>
        <w:t>‎C2‑ACL‑02‎</w:t>
      </w:r>
    </w:p>
    <w:p>
      <w:pPr>
        <w:pStyle w:val="Heading1"/>
        <w:bidi w:val="1"/>
        <w:jc w:val="left"/>
      </w:pPr>
      <w:r>
        <w:rPr>
          <w:rFonts w:ascii="Arial" w:hAnsi="Arial"/>
          <w:b w:val="0"/>
          <w:rtl w:val="0"/>
        </w:rPr>
        <w:t>‎C2‑02‎</w:t>
      </w:r>
      <w:r>
        <w:rPr>
          <w:rFonts w:ascii="Arial" w:hAnsi="Arial"/>
          <w:b w:val="0"/>
          <w:rtl w:val="1"/>
        </w:rPr>
        <w:t xml:space="preserve">  מסגרת הבעיה: הנחיות שעברו אופרציונליזציה ושונות</w:t>
      </w:r>
    </w:p>
    <w:p>
      <w:pPr>
        <w:bidi w:val="1"/>
        <w:jc w:val="both"/>
      </w:pPr>
      <w:r>
        <w:rPr>
          <w:rFonts w:ascii="Arial" w:hAnsi="Arial"/>
          <w:b w:val="0"/>
          <w:rtl w:val="1"/>
        </w:rPr>
        <w:t xml:space="preserve">בעיית העבודה של ההצעה עוסקת בהערכת הנחיות שעברו אופרציונליזציה ובשונות הנוצרת כאשר אנשים, צוותים או תחומים מממשים את ההנחיות בדרכים שונות. זהו ניסוח בעיה של הפרויקט ולא ממצא ספרותי מהמאגר המוגבל של </w:t>
      </w:r>
      <w:r>
        <w:rPr>
          <w:rFonts w:ascii="Arial" w:hAnsi="Arial"/>
          <w:b w:val="0"/>
          <w:rtl w:val="0"/>
        </w:rPr>
        <w:t>‎ACL‎</w:t>
      </w:r>
      <w:r>
        <w:rPr>
          <w:rFonts w:ascii="Arial" w:hAnsi="Arial"/>
          <w:b w:val="0"/>
          <w:rtl w:val="1"/>
        </w:rPr>
        <w:t>. מקורות על מידול תחום ועל אופרציונליזציה של הנחיות עדיין מחייבים סינון אנושי ממוקד לפני שניתן יהיה לבסס את היקף השונות, שכיחותה או השלכותיה.</w:t>
      </w:r>
    </w:p>
    <w:p>
      <w:pPr>
        <w:bidi w:val="1"/>
        <w:jc w:val="both"/>
      </w:pPr>
      <w:r>
        <w:rPr>
          <w:rFonts w:ascii="Arial" w:hAnsi="Arial"/>
          <w:b w:val="0"/>
          <w:rtl w:val="1"/>
        </w:rPr>
        <w:t>בתוך בעיית העבודה, שיפוט אנושי עשוי להיכנס בשלוש נקודות אנליטיות נפרדות: קביעה מתי נדרשת התערבות, החלטה כיצד שיפוט והבסיס שלו מיוצגים ומנוהלים, והערכת התקפות של שימוש או העברה מאוחרים. אלו עדשות ארגון לסקירה ולא נוסח מאושר של שאלות המחקר. הבחירות הפתוחות בין exploration לבין identification ובין human לבין expert נותרות החלטות גלויות ואינן מקובעות בשקט.</w:t>
      </w:r>
    </w:p>
    <w:p>
      <w:pPr>
        <w:bidi w:val="1"/>
        <w:jc w:val="both"/>
      </w:pPr>
      <w:r>
        <w:rPr>
          <w:rFonts w:ascii="Arial" w:hAnsi="Arial"/>
          <w:b w:val="0"/>
          <w:rtl w:val="1"/>
        </w:rPr>
        <w:t>ארטיפקטי התוכנה והמידול שכבר הופקו ב-</w:t>
      </w:r>
      <w:r>
        <w:rPr>
          <w:rFonts w:ascii="Arial" w:hAnsi="Arial"/>
          <w:b w:val="0"/>
          <w:rtl w:val="0"/>
        </w:rPr>
        <w:t>‎VEGO‑AI‎</w:t>
      </w:r>
      <w:r>
        <w:rPr>
          <w:rFonts w:ascii="Arial" w:hAnsi="Arial"/>
          <w:b w:val="0"/>
          <w:rtl w:val="1"/>
        </w:rPr>
        <w:t xml:space="preserve"> מספקים ראיות מכניזם מקדמיות בלבד. הם אינם מבססים שיפור בדיוק, הכללה, הפחתת מאמץ מומחה, ערך קליני או חדשנות דוקטורט. </w:t>
      </w:r>
      <w:r>
        <w:rPr>
          <w:rFonts w:ascii="Arial" w:hAnsi="Arial"/>
          <w:b w:val="0"/>
          <w:rtl w:val="0"/>
        </w:rPr>
        <w:t>‎EXP‑005‎</w:t>
      </w:r>
      <w:r>
        <w:rPr>
          <w:rFonts w:ascii="Arial" w:hAnsi="Arial"/>
          <w:b w:val="0"/>
          <w:rtl w:val="1"/>
        </w:rPr>
        <w:t xml:space="preserve"> נשאר על 0 מתוך 24 תוויות בטוחות עצמאיות, והמוכנות הרפואית על 0 מתוך 6 שערים.</w:t>
      </w:r>
    </w:p>
    <w:p>
      <w:pPr>
        <w:pStyle w:val="Heading1"/>
        <w:bidi w:val="1"/>
        <w:jc w:val="left"/>
      </w:pPr>
      <w:r>
        <w:rPr>
          <w:rFonts w:ascii="Arial" w:hAnsi="Arial"/>
          <w:b w:val="0"/>
          <w:rtl w:val="0"/>
        </w:rPr>
        <w:t>‎C2‑03‎</w:t>
      </w:r>
      <w:r>
        <w:rPr>
          <w:rFonts w:ascii="Arial" w:hAnsi="Arial"/>
          <w:b w:val="0"/>
          <w:rtl w:val="1"/>
        </w:rPr>
        <w:t xml:space="preserve">  מרחב התכנון של שיתוף פעולה אדם-סוכן</w:t>
      </w:r>
    </w:p>
    <w:p>
      <w:pPr>
        <w:bidi w:val="1"/>
        <w:jc w:val="both"/>
      </w:pPr>
      <w:r>
        <w:rPr>
          <w:rFonts w:ascii="Arial" w:hAnsi="Arial"/>
          <w:b w:val="0"/>
          <w:rtl w:val="1"/>
        </w:rPr>
        <w:t>Zou ושותפיו מתארים מערכות אדם-סוכן באמצעות סביבה ואפיון, משוב, אינטראקציה, תזמור ותקשורת. המודל שלהם מייחס לאדם תפקידים של מידע או הבהרה, משוב או תיקון, ושליטה או פעולה. ארכיטקטורה זו ברמת הסקירה מספקת אוצר מילים שימושי להשוואת תצורות של השתתפות אנושית, בלי להניח שתצורה מסוימת אפקטיבית [</w:t>
      </w:r>
      <w:r>
        <w:rPr>
          <w:rFonts w:ascii="Arial" w:hAnsi="Arial"/>
          <w:b w:val="0"/>
          <w:rtl w:val="0"/>
        </w:rPr>
        <w:t>‎C2‑ACL‑01‎</w:t>
      </w:r>
      <w:r>
        <w:rPr>
          <w:rFonts w:ascii="Arial" w:hAnsi="Arial"/>
          <w:b w:val="0"/>
          <w:rtl w:val="1"/>
        </w:rPr>
        <w:t xml:space="preserve">; </w:t>
      </w:r>
      <w:r>
        <w:rPr>
          <w:rFonts w:ascii="Arial" w:hAnsi="Arial"/>
          <w:b w:val="0"/>
          <w:rtl w:val="0"/>
        </w:rPr>
        <w:t>‎C2‑ACL‑02‎</w:t>
      </w:r>
      <w:r>
        <w:rPr>
          <w:rFonts w:ascii="Arial" w:hAnsi="Arial"/>
          <w:b w:val="0"/>
          <w:rtl w:val="1"/>
        </w:rPr>
        <w:t>].</w:t>
      </w:r>
    </w:p>
    <w:p>
      <w:pPr>
        <w:bidi w:val="1"/>
        <w:jc w:val="both"/>
      </w:pPr>
      <w:r>
        <w:rPr>
          <w:rFonts w:ascii="Arial" w:hAnsi="Arial"/>
          <w:b w:val="0"/>
          <w:rtl w:val="1"/>
        </w:rPr>
        <w:t>המאגר הנלווה מגדיר במפורש ארבעה ענפים תפעוליים. משוב אנושי מתאר מה האדם מספק ומתי; אינטראקציה מבחינה בין שיתוף פעולה, תחרות ושילוב ביניהם, ומפרטת שיתוף פעולה להאצלה, פיקוח, שיתוף ותיאום; תזמור מפריד בין אסטרטגיית משימה לבין סנכרון בזמן; ותקשורת מפרידה בין מבנה לבין אופן תקשורת [</w:t>
      </w:r>
      <w:r>
        <w:rPr>
          <w:rFonts w:ascii="Arial" w:hAnsi="Arial"/>
          <w:b w:val="0"/>
          <w:rtl w:val="0"/>
        </w:rPr>
        <w:t>‎C2‑ACL‑03‎</w:t>
      </w:r>
      <w:r>
        <w:rPr>
          <w:rFonts w:ascii="Arial" w:hAnsi="Arial"/>
          <w:b w:val="0"/>
          <w:rtl w:val="1"/>
        </w:rPr>
        <w:t xml:space="preserve">; </w:t>
      </w:r>
      <w:r>
        <w:rPr>
          <w:rFonts w:ascii="Arial" w:hAnsi="Arial"/>
          <w:b w:val="0"/>
          <w:rtl w:val="0"/>
        </w:rPr>
        <w:t>‎C2‑ACL‑04‎</w:t>
      </w:r>
      <w:r>
        <w:rPr>
          <w:rFonts w:ascii="Arial" w:hAnsi="Arial"/>
          <w:b w:val="0"/>
          <w:rtl w:val="1"/>
        </w:rPr>
        <w:t xml:space="preserve">; </w:t>
      </w:r>
      <w:r>
        <w:rPr>
          <w:rFonts w:ascii="Arial" w:hAnsi="Arial"/>
          <w:b w:val="0"/>
          <w:rtl w:val="0"/>
        </w:rPr>
        <w:t>‎C2‑ACL‑05‎</w:t>
      </w:r>
      <w:r>
        <w:rPr>
          <w:rFonts w:ascii="Arial" w:hAnsi="Arial"/>
          <w:b w:val="0"/>
          <w:rtl w:val="1"/>
        </w:rPr>
        <w:t>].</w:t>
      </w:r>
    </w:p>
    <w:p>
      <w:pPr>
        <w:bidi w:val="1"/>
        <w:jc w:val="both"/>
      </w:pPr>
      <w:r>
        <w:rPr>
          <w:rFonts w:ascii="Arial" w:hAnsi="Arial"/>
          <w:b w:val="0"/>
          <w:rtl w:val="1"/>
        </w:rPr>
        <w:t>הסקירה מציעה גם סולם סוכנות אנושית בן חמש רמות, מאוטומציה מלאה ועד עבודה המונעת בידי אדם [</w:t>
      </w:r>
      <w:r>
        <w:rPr>
          <w:rFonts w:ascii="Arial" w:hAnsi="Arial"/>
          <w:b w:val="0"/>
          <w:rtl w:val="0"/>
        </w:rPr>
        <w:t>‎C2‑ACL‑06‎</w:t>
      </w:r>
      <w:r>
        <w:rPr>
          <w:rFonts w:ascii="Arial" w:hAnsi="Arial"/>
          <w:b w:val="0"/>
          <w:rtl w:val="1"/>
        </w:rPr>
        <w:t>]. במחקר זה הסולם הוא כלי אנליטי מועמד ולא מדד שאומץ. יש להעריך את תוקף המבנה שלו, התאמתו למומחי תחום והקשר שלו לעומס או לסמכות לפני שימוש.</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cantSplit w:val="true"/>
        </w:trPr>
        <w:tc>
          <w:tcPr>
            <w:tcW w:type="dxa" w:w="2200"/>
            <w:shd w:fill="F4F6F9"/>
            <w:vAlign w:val="center"/>
            <w:tcMar>
              <w:top w:w="80" w:type="dxa"/>
              <w:start w:w="120" w:type="dxa"/>
              <w:bottom w:w="80" w:type="dxa"/>
              <w:end w:w="120" w:type="dxa"/>
            </w:tcMar>
          </w:tcPr>
          <w:p>
            <w:pPr>
              <w:spacing w:after="0"/>
              <w:bidi w:val="1"/>
              <w:jc w:val="left"/>
            </w:pPr>
            <w:r>
              <w:rPr>
                <w:rFonts w:ascii="Arial" w:hAnsi="Arial"/>
                <w:b/>
                <w:sz w:val="18"/>
                <w:rtl w:val="1"/>
              </w:rPr>
              <w:t>ענף טקסונומי</w:t>
            </w:r>
          </w:p>
        </w:tc>
        <w:tc>
          <w:tcPr>
            <w:tcW w:type="dxa" w:w="3000"/>
            <w:shd w:fill="F4F6F9"/>
            <w:vAlign w:val="center"/>
            <w:tcMar>
              <w:top w:w="80" w:type="dxa"/>
              <w:start w:w="120" w:type="dxa"/>
              <w:bottom w:w="80" w:type="dxa"/>
              <w:end w:w="120" w:type="dxa"/>
            </w:tcMar>
          </w:tcPr>
          <w:p>
            <w:pPr>
              <w:spacing w:after="0"/>
              <w:bidi w:val="1"/>
              <w:jc w:val="left"/>
            </w:pPr>
            <w:r>
              <w:rPr>
                <w:rFonts w:ascii="Arial" w:hAnsi="Arial"/>
                <w:b/>
                <w:sz w:val="18"/>
                <w:rtl w:val="1"/>
              </w:rPr>
              <w:t>ממדים מקודדים</w:t>
            </w:r>
          </w:p>
        </w:tc>
        <w:tc>
          <w:tcPr>
            <w:tcW w:type="dxa" w:w="4160"/>
            <w:shd w:fill="F4F6F9"/>
            <w:vAlign w:val="center"/>
            <w:tcMar>
              <w:top w:w="80" w:type="dxa"/>
              <w:start w:w="120" w:type="dxa"/>
              <w:bottom w:w="80" w:type="dxa"/>
              <w:end w:w="120" w:type="dxa"/>
            </w:tcMar>
          </w:tcPr>
          <w:p>
            <w:pPr>
              <w:spacing w:after="0"/>
              <w:bidi w:val="1"/>
              <w:jc w:val="left"/>
            </w:pPr>
            <w:r>
              <w:rPr>
                <w:rFonts w:ascii="Arial" w:hAnsi="Arial"/>
                <w:b/>
                <w:sz w:val="18"/>
                <w:rtl w:val="1"/>
              </w:rPr>
              <w:t>שימוש בסקירה זו</w:t>
            </w:r>
          </w:p>
        </w:tc>
      </w:tr>
      <w:tr>
        <w:trPr>
          <w:cantSplit w:val="true"/>
        </w:trPr>
        <w:tc>
          <w:tcPr>
            <w:tcW w:type="dxa" w:w="2200"/>
            <w:vAlign w:val="center"/>
            <w:tcMar>
              <w:top w:w="80" w:type="dxa"/>
              <w:start w:w="120" w:type="dxa"/>
              <w:bottom w:w="80" w:type="dxa"/>
              <w:end w:w="120" w:type="dxa"/>
            </w:tcMar>
          </w:tcPr>
          <w:p>
            <w:pPr>
              <w:spacing w:after="0"/>
              <w:bidi w:val="1"/>
              <w:jc w:val="left"/>
            </w:pPr>
            <w:r>
              <w:rPr>
                <w:rFonts w:ascii="Arial" w:hAnsi="Arial"/>
                <w:b w:val="0"/>
                <w:sz w:val="18"/>
                <w:rtl w:val="1"/>
              </w:rPr>
              <w:t>משוב אנושי</w:t>
            </w:r>
          </w:p>
        </w:tc>
        <w:tc>
          <w:tcPr>
            <w:tcW w:type="dxa" w:w="3000"/>
            <w:vAlign w:val="center"/>
            <w:tcMar>
              <w:top w:w="80" w:type="dxa"/>
              <w:start w:w="120" w:type="dxa"/>
              <w:bottom w:w="80" w:type="dxa"/>
              <w:end w:w="120" w:type="dxa"/>
            </w:tcMar>
          </w:tcPr>
          <w:p>
            <w:pPr>
              <w:spacing w:after="0"/>
              <w:bidi w:val="1"/>
              <w:jc w:val="left"/>
            </w:pPr>
            <w:r>
              <w:rPr>
                <w:rFonts w:ascii="Arial" w:hAnsi="Arial"/>
                <w:b w:val="0"/>
                <w:sz w:val="18"/>
                <w:rtl w:val="1"/>
              </w:rPr>
              <w:t>סוג, תת-סוג, גרנולריות, שלב</w:t>
            </w:r>
          </w:p>
        </w:tc>
        <w:tc>
          <w:tcPr>
            <w:tcW w:type="dxa" w:w="4160"/>
            <w:vAlign w:val="center"/>
            <w:tcMar>
              <w:top w:w="80" w:type="dxa"/>
              <w:start w:w="120" w:type="dxa"/>
              <w:bottom w:w="80" w:type="dxa"/>
              <w:end w:w="120" w:type="dxa"/>
            </w:tcMar>
          </w:tcPr>
          <w:p>
            <w:pPr>
              <w:spacing w:after="0"/>
              <w:bidi w:val="1"/>
              <w:jc w:val="left"/>
            </w:pPr>
            <w:r>
              <w:rPr>
                <w:rFonts w:ascii="Arial" w:hAnsi="Arial"/>
                <w:b w:val="0"/>
                <w:sz w:val="18"/>
                <w:rtl w:val="1"/>
              </w:rPr>
              <w:t>אפיון מה האדם מספק ומתי</w:t>
            </w:r>
          </w:p>
        </w:tc>
      </w:tr>
      <w:tr>
        <w:trPr>
          <w:cantSplit w:val="true"/>
        </w:trPr>
        <w:tc>
          <w:tcPr>
            <w:tcW w:type="dxa" w:w="2200"/>
            <w:vAlign w:val="center"/>
            <w:tcMar>
              <w:top w:w="80" w:type="dxa"/>
              <w:start w:w="120" w:type="dxa"/>
              <w:bottom w:w="80" w:type="dxa"/>
              <w:end w:w="120" w:type="dxa"/>
            </w:tcMar>
          </w:tcPr>
          <w:p>
            <w:pPr>
              <w:spacing w:after="0"/>
              <w:bidi w:val="1"/>
              <w:jc w:val="left"/>
            </w:pPr>
            <w:r>
              <w:rPr>
                <w:rFonts w:ascii="Arial" w:hAnsi="Arial"/>
                <w:b w:val="0"/>
                <w:sz w:val="18"/>
                <w:rtl w:val="1"/>
              </w:rPr>
              <w:t>אינטראקציה</w:t>
            </w:r>
          </w:p>
        </w:tc>
        <w:tc>
          <w:tcPr>
            <w:tcW w:type="dxa" w:w="3000"/>
            <w:vAlign w:val="center"/>
            <w:tcMar>
              <w:top w:w="80" w:type="dxa"/>
              <w:start w:w="120" w:type="dxa"/>
              <w:bottom w:w="80" w:type="dxa"/>
              <w:end w:w="120" w:type="dxa"/>
            </w:tcMar>
          </w:tcPr>
          <w:p>
            <w:pPr>
              <w:spacing w:after="0"/>
              <w:bidi w:val="1"/>
              <w:jc w:val="left"/>
            </w:pPr>
            <w:r>
              <w:rPr>
                <w:rFonts w:ascii="Arial" w:hAnsi="Arial"/>
                <w:b w:val="0"/>
                <w:sz w:val="18"/>
                <w:rtl w:val="1"/>
              </w:rPr>
              <w:t>סוג וגרסת שיתוף פעולה</w:t>
            </w:r>
          </w:p>
        </w:tc>
        <w:tc>
          <w:tcPr>
            <w:tcW w:type="dxa" w:w="4160"/>
            <w:vAlign w:val="center"/>
            <w:tcMar>
              <w:top w:w="80" w:type="dxa"/>
              <w:start w:w="120" w:type="dxa"/>
              <w:bottom w:w="80" w:type="dxa"/>
              <w:end w:w="120" w:type="dxa"/>
            </w:tcMar>
          </w:tcPr>
          <w:p>
            <w:pPr>
              <w:spacing w:after="0"/>
              <w:bidi w:val="1"/>
              <w:jc w:val="left"/>
            </w:pPr>
            <w:r>
              <w:rPr>
                <w:rFonts w:ascii="Arial" w:hAnsi="Arial"/>
                <w:b w:val="0"/>
                <w:sz w:val="18"/>
                <w:rtl w:val="1"/>
              </w:rPr>
              <w:t>הבחנה בין האצלה, פיקוח, שיתוף ותיאום</w:t>
            </w:r>
          </w:p>
        </w:tc>
      </w:tr>
      <w:tr>
        <w:trPr>
          <w:cantSplit w:val="true"/>
        </w:trPr>
        <w:tc>
          <w:tcPr>
            <w:tcW w:type="dxa" w:w="2200"/>
            <w:vAlign w:val="center"/>
            <w:tcMar>
              <w:top w:w="80" w:type="dxa"/>
              <w:start w:w="120" w:type="dxa"/>
              <w:bottom w:w="80" w:type="dxa"/>
              <w:end w:w="120" w:type="dxa"/>
            </w:tcMar>
          </w:tcPr>
          <w:p>
            <w:pPr>
              <w:spacing w:after="0"/>
              <w:bidi w:val="1"/>
              <w:jc w:val="left"/>
            </w:pPr>
            <w:r>
              <w:rPr>
                <w:rFonts w:ascii="Arial" w:hAnsi="Arial"/>
                <w:b w:val="0"/>
                <w:sz w:val="18"/>
                <w:rtl w:val="1"/>
              </w:rPr>
              <w:t>תזמור</w:t>
            </w:r>
          </w:p>
        </w:tc>
        <w:tc>
          <w:tcPr>
            <w:tcW w:type="dxa" w:w="3000"/>
            <w:vAlign w:val="center"/>
            <w:tcMar>
              <w:top w:w="80" w:type="dxa"/>
              <w:start w:w="120" w:type="dxa"/>
              <w:bottom w:w="80" w:type="dxa"/>
              <w:end w:w="120" w:type="dxa"/>
            </w:tcMar>
          </w:tcPr>
          <w:p>
            <w:pPr>
              <w:spacing w:after="0"/>
              <w:bidi w:val="1"/>
              <w:jc w:val="left"/>
            </w:pPr>
            <w:r>
              <w:rPr>
                <w:rFonts w:ascii="Arial" w:hAnsi="Arial"/>
                <w:b w:val="0"/>
                <w:sz w:val="18"/>
                <w:rtl w:val="1"/>
              </w:rPr>
              <w:t>אסטרטגיה וסנכרון</w:t>
            </w:r>
          </w:p>
        </w:tc>
        <w:tc>
          <w:tcPr>
            <w:tcW w:type="dxa" w:w="4160"/>
            <w:vAlign w:val="center"/>
            <w:tcMar>
              <w:top w:w="80" w:type="dxa"/>
              <w:start w:w="120" w:type="dxa"/>
              <w:bottom w:w="80" w:type="dxa"/>
              <w:end w:w="120" w:type="dxa"/>
            </w:tcMar>
          </w:tcPr>
          <w:p>
            <w:pPr>
              <w:spacing w:after="0"/>
              <w:bidi w:val="1"/>
              <w:jc w:val="left"/>
            </w:pPr>
            <w:r>
              <w:rPr>
                <w:rFonts w:ascii="Arial" w:hAnsi="Arial"/>
                <w:b w:val="0"/>
                <w:sz w:val="18"/>
                <w:rtl w:val="1"/>
              </w:rPr>
              <w:t>הפרדת סדר משימות משליטה בזמן</w:t>
            </w:r>
          </w:p>
        </w:tc>
      </w:tr>
      <w:tr>
        <w:trPr>
          <w:cantSplit w:val="true"/>
        </w:trPr>
        <w:tc>
          <w:tcPr>
            <w:tcW w:type="dxa" w:w="2200"/>
            <w:vAlign w:val="center"/>
            <w:tcMar>
              <w:top w:w="80" w:type="dxa"/>
              <w:start w:w="120" w:type="dxa"/>
              <w:bottom w:w="80" w:type="dxa"/>
              <w:end w:w="120" w:type="dxa"/>
            </w:tcMar>
          </w:tcPr>
          <w:p>
            <w:pPr>
              <w:spacing w:after="0"/>
              <w:bidi w:val="1"/>
              <w:jc w:val="left"/>
            </w:pPr>
            <w:r>
              <w:rPr>
                <w:rFonts w:ascii="Arial" w:hAnsi="Arial"/>
                <w:b w:val="0"/>
                <w:sz w:val="18"/>
                <w:rtl w:val="1"/>
              </w:rPr>
              <w:t>תקשורת</w:t>
            </w:r>
          </w:p>
        </w:tc>
        <w:tc>
          <w:tcPr>
            <w:tcW w:type="dxa" w:w="3000"/>
            <w:vAlign w:val="center"/>
            <w:tcMar>
              <w:top w:w="80" w:type="dxa"/>
              <w:start w:w="120" w:type="dxa"/>
              <w:bottom w:w="80" w:type="dxa"/>
              <w:end w:w="120" w:type="dxa"/>
            </w:tcMar>
          </w:tcPr>
          <w:p>
            <w:pPr>
              <w:spacing w:after="0"/>
              <w:bidi w:val="1"/>
              <w:jc w:val="left"/>
            </w:pPr>
            <w:r>
              <w:rPr>
                <w:rFonts w:ascii="Arial" w:hAnsi="Arial"/>
                <w:b w:val="0"/>
                <w:sz w:val="18"/>
                <w:rtl w:val="1"/>
              </w:rPr>
              <w:t>מבנה ואופן</w:t>
            </w:r>
          </w:p>
        </w:tc>
        <w:tc>
          <w:tcPr>
            <w:tcW w:type="dxa" w:w="4160"/>
            <w:vAlign w:val="center"/>
            <w:tcMar>
              <w:top w:w="80" w:type="dxa"/>
              <w:start w:w="120" w:type="dxa"/>
              <w:bottom w:w="80" w:type="dxa"/>
              <w:end w:w="120" w:type="dxa"/>
            </w:tcMar>
          </w:tcPr>
          <w:p>
            <w:pPr>
              <w:spacing w:after="0"/>
              <w:bidi w:val="1"/>
              <w:jc w:val="left"/>
            </w:pPr>
            <w:r>
              <w:rPr>
                <w:rFonts w:ascii="Arial" w:hAnsi="Arial"/>
                <w:b w:val="0"/>
                <w:sz w:val="18"/>
                <w:rtl w:val="1"/>
              </w:rPr>
              <w:t>הפרדת זהות המתקשרים מאופן התקשורת</w:t>
            </w:r>
          </w:p>
        </w:tc>
      </w:tr>
    </w:tbl>
    <w:p>
      <w:pPr>
        <w:spacing w:after="0"/>
      </w:pPr>
    </w:p>
    <w:p>
      <w:pPr>
        <w:bidi w:val="1"/>
        <w:jc w:val="left"/>
      </w:pPr>
      <w:r>
        <w:rPr>
          <w:rFonts w:ascii="Arial" w:hAnsi="Arial"/>
          <w:b w:val="0"/>
          <w:i/>
          <w:color w:val="5B6578"/>
          <w:sz w:val="18"/>
          <w:rtl w:val="1"/>
        </w:rPr>
        <w:t xml:space="preserve">עוגני מקור: </w:t>
      </w:r>
      <w:r>
        <w:rPr>
          <w:rFonts w:ascii="Arial" w:hAnsi="Arial"/>
          <w:b w:val="0"/>
          <w:i/>
          <w:color w:val="5B6578"/>
          <w:sz w:val="18"/>
          <w:rtl w:val="0"/>
        </w:rPr>
        <w:t>‎C2‑ACL‑01‎</w:t>
      </w:r>
      <w:r>
        <w:rPr>
          <w:rFonts w:ascii="Arial" w:hAnsi="Arial"/>
          <w:b w:val="0"/>
          <w:i/>
          <w:color w:val="5B6578"/>
          <w:sz w:val="18"/>
          <w:rtl w:val="1"/>
        </w:rPr>
        <w:t xml:space="preserve">; </w:t>
      </w:r>
      <w:r>
        <w:rPr>
          <w:rFonts w:ascii="Arial" w:hAnsi="Arial"/>
          <w:b w:val="0"/>
          <w:i/>
          <w:color w:val="5B6578"/>
          <w:sz w:val="18"/>
          <w:rtl w:val="0"/>
        </w:rPr>
        <w:t>‎C2‑ACL‑02‎</w:t>
      </w:r>
      <w:r>
        <w:rPr>
          <w:rFonts w:ascii="Arial" w:hAnsi="Arial"/>
          <w:b w:val="0"/>
          <w:i/>
          <w:color w:val="5B6578"/>
          <w:sz w:val="18"/>
          <w:rtl w:val="1"/>
        </w:rPr>
        <w:t xml:space="preserve">; </w:t>
      </w:r>
      <w:r>
        <w:rPr>
          <w:rFonts w:ascii="Arial" w:hAnsi="Arial"/>
          <w:b w:val="0"/>
          <w:i/>
          <w:color w:val="5B6578"/>
          <w:sz w:val="18"/>
          <w:rtl w:val="0"/>
        </w:rPr>
        <w:t>‎C2‑ACL‑03‎</w:t>
      </w:r>
      <w:r>
        <w:rPr>
          <w:rFonts w:ascii="Arial" w:hAnsi="Arial"/>
          <w:b w:val="0"/>
          <w:i/>
          <w:color w:val="5B6578"/>
          <w:sz w:val="18"/>
          <w:rtl w:val="1"/>
        </w:rPr>
        <w:t xml:space="preserve">; </w:t>
      </w:r>
      <w:r>
        <w:rPr>
          <w:rFonts w:ascii="Arial" w:hAnsi="Arial"/>
          <w:b w:val="0"/>
          <w:i/>
          <w:color w:val="5B6578"/>
          <w:sz w:val="18"/>
          <w:rtl w:val="0"/>
        </w:rPr>
        <w:t>‎C2‑ACL‑04‎</w:t>
      </w:r>
      <w:r>
        <w:rPr>
          <w:rFonts w:ascii="Arial" w:hAnsi="Arial"/>
          <w:b w:val="0"/>
          <w:i/>
          <w:color w:val="5B6578"/>
          <w:sz w:val="18"/>
          <w:rtl w:val="1"/>
        </w:rPr>
        <w:t xml:space="preserve">; </w:t>
      </w:r>
      <w:r>
        <w:rPr>
          <w:rFonts w:ascii="Arial" w:hAnsi="Arial"/>
          <w:b w:val="0"/>
          <w:i/>
          <w:color w:val="5B6578"/>
          <w:sz w:val="18"/>
          <w:rtl w:val="0"/>
        </w:rPr>
        <w:t>‎C2‑ACL‑05‎</w:t>
      </w:r>
      <w:r>
        <w:rPr>
          <w:rFonts w:ascii="Arial" w:hAnsi="Arial"/>
          <w:b w:val="0"/>
          <w:i/>
          <w:color w:val="5B6578"/>
          <w:sz w:val="18"/>
          <w:rtl w:val="1"/>
        </w:rPr>
        <w:t xml:space="preserve">; </w:t>
      </w:r>
      <w:r>
        <w:rPr>
          <w:rFonts w:ascii="Arial" w:hAnsi="Arial"/>
          <w:b w:val="0"/>
          <w:i/>
          <w:color w:val="5B6578"/>
          <w:sz w:val="18"/>
          <w:rtl w:val="0"/>
        </w:rPr>
        <w:t>‎C2‑ACL‑06‎</w:t>
      </w:r>
    </w:p>
    <w:p>
      <w:pPr>
        <w:pStyle w:val="Heading1"/>
        <w:bidi w:val="1"/>
        <w:jc w:val="left"/>
      </w:pPr>
      <w:r>
        <w:rPr>
          <w:rFonts w:ascii="Arial" w:hAnsi="Arial"/>
          <w:b w:val="0"/>
          <w:rtl w:val="0"/>
        </w:rPr>
        <w:t>‎C2‑04‎</w:t>
      </w:r>
      <w:r>
        <w:rPr>
          <w:rFonts w:ascii="Arial" w:hAnsi="Arial"/>
          <w:b w:val="0"/>
          <w:rtl w:val="1"/>
        </w:rPr>
        <w:t xml:space="preserve">  התערבות סלקטיבית ופיקוח מוגבל</w:t>
      </w:r>
    </w:p>
    <w:p>
      <w:pPr>
        <w:bidi w:val="1"/>
        <w:jc w:val="both"/>
      </w:pPr>
      <w:r>
        <w:rPr>
          <w:rFonts w:ascii="Arial" w:hAnsi="Arial"/>
          <w:b w:val="0"/>
          <w:rtl w:val="1"/>
        </w:rPr>
        <w:t>טקסונומיית המשוב של הסקירה מבחינה בין סוג, גרנולריות ושלב, ובכך מאפשרת תיאור מובנה של מועד כניסת הקלט האנושי לזרימת עבודה של מערכת סוכנים [</w:t>
      </w:r>
      <w:r>
        <w:rPr>
          <w:rFonts w:ascii="Arial" w:hAnsi="Arial"/>
          <w:b w:val="0"/>
          <w:rtl w:val="0"/>
        </w:rPr>
        <w:t>‎C2‑ACL‑03‎</w:t>
      </w:r>
      <w:r>
        <w:rPr>
          <w:rFonts w:ascii="Arial" w:hAnsi="Arial"/>
          <w:b w:val="0"/>
          <w:rtl w:val="1"/>
        </w:rPr>
        <w:t>]. היא אינה קובעת כשלעצמה איזה אות אי-ודאות צריך להפעיל התערבות, כיצד להגדיר חשיבות או כיצד למדוד עומס סקירה. אלו שאלות אמפיריות ותכנוניות המחייבות סקירת מחקרים ראשוניים ופרוטוקול הערכה מפורש.</w:t>
      </w:r>
    </w:p>
    <w:p>
      <w:pPr>
        <w:bidi w:val="1"/>
        <w:jc w:val="both"/>
      </w:pPr>
      <w:r>
        <w:rPr>
          <w:rFonts w:ascii="Arial" w:hAnsi="Arial"/>
          <w:b w:val="0"/>
          <w:rtl w:val="1"/>
        </w:rPr>
        <w:t>ארבע עבודות במאגר הן מועמדות בעדיפות גבוהה לפרק זה משום שכותרותיהן או מיקומן הטקסונומי עוסקים בבקשת הבהרה, התערבות יזומה, אוטונומיה מבוקרת או עבודת פיקוח (</w:t>
      </w:r>
      <w:r>
        <w:rPr>
          <w:rFonts w:ascii="Arial" w:hAnsi="Arial"/>
          <w:b w:val="0"/>
          <w:rtl w:val="0"/>
        </w:rPr>
        <w:t>‎C2‑KS‑02‎</w:t>
      </w:r>
      <w:r>
        <w:rPr>
          <w:rFonts w:ascii="Arial" w:hAnsi="Arial"/>
          <w:b w:val="0"/>
          <w:rtl w:val="1"/>
        </w:rPr>
        <w:t xml:space="preserve"> עד </w:t>
      </w:r>
      <w:r>
        <w:rPr>
          <w:rFonts w:ascii="Arial" w:hAnsi="Arial"/>
          <w:b w:val="0"/>
          <w:rtl w:val="0"/>
        </w:rPr>
        <w:t>‎C2‑KS‑05‎</w:t>
      </w:r>
      <w:r>
        <w:rPr>
          <w:rFonts w:ascii="Arial" w:hAnsi="Arial"/>
          <w:b w:val="0"/>
          <w:rtl w:val="1"/>
        </w:rPr>
        <w:t>). בשלב זה אין בפרק ייחוס של שיטה, תוצאה או מסקנה לעבודות אלו. זהותן העצמאית, התקצירים, תכנון המחקר והטקסט המלא עדיין ממתינים לבדיקה אנושית.</w:t>
      </w:r>
    </w:p>
    <w:p>
      <w:pPr>
        <w:bidi w:val="1"/>
        <w:jc w:val="both"/>
      </w:pPr>
      <w:r>
        <w:rPr>
          <w:rFonts w:ascii="Arial" w:hAnsi="Arial"/>
          <w:b w:val="0"/>
          <w:rtl w:val="1"/>
        </w:rPr>
        <w:t>סינתזה ניתנת להגנה חייבת להפריד בין ספירות ניתוב של המערכת לבין מאמץ אנושי שנמדד. נפח תור, תדירות טריגרים ושיעור סקירה ממודל עשויים לאפיין התנהגות מנגנון; הם אינם מבססים הפחתת עומס ללא סוקרים אמיתיים, זמן משימה ומשווה מוסכם.</w:t>
      </w:r>
    </w:p>
    <w:p>
      <w:pPr>
        <w:bidi w:val="1"/>
        <w:jc w:val="left"/>
      </w:pPr>
      <w:r>
        <w:rPr>
          <w:rFonts w:ascii="Arial" w:hAnsi="Arial"/>
          <w:b w:val="0"/>
          <w:i/>
          <w:color w:val="5B6578"/>
          <w:sz w:val="18"/>
          <w:rtl w:val="1"/>
        </w:rPr>
        <w:t xml:space="preserve">עוגני מקור: </w:t>
      </w:r>
      <w:r>
        <w:rPr>
          <w:rFonts w:ascii="Arial" w:hAnsi="Arial"/>
          <w:b w:val="0"/>
          <w:i/>
          <w:color w:val="5B6578"/>
          <w:sz w:val="18"/>
          <w:rtl w:val="0"/>
        </w:rPr>
        <w:t>‎C2‑ACL‑03‎</w:t>
      </w:r>
      <w:r>
        <w:rPr>
          <w:rFonts w:ascii="Arial" w:hAnsi="Arial"/>
          <w:b w:val="0"/>
          <w:i/>
          <w:color w:val="5B6578"/>
          <w:sz w:val="18"/>
          <w:rtl w:val="1"/>
        </w:rPr>
        <w:t xml:space="preserve">; </w:t>
      </w:r>
      <w:r>
        <w:rPr>
          <w:rFonts w:ascii="Arial" w:hAnsi="Arial"/>
          <w:b w:val="0"/>
          <w:i/>
          <w:color w:val="5B6578"/>
          <w:sz w:val="18"/>
          <w:rtl w:val="0"/>
        </w:rPr>
        <w:t>‎C2‑KS‑02‎</w:t>
      </w:r>
      <w:r>
        <w:rPr>
          <w:rFonts w:ascii="Arial" w:hAnsi="Arial"/>
          <w:b w:val="0"/>
          <w:i/>
          <w:color w:val="5B6578"/>
          <w:sz w:val="18"/>
          <w:rtl w:val="1"/>
        </w:rPr>
        <w:t xml:space="preserve">; </w:t>
      </w:r>
      <w:r>
        <w:rPr>
          <w:rFonts w:ascii="Arial" w:hAnsi="Arial"/>
          <w:b w:val="0"/>
          <w:i/>
          <w:color w:val="5B6578"/>
          <w:sz w:val="18"/>
          <w:rtl w:val="0"/>
        </w:rPr>
        <w:t>‎C2‑KS‑03‎</w:t>
      </w:r>
      <w:r>
        <w:rPr>
          <w:rFonts w:ascii="Arial" w:hAnsi="Arial"/>
          <w:b w:val="0"/>
          <w:i/>
          <w:color w:val="5B6578"/>
          <w:sz w:val="18"/>
          <w:rtl w:val="1"/>
        </w:rPr>
        <w:t xml:space="preserve">; </w:t>
      </w:r>
      <w:r>
        <w:rPr>
          <w:rFonts w:ascii="Arial" w:hAnsi="Arial"/>
          <w:b w:val="0"/>
          <w:i/>
          <w:color w:val="5B6578"/>
          <w:sz w:val="18"/>
          <w:rtl w:val="0"/>
        </w:rPr>
        <w:t>‎C2‑KS‑04‎</w:t>
      </w:r>
      <w:r>
        <w:rPr>
          <w:rFonts w:ascii="Arial" w:hAnsi="Arial"/>
          <w:b w:val="0"/>
          <w:i/>
          <w:color w:val="5B6578"/>
          <w:sz w:val="18"/>
          <w:rtl w:val="1"/>
        </w:rPr>
        <w:t xml:space="preserve">; </w:t>
      </w:r>
      <w:r>
        <w:rPr>
          <w:rFonts w:ascii="Arial" w:hAnsi="Arial"/>
          <w:b w:val="0"/>
          <w:i/>
          <w:color w:val="5B6578"/>
          <w:sz w:val="18"/>
          <w:rtl w:val="0"/>
        </w:rPr>
        <w:t>‎C2‑KS‑05‎</w:t>
      </w:r>
    </w:p>
    <w:p>
      <w:pPr>
        <w:pStyle w:val="Heading1"/>
        <w:bidi w:val="1"/>
        <w:jc w:val="left"/>
      </w:pPr>
      <w:r>
        <w:rPr>
          <w:rFonts w:ascii="Arial" w:hAnsi="Arial"/>
          <w:b w:val="0"/>
          <w:rtl w:val="0"/>
        </w:rPr>
        <w:t>‎C2‑05‎</w:t>
      </w:r>
      <w:r>
        <w:rPr>
          <w:rFonts w:ascii="Arial" w:hAnsi="Arial"/>
          <w:b w:val="0"/>
          <w:rtl w:val="1"/>
        </w:rPr>
        <w:t xml:space="preserve">  משוב, ייצוג שיפוט, משילות ושימוש חוזר</w:t>
      </w:r>
    </w:p>
    <w:p>
      <w:pPr>
        <w:bidi w:val="1"/>
        <w:jc w:val="both"/>
      </w:pPr>
      <w:r>
        <w:rPr>
          <w:rFonts w:ascii="Arial" w:hAnsi="Arial"/>
          <w:b w:val="0"/>
          <w:rtl w:val="1"/>
        </w:rPr>
        <w:t>קטגוריות משוב מתארות מה אדם מספק למערכת, אך שימוש חוזר מנוהל מחייב תכונות נוספות: עיגון למקרה, ייחוס ומקור ראייתי, סמכות אחראית, אימות והכרעה, טיפול בקונפליקט, תחום תוקף, תפוגה, ביטול ונימוק עקיב לאחזור מאוחר. תכונות אלו אינן ממדים מפורשים בסכמת הטקסונומיה של המאגר הנעול. זו תצפית על כיסוי הסכמה ולא טענה שאף מאמר במאגר אינו דן בהן.</w:t>
      </w:r>
    </w:p>
    <w:p>
      <w:pPr>
        <w:bidi w:val="1"/>
        <w:jc w:val="both"/>
      </w:pPr>
      <w:r>
        <w:rPr>
          <w:rFonts w:ascii="Arial" w:hAnsi="Arial"/>
          <w:b w:val="0"/>
          <w:rtl w:val="1"/>
        </w:rPr>
        <w:t xml:space="preserve">הכותרות והמיקום הטקסונומי של MINT, למידת העדפות מעריכות משתמש וזיכרון שיתופי עם בקרת גישה הופכים את </w:t>
      </w:r>
      <w:r>
        <w:rPr>
          <w:rFonts w:ascii="Arial" w:hAnsi="Arial"/>
          <w:b w:val="0"/>
          <w:rtl w:val="0"/>
        </w:rPr>
        <w:t>‎C2‑KS‑07‎</w:t>
      </w:r>
      <w:r>
        <w:rPr>
          <w:rFonts w:ascii="Arial" w:hAnsi="Arial"/>
          <w:b w:val="0"/>
          <w:rtl w:val="1"/>
        </w:rPr>
        <w:t xml:space="preserve"> עד </w:t>
      </w:r>
      <w:r>
        <w:rPr>
          <w:rFonts w:ascii="Arial" w:hAnsi="Arial"/>
          <w:b w:val="0"/>
          <w:rtl w:val="0"/>
        </w:rPr>
        <w:t>‎C2‑KS‑09‎</w:t>
      </w:r>
      <w:r>
        <w:rPr>
          <w:rFonts w:ascii="Arial" w:hAnsi="Arial"/>
          <w:b w:val="0"/>
          <w:rtl w:val="1"/>
        </w:rPr>
        <w:t xml:space="preserve"> למועמדים סבירים לפרק זה. אין לייחס ממצא לפני אימות זהות וסינון טקסט מלא.</w:t>
      </w:r>
    </w:p>
    <w:p>
      <w:pPr>
        <w:bidi w:val="1"/>
        <w:jc w:val="both"/>
      </w:pPr>
      <w:r>
        <w:rPr>
          <w:rFonts w:ascii="Arial" w:hAnsi="Arial"/>
          <w:b w:val="0"/>
          <w:rtl w:val="1"/>
        </w:rPr>
        <w:t>לפיכך, מחזור החיים המוצע לשיפוט מנוהל נותר השערת תרומה. סקירת הספרות צריכה לבדוק אם עבודה קודמת כבר מייצגת תכונות אלו, כיצד מטופלות סמכות ומחלוקת, והאם שימוש חוזר מוערך בהקשרים שהופרדו באמת. עד להשלמת הסינון, ניסוחים כגון 'לא קיימת מסגרת' אינם מותרים.</w:t>
      </w:r>
    </w:p>
    <w:p>
      <w:pPr>
        <w:bidi w:val="1"/>
        <w:jc w:val="left"/>
      </w:pPr>
      <w:r>
        <w:rPr>
          <w:rFonts w:ascii="Arial" w:hAnsi="Arial"/>
          <w:b w:val="0"/>
          <w:i/>
          <w:color w:val="5B6578"/>
          <w:sz w:val="18"/>
          <w:rtl w:val="1"/>
        </w:rPr>
        <w:t xml:space="preserve">עוגני מקור: </w:t>
      </w:r>
      <w:r>
        <w:rPr>
          <w:rFonts w:ascii="Arial" w:hAnsi="Arial"/>
          <w:b w:val="0"/>
          <w:i/>
          <w:color w:val="5B6578"/>
          <w:sz w:val="18"/>
          <w:rtl w:val="0"/>
        </w:rPr>
        <w:t>‎C2‑ACL‑03‎</w:t>
      </w:r>
      <w:r>
        <w:rPr>
          <w:rFonts w:ascii="Arial" w:hAnsi="Arial"/>
          <w:b w:val="0"/>
          <w:i/>
          <w:color w:val="5B6578"/>
          <w:sz w:val="18"/>
          <w:rtl w:val="1"/>
        </w:rPr>
        <w:t xml:space="preserve">; </w:t>
      </w:r>
      <w:r>
        <w:rPr>
          <w:rFonts w:ascii="Arial" w:hAnsi="Arial"/>
          <w:b w:val="0"/>
          <w:i/>
          <w:color w:val="5B6578"/>
          <w:sz w:val="18"/>
          <w:rtl w:val="0"/>
        </w:rPr>
        <w:t>‎C2‑KS‑07‎</w:t>
      </w:r>
      <w:r>
        <w:rPr>
          <w:rFonts w:ascii="Arial" w:hAnsi="Arial"/>
          <w:b w:val="0"/>
          <w:i/>
          <w:color w:val="5B6578"/>
          <w:sz w:val="18"/>
          <w:rtl w:val="1"/>
        </w:rPr>
        <w:t xml:space="preserve">; </w:t>
      </w:r>
      <w:r>
        <w:rPr>
          <w:rFonts w:ascii="Arial" w:hAnsi="Arial"/>
          <w:b w:val="0"/>
          <w:i/>
          <w:color w:val="5B6578"/>
          <w:sz w:val="18"/>
          <w:rtl w:val="0"/>
        </w:rPr>
        <w:t>‎C2‑KS‑08‎</w:t>
      </w:r>
      <w:r>
        <w:rPr>
          <w:rFonts w:ascii="Arial" w:hAnsi="Arial"/>
          <w:b w:val="0"/>
          <w:i/>
          <w:color w:val="5B6578"/>
          <w:sz w:val="18"/>
          <w:rtl w:val="1"/>
        </w:rPr>
        <w:t xml:space="preserve">; </w:t>
      </w:r>
      <w:r>
        <w:rPr>
          <w:rFonts w:ascii="Arial" w:hAnsi="Arial"/>
          <w:b w:val="0"/>
          <w:i/>
          <w:color w:val="5B6578"/>
          <w:sz w:val="18"/>
          <w:rtl w:val="0"/>
        </w:rPr>
        <w:t>‎C2‑KS‑09‎</w:t>
      </w:r>
    </w:p>
    <w:p>
      <w:pPr>
        <w:pStyle w:val="Heading1"/>
        <w:bidi w:val="1"/>
        <w:jc w:val="left"/>
      </w:pPr>
      <w:r>
        <w:rPr>
          <w:rFonts w:ascii="Arial" w:hAnsi="Arial"/>
          <w:b w:val="0"/>
          <w:rtl w:val="0"/>
        </w:rPr>
        <w:t>‎C2‑06‎</w:t>
      </w:r>
      <w:r>
        <w:rPr>
          <w:rFonts w:ascii="Arial" w:hAnsi="Arial"/>
          <w:b w:val="0"/>
          <w:rtl w:val="1"/>
        </w:rPr>
        <w:t xml:space="preserve">  הערכה, העברה וגבולות הקשר</w:t>
      </w:r>
    </w:p>
    <w:p>
      <w:pPr>
        <w:bidi w:val="1"/>
        <w:jc w:val="both"/>
      </w:pPr>
      <w:r>
        <w:rPr>
          <w:rFonts w:ascii="Arial" w:hAnsi="Arial"/>
          <w:b w:val="0"/>
          <w:rtl w:val="1"/>
        </w:rPr>
        <w:t>המאגר המוגבל כולל מדדים ומסגרות הערכה מועמדים להשתתפות אדם-סוכן ולשיתוף פעולה תלוי-תחום (</w:t>
      </w:r>
      <w:r>
        <w:rPr>
          <w:rFonts w:ascii="Arial" w:hAnsi="Arial"/>
          <w:b w:val="0"/>
          <w:rtl w:val="0"/>
        </w:rPr>
        <w:t>‎C2‑KS‑06‎</w:t>
      </w:r>
      <w:r>
        <w:rPr>
          <w:rFonts w:ascii="Arial" w:hAnsi="Arial"/>
          <w:b w:val="0"/>
          <w:rtl w:val="1"/>
        </w:rPr>
        <w:t xml:space="preserve"> ו-</w:t>
      </w:r>
      <w:r>
        <w:rPr>
          <w:rFonts w:ascii="Arial" w:hAnsi="Arial"/>
          <w:b w:val="0"/>
          <w:rtl w:val="0"/>
        </w:rPr>
        <w:t>‎C2‑KS‑10‎</w:t>
      </w:r>
      <w:r>
        <w:rPr>
          <w:rFonts w:ascii="Arial" w:hAnsi="Arial"/>
          <w:b w:val="0"/>
          <w:rtl w:val="1"/>
        </w:rPr>
        <w:t xml:space="preserve"> עד </w:t>
      </w:r>
      <w:r>
        <w:rPr>
          <w:rFonts w:ascii="Arial" w:hAnsi="Arial"/>
          <w:b w:val="0"/>
          <w:rtl w:val="0"/>
        </w:rPr>
        <w:t>‎C2‑KS‑12‎</w:t>
      </w:r>
      <w:r>
        <w:rPr>
          <w:rFonts w:ascii="Arial" w:hAnsi="Arial"/>
          <w:b w:val="0"/>
          <w:rtl w:val="1"/>
        </w:rPr>
        <w:t>). נוכחותם מראה שהערכה והשתתפות אנושית מיוצגות במאגר; היא אינה מבססת שאחד מהם מעריך שימוש חוזר בשיפוט מנוהל בין הקשרים של הנחיות שעברו אופרציונליזציה.</w:t>
      </w:r>
    </w:p>
    <w:p>
      <w:pPr>
        <w:bidi w:val="1"/>
        <w:jc w:val="both"/>
      </w:pPr>
      <w:r>
        <w:rPr>
          <w:rFonts w:ascii="Arial" w:hAnsi="Arial"/>
          <w:b w:val="0"/>
          <w:rtl w:val="1"/>
        </w:rPr>
        <w:t>יש לפרק העברה לפני שניתן לטעון לה. התנהגות מערכת עשויה לעבור בעוד שיפוט מסוים אינו עובר; שיפוט עשוי להישאר תקף בתוך משפחת דיאגרמות אך לא בין תחומים; והסכמה עשויה לשקף עמימות משותפת ולא הכללה נכונה. לכן סקירת הספרות חייבת לתעד לכל מחקר את יחידת ההעברה, גבולות ההקשר, המשווה, תקן הייחוס, השפעות תת-קבוצה ובקרות זליגה.</w:t>
      </w:r>
    </w:p>
    <w:p>
      <w:pPr>
        <w:bidi w:val="1"/>
        <w:jc w:val="both"/>
      </w:pPr>
      <w:r>
        <w:rPr>
          <w:rFonts w:ascii="Arial" w:hAnsi="Arial"/>
          <w:b w:val="0"/>
          <w:rtl w:val="1"/>
        </w:rPr>
        <w:t xml:space="preserve">ניסוח </w:t>
      </w:r>
      <w:r>
        <w:rPr>
          <w:rFonts w:ascii="Arial" w:hAnsi="Arial"/>
          <w:b w:val="0"/>
          <w:rtl w:val="0"/>
        </w:rPr>
        <w:t>‎Plan A‎</w:t>
      </w:r>
      <w:r>
        <w:rPr>
          <w:rFonts w:ascii="Arial" w:hAnsi="Arial"/>
          <w:b w:val="0"/>
          <w:rtl w:val="1"/>
        </w:rPr>
        <w:t xml:space="preserve"> ו-</w:t>
      </w:r>
      <w:r>
        <w:rPr>
          <w:rFonts w:ascii="Arial" w:hAnsi="Arial"/>
          <w:b w:val="0"/>
          <w:rtl w:val="0"/>
        </w:rPr>
        <w:t>‎Plan B‎</w:t>
      </w:r>
      <w:r>
        <w:rPr>
          <w:rFonts w:ascii="Arial" w:hAnsi="Arial"/>
          <w:b w:val="0"/>
          <w:rtl w:val="1"/>
        </w:rPr>
        <w:t xml:space="preserve"> נותר פתוח. בריאות היא הקשר העברה מותנה ולא מקור ראיות מבוסס, ולא אושרה עבודה ברמת שורות מטופל. כאשר המוכנות הרפואית עומדת על 0 מתוך 6, פרק זה אינו עושה טענה על ביצוע קליני או גישת שותף. בברירת המחדל המוגנת, כל שאלת מחקר חייבת להישאר ניתנת למענה באמצעות ראיות תוכנה או מידול והקשר שכפול לא-רפואי מאושר.</w:t>
      </w:r>
    </w:p>
    <w:p>
      <w:pPr>
        <w:bidi w:val="1"/>
        <w:jc w:val="left"/>
      </w:pPr>
      <w:r>
        <w:rPr>
          <w:rFonts w:ascii="Arial" w:hAnsi="Arial"/>
          <w:b w:val="0"/>
          <w:i/>
          <w:color w:val="5B6578"/>
          <w:sz w:val="18"/>
          <w:rtl w:val="1"/>
        </w:rPr>
        <w:t xml:space="preserve">עוגני מקור: </w:t>
      </w:r>
      <w:r>
        <w:rPr>
          <w:rFonts w:ascii="Arial" w:hAnsi="Arial"/>
          <w:b w:val="0"/>
          <w:i/>
          <w:color w:val="5B6578"/>
          <w:sz w:val="18"/>
          <w:rtl w:val="0"/>
        </w:rPr>
        <w:t>‎C2‑KS‑06‎</w:t>
      </w:r>
      <w:r>
        <w:rPr>
          <w:rFonts w:ascii="Arial" w:hAnsi="Arial"/>
          <w:b w:val="0"/>
          <w:i/>
          <w:color w:val="5B6578"/>
          <w:sz w:val="18"/>
          <w:rtl w:val="1"/>
        </w:rPr>
        <w:t xml:space="preserve">; </w:t>
      </w:r>
      <w:r>
        <w:rPr>
          <w:rFonts w:ascii="Arial" w:hAnsi="Arial"/>
          <w:b w:val="0"/>
          <w:i/>
          <w:color w:val="5B6578"/>
          <w:sz w:val="18"/>
          <w:rtl w:val="0"/>
        </w:rPr>
        <w:t>‎C2‑KS‑10‎</w:t>
      </w:r>
      <w:r>
        <w:rPr>
          <w:rFonts w:ascii="Arial" w:hAnsi="Arial"/>
          <w:b w:val="0"/>
          <w:i/>
          <w:color w:val="5B6578"/>
          <w:sz w:val="18"/>
          <w:rtl w:val="1"/>
        </w:rPr>
        <w:t xml:space="preserve">; </w:t>
      </w:r>
      <w:r>
        <w:rPr>
          <w:rFonts w:ascii="Arial" w:hAnsi="Arial"/>
          <w:b w:val="0"/>
          <w:i/>
          <w:color w:val="5B6578"/>
          <w:sz w:val="18"/>
          <w:rtl w:val="0"/>
        </w:rPr>
        <w:t>‎C2‑KS‑11‎</w:t>
      </w:r>
      <w:r>
        <w:rPr>
          <w:rFonts w:ascii="Arial" w:hAnsi="Arial"/>
          <w:b w:val="0"/>
          <w:i/>
          <w:color w:val="5B6578"/>
          <w:sz w:val="18"/>
          <w:rtl w:val="1"/>
        </w:rPr>
        <w:t xml:space="preserve">; </w:t>
      </w:r>
      <w:r>
        <w:rPr>
          <w:rFonts w:ascii="Arial" w:hAnsi="Arial"/>
          <w:b w:val="0"/>
          <w:i/>
          <w:color w:val="5B6578"/>
          <w:sz w:val="18"/>
          <w:rtl w:val="0"/>
        </w:rPr>
        <w:t>‎C2‑KS‑12‎</w:t>
      </w:r>
    </w:p>
    <w:p>
      <w:pPr>
        <w:pStyle w:val="Heading1"/>
        <w:bidi w:val="1"/>
        <w:jc w:val="left"/>
      </w:pPr>
      <w:r>
        <w:rPr>
          <w:rFonts w:ascii="Arial" w:hAnsi="Arial"/>
          <w:b w:val="0"/>
          <w:rtl w:val="0"/>
        </w:rPr>
        <w:t>‎C2‑07‎</w:t>
      </w:r>
      <w:r>
        <w:rPr>
          <w:rFonts w:ascii="Arial" w:hAnsi="Arial"/>
          <w:b w:val="0"/>
          <w:rtl w:val="1"/>
        </w:rPr>
        <w:t xml:space="preserve">  סינתזה ופערים מועמדים</w:t>
      </w:r>
    </w:p>
    <w:p>
      <w:pPr>
        <w:bidi w:val="1"/>
        <w:jc w:val="both"/>
      </w:pPr>
      <w:r>
        <w:rPr>
          <w:rFonts w:ascii="Arial" w:hAnsi="Arial"/>
          <w:b w:val="0"/>
          <w:rtl w:val="1"/>
        </w:rPr>
        <w:t>הראיות הנוכחיות תומכות בסינתזה מוגבלת: הסקירה מספקת אוצר מילים מפותח למשוב, אינטראקציה, תזמור, תקשורת ורמות סוכנות אנושית; המאגר הנעול מספק קורפוס מועמדים בר-שחזור; וסכמת הטקסונומיה אינה מקודדת במפורש כמה ממדי משילות והעברה המרכזיים לבעיית העבודה.</w:t>
      </w:r>
    </w:p>
    <w:p>
      <w:pPr>
        <w:bidi w:val="1"/>
        <w:jc w:val="both"/>
      </w:pPr>
      <w:r>
        <w:rPr>
          <w:rFonts w:ascii="Arial" w:hAnsi="Arial"/>
          <w:b w:val="0"/>
          <w:rtl w:val="1"/>
        </w:rPr>
        <w:t>ארבעה פערים מועמדים נשארים השערות עד לסינון אנושי: כיצד מועד ההתערבות מקושר לחשיבות שהוגדרה באופן עצמאי; כיצד שיפוטים מעוגנים, מאומתים, מיושבים, מוגבלים ומבוטלים; מתי ניתן להשתמש מחדש בארטיפקט שיפוט בין הקשרים; וכיצד מודדים עומס מומחה במקום להעריך אותו. היעדר שדות אלו מסכמת הטקסונומיה הוא ראיה רק לכיסוי הסכמה. אין זו ראיה שהספרות עצמה חסרה שיטות רלוונטיות.</w:t>
      </w:r>
    </w:p>
    <w:p>
      <w:pPr>
        <w:bidi w:val="1"/>
        <w:jc w:val="both"/>
      </w:pPr>
      <w:r>
        <w:rPr>
          <w:rFonts w:ascii="Arial" w:hAnsi="Arial"/>
          <w:b w:val="0"/>
          <w:rtl w:val="1"/>
        </w:rPr>
        <w:t>לכן טענת התרומה חייבת להישאר מותנית. אם סקירת טקסט מלא תמצא גישות קיימות ונבדקות המכסות ממדים אלו, ההצעה צריכה לצמצם, לספוג או להחליף את התרומה המתאימה. אם לאחר הסקירה הממדים יישארו מחוברים באופן חלש, ניתן יהיה להצדיק תרומת מדעי-התכנון רק עם מטריצת פערים מבוססת מקורות ותכנית הערכה ניתנת להפרכה.</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cantSplit w:val="true"/>
        </w:trPr>
        <w:tc>
          <w:tcPr>
            <w:tcW w:type="dxa" w:w="2200"/>
            <w:shd w:fill="F4F6F9"/>
            <w:vAlign w:val="center"/>
            <w:tcMar>
              <w:top w:w="80" w:type="dxa"/>
              <w:start w:w="120" w:type="dxa"/>
              <w:bottom w:w="80" w:type="dxa"/>
              <w:end w:w="120" w:type="dxa"/>
            </w:tcMar>
          </w:tcPr>
          <w:p>
            <w:pPr>
              <w:spacing w:after="0"/>
              <w:bidi w:val="1"/>
              <w:jc w:val="left"/>
            </w:pPr>
            <w:r>
              <w:rPr>
                <w:rFonts w:ascii="Arial" w:hAnsi="Arial"/>
                <w:b/>
                <w:sz w:val="18"/>
                <w:rtl w:val="1"/>
              </w:rPr>
              <w:t>פער מועמד</w:t>
            </w:r>
          </w:p>
        </w:tc>
        <w:tc>
          <w:tcPr>
            <w:tcW w:type="dxa" w:w="3000"/>
            <w:shd w:fill="F4F6F9"/>
            <w:vAlign w:val="center"/>
            <w:tcMar>
              <w:top w:w="80" w:type="dxa"/>
              <w:start w:w="120" w:type="dxa"/>
              <w:bottom w:w="80" w:type="dxa"/>
              <w:end w:w="120" w:type="dxa"/>
            </w:tcMar>
          </w:tcPr>
          <w:p>
            <w:pPr>
              <w:spacing w:after="0"/>
              <w:bidi w:val="1"/>
              <w:jc w:val="left"/>
            </w:pPr>
            <w:r>
              <w:rPr>
                <w:rFonts w:ascii="Arial" w:hAnsi="Arial"/>
                <w:b/>
                <w:sz w:val="18"/>
                <w:rtl w:val="1"/>
              </w:rPr>
              <w:t>מצב ראיות נוכחי</w:t>
            </w:r>
          </w:p>
        </w:tc>
        <w:tc>
          <w:tcPr>
            <w:tcW w:type="dxa" w:w="4160"/>
            <w:shd w:fill="F4F6F9"/>
            <w:vAlign w:val="center"/>
            <w:tcMar>
              <w:top w:w="80" w:type="dxa"/>
              <w:start w:w="120" w:type="dxa"/>
              <w:bottom w:w="80" w:type="dxa"/>
              <w:end w:w="120" w:type="dxa"/>
            </w:tcMar>
          </w:tcPr>
          <w:p>
            <w:pPr>
              <w:spacing w:after="0"/>
              <w:bidi w:val="1"/>
              <w:jc w:val="left"/>
            </w:pPr>
            <w:r>
              <w:rPr>
                <w:rFonts w:ascii="Arial" w:hAnsi="Arial"/>
                <w:b/>
                <w:sz w:val="18"/>
                <w:rtl w:val="1"/>
              </w:rPr>
              <w:t>ראיות נדרשות לסגירה</w:t>
            </w:r>
          </w:p>
        </w:tc>
      </w:tr>
      <w:tr>
        <w:trPr>
          <w:cantSplit w:val="true"/>
        </w:trPr>
        <w:tc>
          <w:tcPr>
            <w:tcW w:type="dxa" w:w="2200"/>
            <w:vAlign w:val="center"/>
            <w:tcMar>
              <w:top w:w="80" w:type="dxa"/>
              <w:start w:w="120" w:type="dxa"/>
              <w:bottom w:w="80" w:type="dxa"/>
              <w:end w:w="120" w:type="dxa"/>
            </w:tcMar>
          </w:tcPr>
          <w:p>
            <w:pPr>
              <w:spacing w:after="0"/>
              <w:bidi w:val="1"/>
              <w:jc w:val="left"/>
            </w:pPr>
            <w:r>
              <w:rPr>
                <w:rFonts w:ascii="Arial" w:hAnsi="Arial"/>
                <w:b w:val="0"/>
                <w:sz w:val="18"/>
                <w:rtl w:val="1"/>
              </w:rPr>
              <w:t>מועד התערבות וחשיבות</w:t>
            </w:r>
          </w:p>
        </w:tc>
        <w:tc>
          <w:tcPr>
            <w:tcW w:type="dxa" w:w="3000"/>
            <w:vAlign w:val="center"/>
            <w:tcMar>
              <w:top w:w="80" w:type="dxa"/>
              <w:start w:w="120" w:type="dxa"/>
              <w:bottom w:w="80" w:type="dxa"/>
              <w:end w:w="120" w:type="dxa"/>
            </w:tcMar>
          </w:tcPr>
          <w:p>
            <w:pPr>
              <w:spacing w:after="0"/>
              <w:bidi w:val="1"/>
              <w:jc w:val="left"/>
            </w:pPr>
            <w:r>
              <w:rPr>
                <w:rFonts w:ascii="Arial" w:hAnsi="Arial"/>
                <w:b w:val="0"/>
                <w:sz w:val="18"/>
                <w:rtl w:val="1"/>
              </w:rPr>
              <w:t>ממתין לסקירת טקסט מלא</w:t>
            </w:r>
          </w:p>
        </w:tc>
        <w:tc>
          <w:tcPr>
            <w:tcW w:type="dxa" w:w="4160"/>
            <w:vAlign w:val="center"/>
            <w:tcMar>
              <w:top w:w="80" w:type="dxa"/>
              <w:start w:w="120" w:type="dxa"/>
              <w:bottom w:w="80" w:type="dxa"/>
              <w:end w:w="120" w:type="dxa"/>
            </w:tcMar>
          </w:tcPr>
          <w:p>
            <w:pPr>
              <w:spacing w:after="0"/>
              <w:bidi w:val="1"/>
              <w:jc w:val="left"/>
            </w:pPr>
            <w:r>
              <w:rPr>
                <w:rFonts w:ascii="Arial" w:hAnsi="Arial"/>
                <w:b w:val="0"/>
                <w:sz w:val="18"/>
                <w:rtl w:val="1"/>
              </w:rPr>
              <w:t>מחקרים ראשוניים והגדרה עצמאית לחשיבות</w:t>
            </w:r>
          </w:p>
        </w:tc>
      </w:tr>
      <w:tr>
        <w:trPr>
          <w:cantSplit w:val="true"/>
        </w:trPr>
        <w:tc>
          <w:tcPr>
            <w:tcW w:type="dxa" w:w="2200"/>
            <w:vAlign w:val="center"/>
            <w:tcMar>
              <w:top w:w="80" w:type="dxa"/>
              <w:start w:w="120" w:type="dxa"/>
              <w:bottom w:w="80" w:type="dxa"/>
              <w:end w:w="120" w:type="dxa"/>
            </w:tcMar>
          </w:tcPr>
          <w:p>
            <w:pPr>
              <w:spacing w:after="0"/>
              <w:bidi w:val="1"/>
              <w:jc w:val="left"/>
            </w:pPr>
            <w:r>
              <w:rPr>
                <w:rFonts w:ascii="Arial" w:hAnsi="Arial"/>
                <w:b w:val="0"/>
                <w:sz w:val="18"/>
                <w:rtl w:val="1"/>
              </w:rPr>
              <w:t>ייחוס ומקור ראייתי, סמכות, קונפליקט וביטול</w:t>
            </w:r>
          </w:p>
        </w:tc>
        <w:tc>
          <w:tcPr>
            <w:tcW w:type="dxa" w:w="3000"/>
            <w:vAlign w:val="center"/>
            <w:tcMar>
              <w:top w:w="80" w:type="dxa"/>
              <w:start w:w="120" w:type="dxa"/>
              <w:bottom w:w="80" w:type="dxa"/>
              <w:end w:w="120" w:type="dxa"/>
            </w:tcMar>
          </w:tcPr>
          <w:p>
            <w:pPr>
              <w:spacing w:after="0"/>
              <w:bidi w:val="1"/>
              <w:jc w:val="left"/>
            </w:pPr>
            <w:r>
              <w:rPr>
                <w:rFonts w:ascii="Arial" w:hAnsi="Arial"/>
                <w:b w:val="0"/>
                <w:sz w:val="18"/>
                <w:rtl w:val="1"/>
              </w:rPr>
              <w:t>לא מפורש בסכמת הטקסונומיה</w:t>
            </w:r>
          </w:p>
        </w:tc>
        <w:tc>
          <w:tcPr>
            <w:tcW w:type="dxa" w:w="4160"/>
            <w:vAlign w:val="center"/>
            <w:tcMar>
              <w:top w:w="80" w:type="dxa"/>
              <w:start w:w="120" w:type="dxa"/>
              <w:bottom w:w="80" w:type="dxa"/>
              <w:end w:w="120" w:type="dxa"/>
            </w:tcMar>
          </w:tcPr>
          <w:p>
            <w:pPr>
              <w:spacing w:after="0"/>
              <w:bidi w:val="1"/>
              <w:jc w:val="left"/>
            </w:pPr>
            <w:r>
              <w:rPr>
                <w:rFonts w:ascii="Arial" w:hAnsi="Arial"/>
                <w:b w:val="0"/>
                <w:sz w:val="18"/>
                <w:rtl w:val="1"/>
              </w:rPr>
              <w:t>קידוד טקסט מלא של עבודות כלולות</w:t>
            </w:r>
          </w:p>
        </w:tc>
      </w:tr>
      <w:tr>
        <w:trPr>
          <w:cantSplit w:val="true"/>
        </w:trPr>
        <w:tc>
          <w:tcPr>
            <w:tcW w:type="dxa" w:w="2200"/>
            <w:vAlign w:val="center"/>
            <w:tcMar>
              <w:top w:w="80" w:type="dxa"/>
              <w:start w:w="120" w:type="dxa"/>
              <w:bottom w:w="80" w:type="dxa"/>
              <w:end w:w="120" w:type="dxa"/>
            </w:tcMar>
          </w:tcPr>
          <w:p>
            <w:pPr>
              <w:spacing w:after="0"/>
              <w:bidi w:val="1"/>
              <w:jc w:val="left"/>
            </w:pPr>
            <w:r>
              <w:rPr>
                <w:rFonts w:ascii="Arial" w:hAnsi="Arial"/>
                <w:b w:val="0"/>
                <w:sz w:val="18"/>
                <w:rtl w:val="1"/>
              </w:rPr>
              <w:t>שימוש חוזר בטוח בשיפוט בין הקשרים</w:t>
            </w:r>
          </w:p>
        </w:tc>
        <w:tc>
          <w:tcPr>
            <w:tcW w:type="dxa" w:w="3000"/>
            <w:vAlign w:val="center"/>
            <w:tcMar>
              <w:top w:w="80" w:type="dxa"/>
              <w:start w:w="120" w:type="dxa"/>
              <w:bottom w:w="80" w:type="dxa"/>
              <w:end w:w="120" w:type="dxa"/>
            </w:tcMar>
          </w:tcPr>
          <w:p>
            <w:pPr>
              <w:spacing w:after="0"/>
              <w:bidi w:val="1"/>
              <w:jc w:val="left"/>
            </w:pPr>
            <w:r>
              <w:rPr>
                <w:rFonts w:ascii="Arial" w:hAnsi="Arial"/>
                <w:b w:val="0"/>
                <w:sz w:val="18"/>
                <w:rtl w:val="1"/>
              </w:rPr>
              <w:t>לא מפורש בסכמת הטקסונומיה</w:t>
            </w:r>
          </w:p>
        </w:tc>
        <w:tc>
          <w:tcPr>
            <w:tcW w:type="dxa" w:w="4160"/>
            <w:vAlign w:val="center"/>
            <w:tcMar>
              <w:top w:w="80" w:type="dxa"/>
              <w:start w:w="120" w:type="dxa"/>
              <w:bottom w:w="80" w:type="dxa"/>
              <w:end w:w="120" w:type="dxa"/>
            </w:tcMar>
          </w:tcPr>
          <w:p>
            <w:pPr>
              <w:spacing w:after="0"/>
              <w:bidi w:val="1"/>
              <w:jc w:val="left"/>
            </w:pPr>
            <w:r>
              <w:rPr>
                <w:rFonts w:ascii="Arial" w:hAnsi="Arial"/>
                <w:b w:val="0"/>
                <w:sz w:val="18"/>
                <w:rtl w:val="1"/>
              </w:rPr>
              <w:t>ראיות ליחידת העברה ולגבולות הקשר</w:t>
            </w:r>
          </w:p>
        </w:tc>
      </w:tr>
      <w:tr>
        <w:trPr>
          <w:cantSplit w:val="true"/>
        </w:trPr>
        <w:tc>
          <w:tcPr>
            <w:tcW w:type="dxa" w:w="2200"/>
            <w:vAlign w:val="center"/>
            <w:tcMar>
              <w:top w:w="80" w:type="dxa"/>
              <w:start w:w="120" w:type="dxa"/>
              <w:bottom w:w="80" w:type="dxa"/>
              <w:end w:w="120" w:type="dxa"/>
            </w:tcMar>
          </w:tcPr>
          <w:p>
            <w:pPr>
              <w:spacing w:after="0"/>
              <w:bidi w:val="1"/>
              <w:jc w:val="left"/>
            </w:pPr>
            <w:r>
              <w:rPr>
                <w:rFonts w:ascii="Arial" w:hAnsi="Arial"/>
                <w:b w:val="0"/>
                <w:sz w:val="18"/>
                <w:rtl w:val="1"/>
              </w:rPr>
              <w:t>עומס מומחה שנמדד</w:t>
            </w:r>
          </w:p>
        </w:tc>
        <w:tc>
          <w:tcPr>
            <w:tcW w:type="dxa" w:w="3000"/>
            <w:vAlign w:val="center"/>
            <w:tcMar>
              <w:top w:w="80" w:type="dxa"/>
              <w:start w:w="120" w:type="dxa"/>
              <w:bottom w:w="80" w:type="dxa"/>
              <w:end w:w="120" w:type="dxa"/>
            </w:tcMar>
          </w:tcPr>
          <w:p>
            <w:pPr>
              <w:spacing w:after="0"/>
              <w:bidi w:val="1"/>
              <w:jc w:val="left"/>
            </w:pPr>
            <w:r>
              <w:rPr>
                <w:rFonts w:ascii="Arial" w:hAnsi="Arial"/>
                <w:b w:val="0"/>
                <w:sz w:val="18"/>
                <w:rtl w:val="1"/>
              </w:rPr>
              <w:t>לא מפורש בסכמת הטקסונומיה</w:t>
            </w:r>
          </w:p>
        </w:tc>
        <w:tc>
          <w:tcPr>
            <w:tcW w:type="dxa" w:w="4160"/>
            <w:vAlign w:val="center"/>
            <w:tcMar>
              <w:top w:w="80" w:type="dxa"/>
              <w:start w:w="120" w:type="dxa"/>
              <w:bottom w:w="80" w:type="dxa"/>
              <w:end w:w="120" w:type="dxa"/>
            </w:tcMar>
          </w:tcPr>
          <w:p>
            <w:pPr>
              <w:spacing w:after="0"/>
              <w:bidi w:val="1"/>
              <w:jc w:val="left"/>
            </w:pPr>
            <w:r>
              <w:rPr>
                <w:rFonts w:ascii="Arial" w:hAnsi="Arial"/>
                <w:b w:val="0"/>
                <w:sz w:val="18"/>
                <w:rtl w:val="1"/>
              </w:rPr>
              <w:t>זמן משימה ומדדי עומס אנושיים</w:t>
            </w:r>
          </w:p>
        </w:tc>
      </w:tr>
    </w:tbl>
    <w:p>
      <w:pPr>
        <w:spacing w:after="0"/>
      </w:pPr>
    </w:p>
    <w:p>
      <w:pPr>
        <w:bidi w:val="1"/>
        <w:jc w:val="left"/>
      </w:pPr>
      <w:r>
        <w:rPr>
          <w:rFonts w:ascii="Arial" w:hAnsi="Arial"/>
          <w:b w:val="0"/>
          <w:i/>
          <w:color w:val="5B6578"/>
          <w:sz w:val="18"/>
          <w:rtl w:val="1"/>
        </w:rPr>
        <w:t xml:space="preserve">עוגני מקור: </w:t>
      </w:r>
      <w:r>
        <w:rPr>
          <w:rFonts w:ascii="Arial" w:hAnsi="Arial"/>
          <w:b w:val="0"/>
          <w:i/>
          <w:color w:val="5B6578"/>
          <w:sz w:val="18"/>
          <w:rtl w:val="0"/>
        </w:rPr>
        <w:t>‎C2‑ACL‑01‎</w:t>
      </w:r>
      <w:r>
        <w:rPr>
          <w:rFonts w:ascii="Arial" w:hAnsi="Arial"/>
          <w:b w:val="0"/>
          <w:i/>
          <w:color w:val="5B6578"/>
          <w:sz w:val="18"/>
          <w:rtl w:val="1"/>
        </w:rPr>
        <w:t xml:space="preserve">; </w:t>
      </w:r>
      <w:r>
        <w:rPr>
          <w:rFonts w:ascii="Arial" w:hAnsi="Arial"/>
          <w:b w:val="0"/>
          <w:i/>
          <w:color w:val="5B6578"/>
          <w:sz w:val="18"/>
          <w:rtl w:val="0"/>
        </w:rPr>
        <w:t>‎C2‑ACL‑03‎</w:t>
      </w:r>
      <w:r>
        <w:rPr>
          <w:rFonts w:ascii="Arial" w:hAnsi="Arial"/>
          <w:b w:val="0"/>
          <w:i/>
          <w:color w:val="5B6578"/>
          <w:sz w:val="18"/>
          <w:rtl w:val="1"/>
        </w:rPr>
        <w:t xml:space="preserve">; </w:t>
      </w:r>
      <w:r>
        <w:rPr>
          <w:rFonts w:ascii="Arial" w:hAnsi="Arial"/>
          <w:b w:val="0"/>
          <w:i/>
          <w:color w:val="5B6578"/>
          <w:sz w:val="18"/>
          <w:rtl w:val="0"/>
        </w:rPr>
        <w:t>‎C2‑ACL‑04‎</w:t>
      </w:r>
      <w:r>
        <w:rPr>
          <w:rFonts w:ascii="Arial" w:hAnsi="Arial"/>
          <w:b w:val="0"/>
          <w:i/>
          <w:color w:val="5B6578"/>
          <w:sz w:val="18"/>
          <w:rtl w:val="1"/>
        </w:rPr>
        <w:t xml:space="preserve">; </w:t>
      </w:r>
      <w:r>
        <w:rPr>
          <w:rFonts w:ascii="Arial" w:hAnsi="Arial"/>
          <w:b w:val="0"/>
          <w:i/>
          <w:color w:val="5B6578"/>
          <w:sz w:val="18"/>
          <w:rtl w:val="0"/>
        </w:rPr>
        <w:t>‎C2‑ACL‑05‎</w:t>
      </w:r>
    </w:p>
    <w:p>
      <w:pPr>
        <w:pStyle w:val="Heading1"/>
        <w:bidi w:val="1"/>
        <w:jc w:val="left"/>
      </w:pPr>
      <w:r>
        <w:rPr>
          <w:rFonts w:ascii="Arial" w:hAnsi="Arial"/>
          <w:b w:val="0"/>
          <w:rtl w:val="0"/>
        </w:rPr>
        <w:t>‎C2‑08‎</w:t>
      </w:r>
      <w:r>
        <w:rPr>
          <w:rFonts w:ascii="Arial" w:hAnsi="Arial"/>
          <w:b w:val="0"/>
          <w:rtl w:val="1"/>
        </w:rPr>
        <w:t xml:space="preserve">  מקטע הספרות הבא ומרשם המקורות</w:t>
      </w:r>
    </w:p>
    <w:p>
      <w:pPr>
        <w:bidi w:val="1"/>
        <w:jc w:val="both"/>
      </w:pPr>
      <w:r>
        <w:rPr>
          <w:rFonts w:ascii="Arial" w:hAnsi="Arial"/>
          <w:b w:val="0"/>
          <w:rtl w:val="1"/>
        </w:rPr>
        <w:t>המשימה הבאה המומלצת היא מקטע סינון אנושי מבוקר של שתים-עשרה המועמדות השמרניות. לכל עבודה יש לאמת זהות ביבליוגרפית, לבדוק כותרת ותקציר, לתעד הכללה או החרגה עם סיבה, ולסקור טקסט מלא רק אם נכללה. מסקנות המחברים והסינתזה של עלי חייבות להישאר בשדות נפרדים בחוברת העבודה המקורית.</w:t>
      </w:r>
    </w:p>
    <w:p>
      <w:pPr>
        <w:bidi w:val="1"/>
        <w:jc w:val="both"/>
      </w:pPr>
      <w:r>
        <w:rPr>
          <w:rFonts w:ascii="Arial" w:hAnsi="Arial"/>
          <w:b w:val="0"/>
          <w:rtl w:val="1"/>
        </w:rPr>
        <w:t xml:space="preserve">חוברת הספרות הקנונית נזכרת כאן רק באמצעות הכינוי האטום </w:t>
      </w:r>
      <w:r>
        <w:rPr>
          <w:rFonts w:ascii="Arial" w:hAnsi="Arial"/>
          <w:b w:val="0"/>
          <w:rtl w:val="0"/>
        </w:rPr>
        <w:t>‎VEGO‑AI‑PHD‑LITERATURE‑WORKBOOK‎</w:t>
      </w:r>
      <w:r>
        <w:rPr>
          <w:rFonts w:ascii="Arial" w:hAnsi="Arial"/>
          <w:b w:val="0"/>
          <w:rtl w:val="1"/>
        </w:rPr>
        <w:t xml:space="preserve"> ואינה משוכפלת בחבילה זו. הקישור החי אינו נכלל בחבילת הבדיקה המתועדת, וניתן להזריקו רק מתוך קובץ קישור פרטי שאינו במעקב Git ולאחר שעלי יאשר את חבילת השחרור המדויקת. תמונת המצב מ-15 באוגוסט כוללת שש שורות מאמרים; 116 שורות הקורפוס שהוכנו להוספה טרם נכתבו. כל הוספה מחייבת אישור של עלי, בדיקה טרייה של כותרות וספירות שורות, ותיקון הרשאות השיתוף לפני בדיקות גישת נמענים.</w:t>
      </w:r>
    </w:p>
    <w:p>
      <w:pPr>
        <w:bidi w:val="1"/>
        <w:jc w:val="both"/>
      </w:pPr>
      <w:r>
        <w:rPr>
          <w:rFonts w:ascii="Arial" w:hAnsi="Arial"/>
          <w:b w:val="0"/>
          <w:rtl w:val="1"/>
        </w:rPr>
        <w:t xml:space="preserve">החיפושים הרחבים </w:t>
      </w:r>
      <w:r>
        <w:rPr>
          <w:rFonts w:ascii="Arial" w:hAnsi="Arial"/>
          <w:b w:val="0"/>
          <w:rtl w:val="0"/>
        </w:rPr>
        <w:t>‎QL‑01‎</w:t>
      </w:r>
      <w:r>
        <w:rPr>
          <w:rFonts w:ascii="Arial" w:hAnsi="Arial"/>
          <w:b w:val="0"/>
          <w:rtl w:val="1"/>
        </w:rPr>
        <w:t xml:space="preserve"> עד </w:t>
      </w:r>
      <w:r>
        <w:rPr>
          <w:rFonts w:ascii="Arial" w:hAnsi="Arial"/>
          <w:b w:val="0"/>
          <w:rtl w:val="0"/>
        </w:rPr>
        <w:t>‎QL‑05‎</w:t>
      </w:r>
      <w:r>
        <w:rPr>
          <w:rFonts w:ascii="Arial" w:hAnsi="Arial"/>
          <w:b w:val="0"/>
          <w:rtl w:val="1"/>
        </w:rPr>
        <w:t xml:space="preserve"> נשארים דחויים. החלטת המנחים הבאה היא אם הקורפוס המוגבל ומקטע הסינון בן שתים-עשרה העבודות מספיקים לפרק 2 בשלב ההצעה, או שיש לקדם שאילתת מאגר מסוימת לפני חזרה למתודולוגיה.</w:t>
      </w:r>
    </w:p>
    <w:p>
      <w:pPr>
        <w:bidi w:val="1"/>
        <w:jc w:val="left"/>
      </w:pPr>
      <w:r>
        <w:rPr>
          <w:rFonts w:ascii="Arial" w:hAnsi="Arial"/>
          <w:b w:val="0"/>
          <w:i/>
          <w:color w:val="5B6578"/>
          <w:sz w:val="18"/>
          <w:rtl w:val="1"/>
        </w:rPr>
        <w:t xml:space="preserve">עוגני מקור: </w:t>
      </w:r>
      <w:r>
        <w:rPr>
          <w:rFonts w:ascii="Arial" w:hAnsi="Arial"/>
          <w:b w:val="0"/>
          <w:i/>
          <w:color w:val="5B6578"/>
          <w:sz w:val="18"/>
          <w:rtl w:val="0"/>
        </w:rPr>
        <w:t>‎C2‑ACL‑01‎</w:t>
      </w:r>
      <w:r>
        <w:rPr>
          <w:rFonts w:ascii="Arial" w:hAnsi="Arial"/>
          <w:b w:val="0"/>
          <w:i/>
          <w:color w:val="5B6578"/>
          <w:sz w:val="18"/>
          <w:rtl w:val="1"/>
        </w:rPr>
        <w:t xml:space="preserve">; </w:t>
      </w:r>
      <w:r>
        <w:rPr>
          <w:rFonts w:ascii="Arial" w:hAnsi="Arial"/>
          <w:b w:val="0"/>
          <w:i/>
          <w:color w:val="5B6578"/>
          <w:sz w:val="18"/>
          <w:rtl w:val="0"/>
        </w:rPr>
        <w:t>‎C2‑ACL‑02‎</w:t>
      </w:r>
      <w:r>
        <w:rPr>
          <w:rFonts w:ascii="Arial" w:hAnsi="Arial"/>
          <w:b w:val="0"/>
          <w:i/>
          <w:color w:val="5B6578"/>
          <w:sz w:val="18"/>
          <w:rtl w:val="1"/>
        </w:rPr>
        <w:t xml:space="preserve">; </w:t>
      </w:r>
      <w:r>
        <w:rPr>
          <w:rFonts w:ascii="Arial" w:hAnsi="Arial"/>
          <w:b w:val="0"/>
          <w:i/>
          <w:color w:val="5B6578"/>
          <w:sz w:val="18"/>
          <w:rtl w:val="0"/>
        </w:rPr>
        <w:t>‎C2‑ACL‑03‎</w:t>
      </w:r>
      <w:r>
        <w:rPr>
          <w:rFonts w:ascii="Arial" w:hAnsi="Arial"/>
          <w:b w:val="0"/>
          <w:i/>
          <w:color w:val="5B6578"/>
          <w:sz w:val="18"/>
          <w:rtl w:val="1"/>
        </w:rPr>
        <w:t xml:space="preserve">; </w:t>
      </w:r>
      <w:r>
        <w:rPr>
          <w:rFonts w:ascii="Arial" w:hAnsi="Arial"/>
          <w:b w:val="0"/>
          <w:i/>
          <w:color w:val="5B6578"/>
          <w:sz w:val="18"/>
          <w:rtl w:val="0"/>
        </w:rPr>
        <w:t>‎C2‑ACL‑04‎</w:t>
      </w:r>
      <w:r>
        <w:rPr>
          <w:rFonts w:ascii="Arial" w:hAnsi="Arial"/>
          <w:b w:val="0"/>
          <w:i/>
          <w:color w:val="5B6578"/>
          <w:sz w:val="18"/>
          <w:rtl w:val="1"/>
        </w:rPr>
        <w:t xml:space="preserve">; </w:t>
      </w:r>
      <w:r>
        <w:rPr>
          <w:rFonts w:ascii="Arial" w:hAnsi="Arial"/>
          <w:b w:val="0"/>
          <w:i/>
          <w:color w:val="5B6578"/>
          <w:sz w:val="18"/>
          <w:rtl w:val="0"/>
        </w:rPr>
        <w:t>‎C2‑ACL‑05‎</w:t>
      </w:r>
      <w:r>
        <w:rPr>
          <w:rFonts w:ascii="Arial" w:hAnsi="Arial"/>
          <w:b w:val="0"/>
          <w:i/>
          <w:color w:val="5B6578"/>
          <w:sz w:val="18"/>
          <w:rtl w:val="1"/>
        </w:rPr>
        <w:t xml:space="preserve">; </w:t>
      </w:r>
      <w:r>
        <w:rPr>
          <w:rFonts w:ascii="Arial" w:hAnsi="Arial"/>
          <w:b w:val="0"/>
          <w:i/>
          <w:color w:val="5B6578"/>
          <w:sz w:val="18"/>
          <w:rtl w:val="0"/>
        </w:rPr>
        <w:t>‎C2‑ACL‑06‎</w:t>
      </w:r>
    </w:p>
    <w:p>
      <w:pPr>
        <w:pStyle w:val="Heading1"/>
        <w:bidi w:val="1"/>
        <w:jc w:val="left"/>
      </w:pPr>
      <w:r>
        <w:rPr>
          <w:rFonts w:ascii="Arial" w:hAnsi="Arial"/>
          <w:b w:val="0"/>
          <w:rtl w:val="1"/>
        </w:rPr>
        <w:t>מקורות ועוגני ראיות</w:t>
      </w:r>
    </w:p>
    <w:p>
      <w:pPr>
        <w:bidi w:val="1"/>
        <w:jc w:val="both"/>
      </w:pPr>
      <w:r>
        <w:rPr>
          <w:rFonts w:ascii="Arial" w:hAnsi="Arial"/>
          <w:b w:val="0"/>
          <w:rtl w:val="1"/>
        </w:rPr>
        <w:t xml:space="preserve">עוגני </w:t>
      </w:r>
      <w:r>
        <w:rPr>
          <w:rFonts w:ascii="Arial" w:hAnsi="Arial"/>
          <w:b w:val="0"/>
          <w:rtl w:val="0"/>
        </w:rPr>
        <w:t>‎ACL‎</w:t>
      </w:r>
      <w:r>
        <w:rPr>
          <w:rFonts w:ascii="Arial" w:hAnsi="Arial"/>
          <w:b w:val="0"/>
          <w:rtl w:val="1"/>
        </w:rPr>
        <w:t xml:space="preserve"> להלן נבדקו ברמת עמוד. שתים-עשרה העבודות הנוספות הן מועמדות לסינון אנושי בלבד.</w:t>
      </w:r>
    </w:p>
    <w:p>
      <w:pPr>
        <w:bidi w:val="1"/>
        <w:jc w:val="left"/>
      </w:pPr>
      <w:r>
        <w:rPr>
          <w:rFonts w:ascii="Arial" w:hAnsi="Arial"/>
          <w:b/>
          <w:rtl w:val="0"/>
        </w:rPr>
        <w:t>‎C2‑ACL‑01‎</w:t>
      </w:r>
      <w:r>
        <w:rPr>
          <w:rFonts w:ascii="Arial" w:hAnsi="Arial"/>
          <w:b/>
          <w:rtl w:val="1"/>
        </w:rPr>
        <w:t xml:space="preserve"> | p. 36335, Abstract | הסקירה ממסגרת מערכות אדם-סוכן המבוססות על מודלי שפה כמערכות המשלבות מידע, משוב או שליטה אנושיים, ומארגנת את התחום סביב סביבה ואפיון, משוב, אינטראקציה, תזמור ותקשורת.</w:t>
      </w:r>
    </w:p>
    <w:p>
      <w:pPr>
        <w:bidi w:val="1"/>
        <w:jc w:val="left"/>
      </w:pPr>
      <w:r>
        <w:rPr>
          <w:rFonts w:ascii="Arial" w:hAnsi="Arial"/>
          <w:b w:val="0"/>
          <w:rtl w:val="1"/>
        </w:rPr>
        <w:t xml:space="preserve">גבול: זהו מסגור של מחברי הסקירה; אין זו הוכחה לשיפור ביצועים, אמינות או בטיחות. </w:t>
      </w:r>
      <w:hyperlink r:id="rId11">
        <w:r>
          <w:rPr>
            <w:color w:val="2E74B5"/>
            <w:u w:val="single"/>
            <w:rtl w:val="0"/>
          </w:rPr>
          <w:t>https://aclanthology.org/2026.findings-acl.1811/</w:t>
        </w:r>
      </w:hyperlink>
    </w:p>
    <w:p>
      <w:pPr>
        <w:bidi w:val="1"/>
        <w:jc w:val="left"/>
      </w:pPr>
      <w:r>
        <w:rPr>
          <w:rFonts w:ascii="Arial" w:hAnsi="Arial"/>
          <w:b/>
          <w:rtl w:val="0"/>
        </w:rPr>
        <w:t>‎C2‑ACL‑02‎</w:t>
      </w:r>
      <w:r>
        <w:rPr>
          <w:rFonts w:ascii="Arial" w:hAnsi="Arial"/>
          <w:b/>
          <w:rtl w:val="1"/>
        </w:rPr>
        <w:t xml:space="preserve"> | p. 36336, Figure 1 and Section 2 | מודל הסקירה מזהה חמישה רכיבי מערכת ותפקידי אדם הכוללים מידע או הבהרה, משוב או תיקון, ושליטה או פעולה.</w:t>
      </w:r>
    </w:p>
    <w:p>
      <w:pPr>
        <w:bidi w:val="1"/>
        <w:jc w:val="left"/>
      </w:pPr>
      <w:r>
        <w:rPr>
          <w:rFonts w:ascii="Arial" w:hAnsi="Arial"/>
          <w:b w:val="0"/>
          <w:rtl w:val="1"/>
        </w:rPr>
        <w:t xml:space="preserve">גבול: בסיס טקסונומי בלבד; התועלות המנויות אינן תוצאות של </w:t>
      </w:r>
      <w:r>
        <w:rPr>
          <w:rFonts w:ascii="Arial" w:hAnsi="Arial"/>
          <w:b w:val="0"/>
          <w:rtl w:val="0"/>
        </w:rPr>
        <w:t>‎VEGO‑AI‎</w:t>
      </w:r>
      <w:r>
        <w:rPr>
          <w:rFonts w:ascii="Arial" w:hAnsi="Arial"/>
          <w:b w:val="0"/>
          <w:rtl w:val="1"/>
        </w:rPr>
        <w:t xml:space="preserve">. </w:t>
      </w:r>
      <w:hyperlink r:id="rId11">
        <w:r>
          <w:rPr>
            <w:color w:val="2E74B5"/>
            <w:u w:val="single"/>
            <w:rtl w:val="0"/>
          </w:rPr>
          <w:t>https://aclanthology.org/2026.findings-acl.1811/</w:t>
        </w:r>
      </w:hyperlink>
    </w:p>
    <w:p>
      <w:pPr>
        <w:bidi w:val="1"/>
        <w:jc w:val="left"/>
      </w:pPr>
      <w:r>
        <w:rPr>
          <w:rFonts w:ascii="Arial" w:hAnsi="Arial"/>
          <w:b/>
          <w:rtl w:val="0"/>
        </w:rPr>
        <w:t>‎C2‑ACL‑03‎</w:t>
      </w:r>
      <w:r>
        <w:rPr>
          <w:rFonts w:ascii="Arial" w:hAnsi="Arial"/>
          <w:b/>
          <w:rtl w:val="1"/>
        </w:rPr>
        <w:t xml:space="preserve"> | pp. 36337-36338, Section 3.2 and Table 1 | משוב אנושי מסווג לפי סוג, גרנולריות ושלב, ובכלל זה משוב הערכתי, מתקן, מנחה ומרומז.</w:t>
      </w:r>
    </w:p>
    <w:p>
      <w:pPr>
        <w:bidi w:val="1"/>
        <w:jc w:val="left"/>
      </w:pPr>
      <w:r>
        <w:rPr>
          <w:rFonts w:ascii="Arial" w:hAnsi="Arial"/>
          <w:b w:val="0"/>
          <w:rtl w:val="1"/>
        </w:rPr>
        <w:t xml:space="preserve">גבול: הגדרות הקטגוריות מדווחות במקור; ממצאי העבודות הבודדות טרם נסקרו. </w:t>
      </w:r>
      <w:hyperlink r:id="rId11">
        <w:r>
          <w:rPr>
            <w:color w:val="2E74B5"/>
            <w:u w:val="single"/>
            <w:rtl w:val="0"/>
          </w:rPr>
          <w:t>https://aclanthology.org/2026.findings-acl.1811/</w:t>
        </w:r>
      </w:hyperlink>
    </w:p>
    <w:p>
      <w:pPr>
        <w:bidi w:val="1"/>
        <w:jc w:val="left"/>
      </w:pPr>
      <w:r>
        <w:rPr>
          <w:rFonts w:ascii="Arial" w:hAnsi="Arial"/>
          <w:b/>
          <w:rtl w:val="0"/>
        </w:rPr>
        <w:t>‎C2‑ACL‑04‎</w:t>
      </w:r>
      <w:r>
        <w:rPr>
          <w:rFonts w:ascii="Arial" w:hAnsi="Arial"/>
          <w:b/>
          <w:rtl w:val="1"/>
        </w:rPr>
        <w:t xml:space="preserve"> | pp. 36339-36340, Section 3.3, Figure 2 and Table 2 | אינטראקציה מובחנת לשיתוף פעולה, תחרות ושילוב ביניהם; שיתוף פעולה מפורט להאצלה, פיקוח, שיתוף ותיאום.</w:t>
      </w:r>
    </w:p>
    <w:p>
      <w:pPr>
        <w:bidi w:val="1"/>
        <w:jc w:val="left"/>
      </w:pPr>
      <w:r>
        <w:rPr>
          <w:rFonts w:ascii="Arial" w:hAnsi="Arial"/>
          <w:b w:val="0"/>
          <w:rtl w:val="1"/>
        </w:rPr>
        <w:t xml:space="preserve">גבול: טקסונומיה אחת של סקירה, ולא הסיווג האפשרי היחיד. </w:t>
      </w:r>
      <w:hyperlink r:id="rId11">
        <w:r>
          <w:rPr>
            <w:color w:val="2E74B5"/>
            <w:u w:val="single"/>
            <w:rtl w:val="0"/>
          </w:rPr>
          <w:t>https://aclanthology.org/2026.findings-acl.1811/</w:t>
        </w:r>
      </w:hyperlink>
    </w:p>
    <w:p>
      <w:pPr>
        <w:bidi w:val="1"/>
        <w:jc w:val="left"/>
      </w:pPr>
      <w:r>
        <w:rPr>
          <w:rFonts w:ascii="Arial" w:hAnsi="Arial"/>
          <w:b/>
          <w:rtl w:val="0"/>
        </w:rPr>
        <w:t>‎C2‑ACL‑05‎</w:t>
      </w:r>
      <w:r>
        <w:rPr>
          <w:rFonts w:ascii="Arial" w:hAnsi="Arial"/>
          <w:b/>
          <w:rtl w:val="1"/>
        </w:rPr>
        <w:t xml:space="preserve"> | pp. 36340-36341, Sections 3.4-3.5 and Table 2 | תזמור מבחין בין אסטרטגיית משימה לבין סנכרון בזמן, ואילו תקשורת מבחינה בין מבנה לבין אופן תקשורת.</w:t>
      </w:r>
    </w:p>
    <w:p>
      <w:pPr>
        <w:bidi w:val="1"/>
        <w:jc w:val="left"/>
      </w:pPr>
      <w:r>
        <w:rPr>
          <w:rFonts w:ascii="Arial" w:hAnsi="Arial"/>
          <w:b w:val="0"/>
          <w:rtl w:val="1"/>
        </w:rPr>
        <w:t xml:space="preserve">גבול: אין להסיק אפקטיביות יישומית ללא סקירת המחקרים הראשוניים. </w:t>
      </w:r>
      <w:hyperlink r:id="rId11">
        <w:r>
          <w:rPr>
            <w:color w:val="2E74B5"/>
            <w:u w:val="single"/>
            <w:rtl w:val="0"/>
          </w:rPr>
          <w:t>https://aclanthology.org/2026.findings-acl.1811/</w:t>
        </w:r>
      </w:hyperlink>
    </w:p>
    <w:p>
      <w:pPr>
        <w:bidi w:val="1"/>
        <w:jc w:val="left"/>
      </w:pPr>
      <w:r>
        <w:rPr>
          <w:rFonts w:ascii="Arial" w:hAnsi="Arial"/>
          <w:b/>
          <w:rtl w:val="0"/>
        </w:rPr>
        <w:t>‎C2‑ACL‑06‎</w:t>
      </w:r>
      <w:r>
        <w:rPr>
          <w:rFonts w:ascii="Arial" w:hAnsi="Arial"/>
          <w:b/>
          <w:rtl w:val="1"/>
        </w:rPr>
        <w:t xml:space="preserve"> | pp. 36341-36342, Section 3.6 and Table 3 | הסקירה מוסיפה סולם סוכנות אנושית בן חמש רמות, מאוטומציה מלאה ועד עבודה המונעת בידי אדם.</w:t>
      </w:r>
    </w:p>
    <w:p>
      <w:pPr>
        <w:bidi w:val="1"/>
        <w:jc w:val="left"/>
      </w:pPr>
      <w:r>
        <w:rPr>
          <w:rFonts w:ascii="Arial" w:hAnsi="Arial"/>
          <w:b w:val="0"/>
          <w:rtl w:val="1"/>
        </w:rPr>
        <w:t xml:space="preserve">גבול: בחירת הסולם והתאמתו מחייבות הערכה ביקורתית. </w:t>
      </w:r>
      <w:hyperlink r:id="rId11">
        <w:r>
          <w:rPr>
            <w:color w:val="2E74B5"/>
            <w:u w:val="single"/>
            <w:rtl w:val="0"/>
          </w:rPr>
          <w:t>https://aclanthology.org/2026.findings-acl.1811/</w:t>
        </w:r>
      </w:hyperlink>
    </w:p>
    <w:p>
      <w:pPr>
        <w:pStyle w:val="Heading2"/>
        <w:bidi w:val="1"/>
        <w:jc w:val="left"/>
      </w:pPr>
      <w:r>
        <w:rPr>
          <w:rFonts w:ascii="Arial" w:hAnsi="Arial"/>
          <w:b w:val="0"/>
          <w:rtl w:val="1"/>
        </w:rPr>
        <w:t>מועמדות שמרניות לסינון</w:t>
      </w:r>
    </w:p>
    <w:p>
      <w:pPr>
        <w:bidi w:val="1"/>
        <w:jc w:val="left"/>
      </w:pPr>
      <w:r>
        <w:rPr>
          <w:rFonts w:ascii="Arial" w:hAnsi="Arial"/>
          <w:b w:val="0"/>
          <w:rtl w:val="0"/>
        </w:rPr>
        <w:t>‎C2‑KS‑01‎</w:t>
      </w:r>
      <w:r>
        <w:rPr>
          <w:rFonts w:ascii="Arial" w:hAnsi="Arial"/>
          <w:b w:val="0"/>
          <w:rtl w:val="1"/>
        </w:rPr>
        <w:t xml:space="preserve"> | LLM-Based Human-Agent Collaboration and Interaction Systems: A Survey | בסיס טקסונומי | </w:t>
      </w:r>
      <w:hyperlink r:id="rId12">
        <w:r>
          <w:rPr>
            <w:color w:val="2E74B5"/>
            <w:u w:val="single"/>
            <w:rtl w:val="0"/>
          </w:rPr>
          <w:t>https://arxiv.org/abs/2505.00753</w:t>
        </w:r>
      </w:hyperlink>
    </w:p>
    <w:p>
      <w:pPr>
        <w:bidi w:val="1"/>
        <w:jc w:val="left"/>
      </w:pPr>
      <w:r>
        <w:rPr>
          <w:rFonts w:ascii="Arial" w:hAnsi="Arial"/>
          <w:b w:val="0"/>
          <w:rtl w:val="0"/>
        </w:rPr>
        <w:t>‎C2‑KS‑02‎</w:t>
      </w:r>
      <w:r>
        <w:rPr>
          <w:rFonts w:ascii="Arial" w:hAnsi="Arial"/>
          <w:b w:val="0"/>
          <w:rtl w:val="1"/>
        </w:rPr>
        <w:t xml:space="preserve"> | Ask or Assume? Uncertainty-Aware Clarification-Seeking in Coding Agents | מועמד לבחינת בקשת הבהרה | </w:t>
      </w:r>
      <w:hyperlink r:id="rId13">
        <w:r>
          <w:rPr>
            <w:color w:val="2E74B5"/>
            <w:u w:val="single"/>
            <w:rtl w:val="0"/>
          </w:rPr>
          <w:t>https://arxiv.org/abs/2603.26233</w:t>
        </w:r>
      </w:hyperlink>
    </w:p>
    <w:p>
      <w:pPr>
        <w:bidi w:val="1"/>
        <w:jc w:val="left"/>
      </w:pPr>
      <w:r>
        <w:rPr>
          <w:rFonts w:ascii="Arial" w:hAnsi="Arial"/>
          <w:b w:val="0"/>
          <w:rtl w:val="0"/>
        </w:rPr>
        <w:t>‎C2‑KS‑03‎</w:t>
      </w:r>
      <w:r>
        <w:rPr>
          <w:rFonts w:ascii="Arial" w:hAnsi="Arial"/>
          <w:b w:val="0"/>
          <w:rtl w:val="1"/>
        </w:rPr>
        <w:t xml:space="preserve"> | Ask-before-Plan: Proactive Language Agents for Real-World Planning | מועמד להתערבות יזומה | </w:t>
      </w:r>
      <w:hyperlink r:id="rId14">
        <w:r>
          <w:rPr>
            <w:color w:val="2E74B5"/>
            <w:u w:val="single"/>
            <w:rtl w:val="0"/>
          </w:rPr>
          <w:t>https://aclanthology.org/2024.findings-emnlp.636/</w:t>
        </w:r>
      </w:hyperlink>
    </w:p>
    <w:p>
      <w:pPr>
        <w:bidi w:val="1"/>
        <w:jc w:val="left"/>
      </w:pPr>
      <w:r>
        <w:rPr>
          <w:rFonts w:ascii="Arial" w:hAnsi="Arial"/>
          <w:b w:val="0"/>
          <w:rtl w:val="0"/>
        </w:rPr>
        <w:t>‎C2‑KS‑04‎</w:t>
      </w:r>
      <w:r>
        <w:rPr>
          <w:rFonts w:ascii="Arial" w:hAnsi="Arial"/>
          <w:b w:val="0"/>
          <w:rtl w:val="1"/>
        </w:rPr>
        <w:t xml:space="preserve"> | A Decoupled Human-in-the-Loop System for Controlled Autonomy in Agentic Workflows | מועמד לאוטונומיה מוגבלת | </w:t>
      </w:r>
      <w:hyperlink r:id="rId15">
        <w:r>
          <w:rPr>
            <w:color w:val="2E74B5"/>
            <w:u w:val="single"/>
            <w:rtl w:val="0"/>
          </w:rPr>
          <w:t>https://arxiv.org/abs/2604.23049</w:t>
        </w:r>
      </w:hyperlink>
    </w:p>
    <w:p>
      <w:pPr>
        <w:bidi w:val="1"/>
        <w:jc w:val="left"/>
      </w:pPr>
      <w:r>
        <w:rPr>
          <w:rFonts w:ascii="Arial" w:hAnsi="Arial"/>
          <w:b w:val="0"/>
          <w:rtl w:val="0"/>
        </w:rPr>
        <w:t>‎C2‑KS‑05‎</w:t>
      </w:r>
      <w:r>
        <w:rPr>
          <w:rFonts w:ascii="Arial" w:hAnsi="Arial"/>
          <w:b w:val="0"/>
          <w:rtl w:val="1"/>
        </w:rPr>
        <w:t xml:space="preserve"> | Human Oversight of Agentic Systems in Practice | מועמד לבחינת עבודת פיקוח | </w:t>
      </w:r>
      <w:hyperlink r:id="rId16">
        <w:r>
          <w:rPr>
            <w:color w:val="2E74B5"/>
            <w:u w:val="single"/>
            <w:rtl w:val="0"/>
          </w:rPr>
          <w:t>https://arxiv.org/abs/2606.05391</w:t>
        </w:r>
      </w:hyperlink>
    </w:p>
    <w:p>
      <w:pPr>
        <w:bidi w:val="1"/>
        <w:jc w:val="left"/>
      </w:pPr>
      <w:r>
        <w:rPr>
          <w:rFonts w:ascii="Arial" w:hAnsi="Arial"/>
          <w:b w:val="0"/>
          <w:rtl w:val="0"/>
        </w:rPr>
        <w:t>‎C2‑KS‑06‎</w:t>
      </w:r>
      <w:r>
        <w:rPr>
          <w:rFonts w:ascii="Arial" w:hAnsi="Arial"/>
          <w:b w:val="0"/>
          <w:rtl w:val="1"/>
        </w:rPr>
        <w:t xml:space="preserve"> | Collaborative Gym: A Framework for Enabling and Evaluating Human-Agent Collaboration | מועמד להערכה | </w:t>
      </w:r>
      <w:hyperlink r:id="rId17">
        <w:r>
          <w:rPr>
            <w:color w:val="2E74B5"/>
            <w:u w:val="single"/>
            <w:rtl w:val="0"/>
          </w:rPr>
          <w:t>https://arxiv.org/abs/2412.15701</w:t>
        </w:r>
      </w:hyperlink>
    </w:p>
    <w:p>
      <w:pPr>
        <w:bidi w:val="1"/>
        <w:jc w:val="left"/>
      </w:pPr>
      <w:r>
        <w:rPr>
          <w:rFonts w:ascii="Arial" w:hAnsi="Arial"/>
          <w:b w:val="0"/>
          <w:rtl w:val="0"/>
        </w:rPr>
        <w:t>‎C2‑KS‑07‎</w:t>
      </w:r>
      <w:r>
        <w:rPr>
          <w:rFonts w:ascii="Arial" w:hAnsi="Arial"/>
          <w:b w:val="0"/>
          <w:rtl w:val="1"/>
        </w:rPr>
        <w:t xml:space="preserve"> | MINT: Evaluating LLMs in Multi-turn Interaction with Tools and Language Feedback | מועמד לסביבת משוב | </w:t>
      </w:r>
      <w:hyperlink r:id="rId18">
        <w:r>
          <w:rPr>
            <w:color w:val="2E74B5"/>
            <w:u w:val="single"/>
            <w:rtl w:val="0"/>
          </w:rPr>
          <w:t>https://arxiv.org/abs/2309.10691</w:t>
        </w:r>
      </w:hyperlink>
    </w:p>
    <w:p>
      <w:pPr>
        <w:bidi w:val="1"/>
        <w:jc w:val="left"/>
      </w:pPr>
      <w:r>
        <w:rPr>
          <w:rFonts w:ascii="Arial" w:hAnsi="Arial"/>
          <w:b w:val="0"/>
          <w:rtl w:val="0"/>
        </w:rPr>
        <w:t>‎C2‑KS‑08‎</w:t>
      </w:r>
      <w:r>
        <w:rPr>
          <w:rFonts w:ascii="Arial" w:hAnsi="Arial"/>
          <w:b w:val="0"/>
          <w:rtl w:val="1"/>
        </w:rPr>
        <w:t xml:space="preserve"> | Aligning LLM Agents by Learning Latent Preference from User Edits | מועמד לשיפוט או העדפה | </w:t>
      </w:r>
      <w:hyperlink r:id="rId19">
        <w:r>
          <w:rPr>
            <w:color w:val="2E74B5"/>
            <w:u w:val="single"/>
            <w:rtl w:val="0"/>
          </w:rPr>
          <w:t>https://openreview.net/forum?id=DlYNGpCuwa</w:t>
        </w:r>
      </w:hyperlink>
    </w:p>
    <w:p>
      <w:pPr>
        <w:bidi w:val="1"/>
        <w:jc w:val="left"/>
      </w:pPr>
      <w:r>
        <w:rPr>
          <w:rFonts w:ascii="Arial" w:hAnsi="Arial"/>
          <w:b w:val="0"/>
          <w:rtl w:val="0"/>
        </w:rPr>
        <w:t>‎C2‑KS‑09‎</w:t>
      </w:r>
      <w:r>
        <w:rPr>
          <w:rFonts w:ascii="Arial" w:hAnsi="Arial"/>
          <w:b w:val="0"/>
          <w:rtl w:val="1"/>
        </w:rPr>
        <w:t xml:space="preserve"> | Collaborative Memory: Multi-User Memory Sharing in LLM Agents with Dynamic Access Control | מועמד לזיכרון ובקרת גישה | </w:t>
      </w:r>
      <w:hyperlink r:id="rId20">
        <w:r>
          <w:rPr>
            <w:color w:val="2E74B5"/>
            <w:u w:val="single"/>
            <w:rtl w:val="0"/>
          </w:rPr>
          <w:t>https://arxiv.org/abs/2505.18279v1</w:t>
        </w:r>
      </w:hyperlink>
    </w:p>
    <w:p>
      <w:pPr>
        <w:bidi w:val="1"/>
        <w:jc w:val="left"/>
      </w:pPr>
      <w:r>
        <w:rPr>
          <w:rFonts w:ascii="Arial" w:hAnsi="Arial"/>
          <w:b w:val="0"/>
          <w:rtl w:val="0"/>
        </w:rPr>
        <w:t>‎C2‑KS‑10‎</w:t>
      </w:r>
      <w:r>
        <w:rPr>
          <w:rFonts w:ascii="Arial" w:hAnsi="Arial"/>
          <w:b w:val="0"/>
          <w:rtl w:val="1"/>
        </w:rPr>
        <w:t xml:space="preserve"> | HAS-Bench: Evaluating LLM-Based Human-Agent Systems under Configurable Human Participation | מועמד להערכת השתתפות | </w:t>
      </w:r>
      <w:hyperlink r:id="rId21">
        <w:r>
          <w:rPr>
            <w:color w:val="2E74B5"/>
            <w:u w:val="single"/>
            <w:rtl w:val="0"/>
          </w:rPr>
          <w:t>https://arxiv.org/abs/2607.04329</w:t>
        </w:r>
      </w:hyperlink>
    </w:p>
    <w:p>
      <w:pPr>
        <w:bidi w:val="1"/>
        <w:jc w:val="left"/>
      </w:pPr>
      <w:r>
        <w:rPr>
          <w:rFonts w:ascii="Arial" w:hAnsi="Arial"/>
          <w:b w:val="0"/>
          <w:rtl w:val="0"/>
        </w:rPr>
        <w:t>‎C2‑KS‑11‎</w:t>
      </w:r>
      <w:r>
        <w:rPr>
          <w:rFonts w:ascii="Arial" w:hAnsi="Arial"/>
          <w:b w:val="0"/>
          <w:rtl w:val="1"/>
        </w:rPr>
        <w:t xml:space="preserve"> | SPHERE: An Evaluation Card for Human-AI Systems | מועמד לכרטיס הערכה | </w:t>
      </w:r>
      <w:hyperlink r:id="rId22">
        <w:r>
          <w:rPr>
            <w:color w:val="2E74B5"/>
            <w:u w:val="single"/>
            <w:rtl w:val="0"/>
          </w:rPr>
          <w:t>https://arxiv.org/abs/2504.07971</w:t>
        </w:r>
      </w:hyperlink>
    </w:p>
    <w:p>
      <w:pPr>
        <w:bidi w:val="1"/>
        <w:jc w:val="left"/>
      </w:pPr>
      <w:r>
        <w:rPr>
          <w:rFonts w:ascii="Arial" w:hAnsi="Arial"/>
          <w:b w:val="0"/>
          <w:rtl w:val="0"/>
        </w:rPr>
        <w:t>‎C2‑KS‑12‎</w:t>
      </w:r>
      <w:r>
        <w:rPr>
          <w:rFonts w:ascii="Arial" w:hAnsi="Arial"/>
          <w:b w:val="0"/>
          <w:rtl w:val="1"/>
        </w:rPr>
        <w:t xml:space="preserve"> | AgentDS: Benchmarking the Future of Human-AI Collaboration in Domain-Specific Data Science | מועמד להעברה בין תחומים | </w:t>
      </w:r>
      <w:hyperlink r:id="rId23">
        <w:r>
          <w:rPr>
            <w:color w:val="2E74B5"/>
            <w:u w:val="single"/>
            <w:rtl w:val="0"/>
          </w:rPr>
          <w:t>https://arxiv.org/abs/2603.19005</w:t>
        </w:r>
      </w:hyperlink>
    </w:p>
    <w:p>
      <w:pPr>
        <w:bidi w:val="1"/>
        <w:jc w:val="left"/>
      </w:pPr>
      <w:r>
        <w:rPr>
          <w:rFonts w:ascii="Arial" w:hAnsi="Arial"/>
          <w:b w:val="0"/>
          <w:rtl w:val="1"/>
        </w:rPr>
        <w:t xml:space="preserve">חוברת ספרות מקורית: </w:t>
      </w:r>
      <w:r>
        <w:rPr>
          <w:rFonts w:ascii="Arial" w:hAnsi="Arial"/>
          <w:b w:val="0"/>
          <w:rtl w:val="0"/>
        </w:rPr>
        <w:t>‎VEGO‑AI‎</w:t>
      </w:r>
      <w:r>
        <w:rPr>
          <w:rFonts w:ascii="Arial" w:hAnsi="Arial"/>
          <w:b w:val="0"/>
          <w:rtl w:val="1"/>
        </w:rPr>
        <w:t xml:space="preserve"> PhD Literature Workbook v0.1 [</w:t>
      </w:r>
      <w:r>
        <w:rPr>
          <w:rFonts w:ascii="Arial" w:hAnsi="Arial"/>
          <w:b w:val="0"/>
          <w:rtl w:val="0"/>
        </w:rPr>
        <w:t>‎VEGO‑AI‑PHD‑LITERATURE‑WORKBOOK‎</w:t>
      </w:r>
      <w:r>
        <w:rPr>
          <w:rFonts w:ascii="Arial" w:hAnsi="Arial"/>
          <w:b w:val="0"/>
          <w:rtl w:val="1"/>
        </w:rPr>
        <w:t>]</w:t>
      </w:r>
      <w:r>
        <w:rPr>
          <w:rFonts w:ascii="Arial" w:hAnsi="Arial"/>
          <w:b w:val="0"/>
          <w:rtl w:val="1"/>
        </w:rPr>
        <w:t xml:space="preserve"> | הקישור החי אינו נכלל עד לשחרור באישור עלי</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b w:val="0"/>
        <w:color w:val="5B6578"/>
        <w:sz w:val="16"/>
        <w:rtl w:val="0"/>
      </w:rPr>
      <w:t>‎VEGO‑AI‎</w:t>
    </w:r>
    <w:r>
      <w:rPr>
        <w:rFonts w:ascii="Arial" w:hAnsi="Arial"/>
        <w:b w:val="0"/>
        <w:color w:val="5B6578"/>
        <w:sz w:val="16"/>
        <w:rtl w:val="1"/>
      </w:rPr>
      <w:t xml:space="preserve"> | בדיקת מנחים | 19 באוגוסט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bidi w:val="1"/>
    </w:pPr>
    <w:r>
      <w:rPr>
        <w:rFonts w:ascii="Arial" w:hAnsi="Arial"/>
        <w:b/>
        <w:color w:val="5B6578"/>
        <w:sz w:val="16"/>
        <w:rtl w:val="1"/>
      </w:rPr>
      <w:t>פרק 2 | ספרות בלבד | טיוטה לבדיקת המנחים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bidi w:val="1"/>
    </w:pPr>
    <w:rPr>
      <w:rFonts w:ascii="Arial" w:hAnsi="Arial"/>
      <w:color w:val="1723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bidi w:val="1"/>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bidi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bidi w:val="1"/>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2026.findings-acl.1811/" TargetMode="External"/><Relationship Id="rId12" Type="http://schemas.openxmlformats.org/officeDocument/2006/relationships/hyperlink" Target="https://arxiv.org/abs/2505.00753" TargetMode="External"/><Relationship Id="rId13" Type="http://schemas.openxmlformats.org/officeDocument/2006/relationships/hyperlink" Target="https://arxiv.org/abs/2603.26233" TargetMode="External"/><Relationship Id="rId14" Type="http://schemas.openxmlformats.org/officeDocument/2006/relationships/hyperlink" Target="https://aclanthology.org/2024.findings-emnlp.636/" TargetMode="External"/><Relationship Id="rId15" Type="http://schemas.openxmlformats.org/officeDocument/2006/relationships/hyperlink" Target="https://arxiv.org/abs/2604.23049" TargetMode="External"/><Relationship Id="rId16" Type="http://schemas.openxmlformats.org/officeDocument/2006/relationships/hyperlink" Target="https://arxiv.org/abs/2606.05391" TargetMode="External"/><Relationship Id="rId17" Type="http://schemas.openxmlformats.org/officeDocument/2006/relationships/hyperlink" Target="https://arxiv.org/abs/2412.15701" TargetMode="External"/><Relationship Id="rId18" Type="http://schemas.openxmlformats.org/officeDocument/2006/relationships/hyperlink" Target="https://arxiv.org/abs/2309.10691" TargetMode="External"/><Relationship Id="rId19" Type="http://schemas.openxmlformats.org/officeDocument/2006/relationships/hyperlink" Target="https://openreview.net/forum?id=DlYNGpCuwa" TargetMode="External"/><Relationship Id="rId20" Type="http://schemas.openxmlformats.org/officeDocument/2006/relationships/hyperlink" Target="https://arxiv.org/abs/2505.18279v1" TargetMode="External"/><Relationship Id="rId21" Type="http://schemas.openxmlformats.org/officeDocument/2006/relationships/hyperlink" Target="https://arxiv.org/abs/2607.04329" TargetMode="External"/><Relationship Id="rId22" Type="http://schemas.openxmlformats.org/officeDocument/2006/relationships/hyperlink" Target="https://arxiv.org/abs/2504.07971" TargetMode="External"/><Relationship Id="rId23" Type="http://schemas.openxmlformats.org/officeDocument/2006/relationships/hyperlink" Target="https://arxiv.org/abs/2603.19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פרק 2 - סקירת ספרות: שיתוף פעולה אדם-סוכן ומשילות של שיפוט</dc:title>
  <dc:subject>Evidence-bounded literature review for supervisor discussion</dc:subject>
  <dc:creator>Ali Hamed</dc:creator>
  <cp:keywords>VEGO-AI, literature review, human-agent collaboration, evidence boundary</cp:keywords>
  <dc:description>generated by python-docx</dc:description>
  <cp:lastModifiedBy/>
  <cp:revision>1</cp:revision>
  <dcterms:created xsi:type="dcterms:W3CDTF">2013-12-23T23:15:00Z</dcterms:created>
  <dcterms:modified xsi:type="dcterms:W3CDTF">2013-12-23T23:15:00Z</dcterms:modified>
  <cp:category/>
</cp:coreProperties>
</file>