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4"/>
        </w:rPr>
        <w:t>Estate Audit — 2026-08-12</w:t>
      </w:r>
    </w:p>
    <w:p/>
    <w:p>
      <w:pPr>
        <w:pStyle w:val="Heading1"/>
      </w:pPr>
      <w:r>
        <w:t>Estate Audit — 2026-08-12</w:t>
      </w:r>
    </w:p>
    <w:p>
      <w:pPr>
        <w:jc w:val="both"/>
      </w:pPr>
      <w:r>
        <w:rPr>
          <w:b/>
        </w:rPr>
        <w:t>Auditor:</w:t>
      </w:r>
      <w:r>
        <w:t xml:space="preserve"> Claude (standing adviser / orchestrator / verifier role, established 2026-08-12) </w:t>
      </w:r>
      <w:r>
        <w:rPr>
          <w:b/>
        </w:rPr>
        <w:t>Scope:</w:t>
      </w:r>
      <w:r>
        <w:t xml:space="preserve"> Google Drive, GitHub, Obsidian, mail/identity, and the research deliverables against Iris's 2026-08-05 requirements. </w:t>
      </w:r>
      <w:r>
        <w:rPr>
          <w:b/>
        </w:rPr>
        <w:t>Method:</w:t>
      </w:r>
      <w:r>
        <w:t xml:space="preserve"> direct inspection — byte-level hash and size comparison, git state, filesystem link resolution. No status was taken on trust.</w:t>
      </w:r>
    </w:p>
    <w:p>
      <w:pPr>
        <w:spacing w:before="80"/>
        <w:pBdr>
          <w:bottom w:val="single" w:sz="6" w:color="BFBFBF"/>
        </w:pBdr>
      </w:pPr>
    </w:p>
    <w:p>
      <w:pPr>
        <w:pStyle w:val="Heading2"/>
      </w:pPr>
      <w:r>
        <w:t>0. Headline</w:t>
      </w:r>
    </w:p>
    <w:p>
      <w:pPr>
        <w:jc w:val="both"/>
      </w:pPr>
      <w:r>
        <w:rPr>
          <w:b/>
        </w:rPr>
        <w:t>One critical failure was found and fixed during this audit.</w:t>
      </w:r>
      <w:r>
        <w:t xml:space="preserve"> Google Drive for Desktop had silently reverted </w:t>
      </w:r>
      <w:r>
        <w:rPr>
          <w:b/>
        </w:rPr>
        <w:t>10 of the 16</w:t>
      </w:r>
      <w:r>
        <w:t xml:space="preserve"> files in the 2026-08-12 supervisor package to older cloud versions — including </w:t>
      </w:r>
      <w:r>
        <w:rPr>
          <w:b/>
        </w:rPr>
        <w:t>Chapter 3</w:t>
      </w:r>
      <w:r>
        <w:t xml:space="preserve"> (the meeting's deliverable) and the </w:t>
      </w:r>
      <w:r>
        <w:rPr>
          <w:b/>
        </w:rPr>
        <w:t>literature workbook</w:t>
      </w:r>
      <w:r>
        <w:t>. Had the meeting proceeded without this check, the supervisors would have been shown the previous, uncited Chapter 3 and the old 8-source spreadsheet.</w:t>
      </w:r>
    </w:p>
    <w:p>
      <w:pPr>
        <w:jc w:val="both"/>
      </w:pPr>
      <w:r>
        <w:t xml:space="preserve">Root cause: a plain copy into </w:t>
      </w:r>
      <w:r>
        <w:rPr>
          <w:rFonts w:ascii="Consolas" w:hAnsi="Consolas"/>
          <w:color w:val="660099"/>
          <w:sz w:val="19"/>
        </w:rPr>
        <w:t>G:\</w:t>
      </w:r>
      <w:r>
        <w:t xml:space="preserve"> loses to Google Drive's conflict resolution when a file of the same name already exists in the cloud — the cloud copy wins and the newer local file is discarded. Files with </w:t>
      </w:r>
      <w:r>
        <w:rPr>
          <w:i/>
        </w:rPr>
        <w:t>new</w:t>
      </w:r>
      <w:r>
        <w:t xml:space="preserve"> names (06, 07, 08) survived; every file that already existed was reverted.</w:t>
      </w:r>
    </w:p>
    <w:p>
      <w:pPr>
        <w:jc w:val="both"/>
      </w:pPr>
      <w:r>
        <w:rPr>
          <w:b/>
        </w:rPr>
        <w:t>Fixed:</w:t>
      </w:r>
      <w:r>
        <w:t xml:space="preserve"> all files re-published through a new delete-then-copy-then-verify routine (</w:t>
      </w:r>
      <w:r>
        <w:rPr>
          <w:rFonts w:ascii="Consolas" w:hAnsi="Consolas"/>
          <w:color w:val="660099"/>
          <w:sz w:val="19"/>
        </w:rPr>
        <w:t>scripts/publish-and-verify-drive.ps1</w:t>
      </w:r>
      <w:r>
        <w:t>) and confirmed byte-identical after a settle delay.</w:t>
      </w:r>
    </w:p>
    <w:p>
      <w:pPr>
        <w:spacing w:before="80"/>
        <w:pBdr>
          <w:bottom w:val="single" w:sz="6" w:color="BFBFBF"/>
        </w:pBdr>
      </w:pPr>
    </w:p>
    <w:p>
      <w:pPr>
        <w:pStyle w:val="Heading2"/>
      </w:pPr>
      <w:r>
        <w:t>1. Google Drive</w:t>
      </w:r>
    </w:p>
    <w:p>
      <w:pPr>
        <w:pStyle w:val="Heading3"/>
      </w:pPr>
      <w:r>
        <w:t>1.1 Structure — healthy</w:t>
      </w:r>
    </w:p>
    <w:p>
      <w:pPr>
        <w:jc w:val="both"/>
      </w:pPr>
      <w:r>
        <w:t xml:space="preserve">Nine-folder canonical structure present and populated: </w:t>
      </w:r>
      <w:r>
        <w:rPr>
          <w:rFonts w:ascii="Consolas" w:hAnsi="Consolas"/>
          <w:color w:val="660099"/>
          <w:sz w:val="19"/>
        </w:rPr>
        <w:t>00_Admin_and_Decisions</w:t>
      </w:r>
      <w:r>
        <w:t xml:space="preserve"> (19 files), </w:t>
      </w:r>
      <w:r>
        <w:rPr>
          <w:rFonts w:ascii="Consolas" w:hAnsi="Consolas"/>
          <w:color w:val="660099"/>
          <w:sz w:val="19"/>
        </w:rPr>
        <w:t>01_Research_Questions</w:t>
      </w:r>
      <w:r>
        <w:t xml:space="preserve"> (10), </w:t>
      </w:r>
      <w:r>
        <w:rPr>
          <w:rFonts w:ascii="Consolas" w:hAnsi="Consolas"/>
          <w:color w:val="660099"/>
          <w:sz w:val="19"/>
        </w:rPr>
        <w:t>02_PhD_Proposal</w:t>
      </w:r>
      <w:r>
        <w:t xml:space="preserve"> (12→18), </w:t>
      </w:r>
      <w:r>
        <w:rPr>
          <w:rFonts w:ascii="Consolas" w:hAnsi="Consolas"/>
          <w:color w:val="660099"/>
          <w:sz w:val="19"/>
        </w:rPr>
        <w:t>03_Literature_Review</w:t>
      </w:r>
      <w:r>
        <w:t xml:space="preserve"> (12), </w:t>
      </w:r>
      <w:r>
        <w:rPr>
          <w:rFonts w:ascii="Consolas" w:hAnsi="Consolas"/>
          <w:color w:val="660099"/>
          <w:sz w:val="19"/>
        </w:rPr>
        <w:t>04_SE_Modeling_Studies</w:t>
      </w:r>
      <w:r>
        <w:t xml:space="preserve"> (14), </w:t>
      </w:r>
      <w:r>
        <w:rPr>
          <w:rFonts w:ascii="Consolas" w:hAnsi="Consolas"/>
          <w:color w:val="660099"/>
          <w:sz w:val="19"/>
        </w:rPr>
        <w:t>05_Medical_Feasibility_Gated</w:t>
      </w:r>
      <w:r>
        <w:t xml:space="preserve"> (19), </w:t>
      </w:r>
      <w:r>
        <w:rPr>
          <w:rFonts w:ascii="Consolas" w:hAnsi="Consolas"/>
          <w:color w:val="660099"/>
          <w:sz w:val="19"/>
        </w:rPr>
        <w:t>06_Weekly_Meetings</w:t>
      </w:r>
      <w:r>
        <w:t xml:space="preserve"> (32), </w:t>
      </w:r>
      <w:r>
        <w:rPr>
          <w:rFonts w:ascii="Consolas" w:hAnsi="Consolas"/>
          <w:color w:val="660099"/>
          <w:sz w:val="19"/>
        </w:rPr>
        <w:t>07_Submission_Package</w:t>
      </w:r>
      <w:r>
        <w:t xml:space="preserve"> (2, intentionally near-empty), </w:t>
      </w:r>
      <w:r>
        <w:rPr>
          <w:rFonts w:ascii="Consolas" w:hAnsi="Consolas"/>
          <w:color w:val="660099"/>
          <w:sz w:val="19"/>
        </w:rPr>
        <w:t>99_Archive</w:t>
      </w:r>
      <w:r>
        <w:t xml:space="preserve"> (2), plus </w:t>
      </w:r>
      <w:r>
        <w:rPr>
          <w:rFonts w:ascii="Consolas" w:hAnsi="Consolas"/>
          <w:color w:val="660099"/>
          <w:sz w:val="19"/>
        </w:rPr>
        <w:t>_Ali private (do not share)</w:t>
      </w:r>
      <w:r>
        <w:t xml:space="preserve"> (6).</w:t>
      </w:r>
    </w:p>
    <w:p>
      <w:pPr>
        <w:pStyle w:val="Heading3"/>
      </w:pPr>
      <w:r>
        <w:t>1.2 Findings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3864"/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160"/>
            <w:shd w:val="clear" w:fill="1F3864"/>
          </w:tcPr>
          <w:p>
            <w:r>
              <w:rPr>
                <w:b/>
                <w:color w:val="FFFFFF"/>
                <w:sz w:val="17"/>
              </w:rPr>
              <w:t>Sev</w:t>
            </w:r>
          </w:p>
        </w:tc>
        <w:tc>
          <w:tcPr>
            <w:tcW w:type="dxa" w:w="2160"/>
            <w:shd w:val="clear" w:fill="1F3864"/>
          </w:tcPr>
          <w:p>
            <w:r>
              <w:rPr>
                <w:b/>
                <w:color w:val="FFFFFF"/>
                <w:sz w:val="17"/>
              </w:rPr>
              <w:t>Finding</w:t>
            </w:r>
          </w:p>
        </w:tc>
        <w:tc>
          <w:tcPr>
            <w:tcW w:type="dxa" w:w="2160"/>
            <w:shd w:val="clear" w:fill="1F3864"/>
          </w:tcPr>
          <w:p>
            <w:r>
              <w:rPr>
                <w:b/>
                <w:color w:val="FFFFFF"/>
                <w:sz w:val="17"/>
              </w:rPr>
              <w:t>State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D-01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CRITICAL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Drive reverted 10/16 package files to older cloud versions — incl. Chapter 3 (44,643 B old vs 52,922 B correct) and the literature workbook (12,536 B old vs 27,023 B correct)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FIXED + verified</w:t>
            </w:r>
          </w:p>
        </w:tc>
      </w:tr>
      <w:tr>
        <w:tc>
          <w:tcPr>
            <w:tcW w:type="dxa" w:w="2160"/>
            <w:shd w:val="clear" w:fill="F2F5FA"/>
          </w:tcPr>
          <w:p>
            <w:r>
              <w:rPr>
                <w:sz w:val="17"/>
              </w:rPr>
              <w:t>D-02</w:t>
            </w:r>
          </w:p>
        </w:tc>
        <w:tc>
          <w:tcPr>
            <w:tcW w:type="dxa" w:w="2160"/>
            <w:shd w:val="clear" w:fill="F2F5FA"/>
          </w:tcPr>
          <w:p>
            <w:r>
              <w:rPr>
                <w:b/>
                <w:sz w:val="17"/>
              </w:rPr>
              <w:t>HIGH</w:t>
            </w:r>
          </w:p>
        </w:tc>
        <w:tc>
          <w:tcPr>
            <w:tcW w:type="dxa" w:w="2160"/>
            <w:shd w:val="clear" w:fill="F2F5FA"/>
          </w:tcPr>
          <w:p>
            <w:r>
              <w:rPr>
                <w:sz w:val="17"/>
              </w:rPr>
              <w:t xml:space="preserve">Canonical topic folders held stale copies: </w:t>
            </w:r>
            <w:r>
              <w:rPr>
                <w:rFonts w:ascii="Consolas" w:hAnsi="Consolas"/>
                <w:color w:val="660099"/>
                <w:sz w:val="17"/>
              </w:rPr>
              <w:t>02_PhD_Proposal</w:t>
            </w:r>
            <w:r>
              <w:rPr>
                <w:sz w:val="17"/>
              </w:rPr>
              <w:t xml:space="preserve"> had the 08-10 Chapter 3; </w:t>
            </w:r>
            <w:r>
              <w:rPr>
                <w:rFonts w:ascii="Consolas" w:hAnsi="Consolas"/>
                <w:color w:val="660099"/>
                <w:sz w:val="17"/>
              </w:rPr>
              <w:t>03_Literature_Review</w:t>
            </w:r>
            <w:r>
              <w:rPr>
                <w:sz w:val="17"/>
              </w:rPr>
              <w:t xml:space="preserve"> had the 8-source workbook; </w:t>
            </w:r>
            <w:r>
              <w:rPr>
                <w:rFonts w:ascii="Consolas" w:hAnsi="Consolas"/>
                <w:color w:val="660099"/>
                <w:sz w:val="17"/>
              </w:rPr>
              <w:t>00_Admin</w:t>
            </w:r>
            <w:r>
              <w:rPr>
                <w:sz w:val="17"/>
              </w:rPr>
              <w:t xml:space="preserve"> had an old tracker</w:t>
            </w:r>
          </w:p>
        </w:tc>
        <w:tc>
          <w:tcPr>
            <w:tcW w:type="dxa" w:w="2160"/>
            <w:shd w:val="clear" w:fill="F2F5FA"/>
          </w:tcPr>
          <w:p>
            <w:r>
              <w:rPr>
                <w:b/>
                <w:sz w:val="17"/>
              </w:rPr>
              <w:t>FIXED + verified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D-03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Proposal v0.3 was entirely absent</w:t>
            </w:r>
            <w:r>
              <w:rPr>
                <w:sz w:val="17"/>
              </w:rPr>
              <w:t xml:space="preserve"> from </w:t>
            </w:r>
            <w:r>
              <w:rPr>
                <w:rFonts w:ascii="Consolas" w:hAnsi="Consolas"/>
                <w:color w:val="660099"/>
                <w:sz w:val="17"/>
              </w:rPr>
              <w:t>02_PhD_Proposal</w:t>
            </w:r>
            <w:r>
              <w:rPr>
                <w:sz w:val="17"/>
              </w:rPr>
              <w:t xml:space="preserve"> — only v0.1 and v0.2 were there, so the canonical proposal folder did not contain the current proposal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FIXED</w:t>
            </w:r>
            <w:r>
              <w:rPr>
                <w:sz w:val="17"/>
              </w:rPr>
              <w:t xml:space="preserve"> (published as </w:t>
            </w:r>
            <w:r>
              <w:rPr>
                <w:i/>
                <w:sz w:val="17"/>
              </w:rPr>
              <w:t>Proposal v0.3 (current)</w:t>
            </w:r>
            <w:r>
              <w:rPr>
                <w:sz w:val="17"/>
              </w:rPr>
              <w:t>)</w:t>
            </w:r>
          </w:p>
        </w:tc>
      </w:tr>
      <w:tr>
        <w:tc>
          <w:tcPr>
            <w:tcW w:type="dxa" w:w="2160"/>
            <w:shd w:val="clear" w:fill="F2F5FA"/>
          </w:tcPr>
          <w:p>
            <w:r>
              <w:rPr>
                <w:sz w:val="17"/>
              </w:rPr>
              <w:t>D-04</w:t>
            </w:r>
          </w:p>
        </w:tc>
        <w:tc>
          <w:tcPr>
            <w:tcW w:type="dxa" w:w="2160"/>
            <w:shd w:val="clear" w:fill="F2F5FA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2160"/>
            <w:shd w:val="clear" w:fill="F2F5FA"/>
          </w:tcPr>
          <w:p>
            <w:r>
              <w:rPr>
                <w:sz w:val="17"/>
              </w:rPr>
              <w:t xml:space="preserve">Two literature spreadsheets now coexist: the native </w:t>
            </w:r>
            <w:r>
              <w:rPr>
                <w:rFonts w:ascii="Consolas" w:hAnsi="Consolas"/>
                <w:color w:val="660099"/>
                <w:sz w:val="17"/>
              </w:rPr>
              <w:t>VEGO-AI PhD Literature Workbook v0.1.gsheet</w:t>
            </w:r>
            <w:r>
              <w:rPr>
                <w:sz w:val="17"/>
              </w:rPr>
              <w:t xml:space="preserve"> (untouched since 07-30) and the new </w:t>
            </w:r>
            <w:r>
              <w:rPr>
                <w:rFonts w:ascii="Consolas" w:hAnsi="Consolas"/>
                <w:color w:val="660099"/>
                <w:sz w:val="17"/>
              </w:rPr>
              <w:t>.xlsx</w:t>
            </w:r>
            <w:r>
              <w:rPr>
                <w:sz w:val="17"/>
              </w:rPr>
              <w:t>. Ambiguous which is authoritative for Iris</w:t>
            </w:r>
          </w:p>
        </w:tc>
        <w:tc>
          <w:tcPr>
            <w:tcW w:type="dxa" w:w="2160"/>
            <w:shd w:val="clear" w:fill="F2F5FA"/>
          </w:tcPr>
          <w:p>
            <w:r>
              <w:rPr>
                <w:b/>
                <w:sz w:val="17"/>
              </w:rPr>
              <w:t>OPEN</w:t>
            </w:r>
            <w:r>
              <w:rPr>
                <w:sz w:val="17"/>
              </w:rPr>
              <w:t xml:space="preserve"> — see plan A2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D-05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660099"/>
                <w:sz w:val="17"/>
              </w:rPr>
              <w:t>_Ali private (do not share)</w:t>
            </w:r>
            <w:r>
              <w:rPr>
                <w:sz w:val="17"/>
              </w:rPr>
              <w:t xml:space="preserve"> holds </w:t>
            </w:r>
            <w:r>
              <w:rPr>
                <w:rFonts w:ascii="Consolas" w:hAnsi="Consolas"/>
                <w:color w:val="660099"/>
                <w:sz w:val="17"/>
              </w:rPr>
              <w:t>.md</w:t>
            </w:r>
            <w:r>
              <w:rPr>
                <w:sz w:val="17"/>
              </w:rPr>
              <w:t xml:space="preserve"> files, which Google Drive cannot preview. If they matter, they should be </w:t>
            </w:r>
            <w:r>
              <w:rPr>
                <w:rFonts w:ascii="Consolas" w:hAnsi="Consolas"/>
                <w:color w:val="660099"/>
                <w:sz w:val="17"/>
              </w:rPr>
              <w:t>.docx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660099"/>
                <w:sz w:val="17"/>
              </w:rPr>
              <w:t>.pdf</w:t>
            </w:r>
            <w:r>
              <w:rPr>
                <w:sz w:val="17"/>
              </w:rPr>
              <w:t>; if internal-only, they are fine as-is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OPEN</w:t>
            </w:r>
            <w:r>
              <w:rPr>
                <w:sz w:val="17"/>
              </w:rPr>
              <w:t xml:space="preserve"> — low urgency</w:t>
            </w:r>
          </w:p>
        </w:tc>
      </w:tr>
      <w:tr>
        <w:tc>
          <w:tcPr>
            <w:tcW w:type="dxa" w:w="2160"/>
            <w:shd w:val="clear" w:fill="F2F5FA"/>
          </w:tcPr>
          <w:p>
            <w:r>
              <w:rPr>
                <w:sz w:val="17"/>
              </w:rPr>
              <w:t>D-06</w:t>
            </w:r>
          </w:p>
        </w:tc>
        <w:tc>
          <w:tcPr>
            <w:tcW w:type="dxa" w:w="2160"/>
            <w:shd w:val="clear" w:fill="F2F5FA"/>
          </w:tcPr>
          <w:p>
            <w:r>
              <w:rPr>
                <w:sz w:val="17"/>
              </w:rPr>
              <w:t>INFO</w:t>
            </w:r>
          </w:p>
        </w:tc>
        <w:tc>
          <w:tcPr>
            <w:tcW w:type="dxa" w:w="2160"/>
            <w:shd w:val="clear" w:fill="F2F5FA"/>
          </w:tcPr>
          <w:p>
            <w:r>
              <w:rPr>
                <w:rFonts w:ascii="Consolas" w:hAnsi="Consolas"/>
                <w:color w:val="660099"/>
                <w:sz w:val="17"/>
              </w:rPr>
              <w:t>07_Submission_Package</w:t>
            </w:r>
            <w:r>
              <w:rPr>
                <w:sz w:val="17"/>
              </w:rPr>
              <w:t xml:space="preserve"> is empty except its overview — this is </w:t>
            </w:r>
            <w:r>
              <w:rPr>
                <w:b/>
                <w:sz w:val="17"/>
              </w:rPr>
              <w:t>correct by design</w:t>
            </w:r>
            <w:r>
              <w:rPr>
                <w:sz w:val="17"/>
              </w:rPr>
              <w:t xml:space="preserve"> (stays empty until a submission candidate is approved)</w:t>
            </w:r>
          </w:p>
        </w:tc>
        <w:tc>
          <w:tcPr>
            <w:tcW w:type="dxa" w:w="2160"/>
            <w:shd w:val="clear" w:fill="F2F5FA"/>
          </w:tcPr>
          <w:p>
            <w:r>
              <w:rPr>
                <w:sz w:val="17"/>
              </w:rPr>
              <w:t>No action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D-07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UNVERIFIABLE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 xml:space="preserve">Whether the Drive is actually </w:t>
            </w:r>
            <w:r>
              <w:rPr>
                <w:b/>
                <w:sz w:val="17"/>
              </w:rPr>
              <w:t>shared</w:t>
            </w:r>
            <w:r>
              <w:rPr>
                <w:sz w:val="17"/>
              </w:rPr>
              <w:t xml:space="preserve"> with Iris and Arnon (</w:t>
            </w:r>
            <w:r>
              <w:rPr>
                <w:rFonts w:ascii="Consolas" w:hAnsi="Consolas"/>
                <w:color w:val="660099"/>
                <w:sz w:val="17"/>
              </w:rPr>
              <w:t>A08-05</w:t>
            </w:r>
            <w:r>
              <w:rPr>
                <w:sz w:val="17"/>
              </w:rPr>
              <w:t>) cannot be determined from the filesystem — sharing lives in Drive's ACL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NEEDS ALI</w:t>
            </w:r>
          </w:p>
        </w:tc>
      </w:tr>
    </w:tbl>
    <w:p/>
    <w:p>
      <w:pPr>
        <w:spacing w:before="80"/>
        <w:pBdr>
          <w:bottom w:val="single" w:sz="6" w:color="BFBFBF"/>
        </w:pBdr>
      </w:pPr>
    </w:p>
    <w:p>
      <w:pPr>
        <w:pStyle w:val="Heading2"/>
      </w:pPr>
      <w:r>
        <w:t>2. GitHub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3864"/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160"/>
            <w:shd w:val="clear" w:fill="1F3864"/>
          </w:tcPr>
          <w:p>
            <w:r>
              <w:rPr>
                <w:b/>
                <w:color w:val="FFFFFF"/>
                <w:sz w:val="17"/>
              </w:rPr>
              <w:t>Sev</w:t>
            </w:r>
          </w:p>
        </w:tc>
        <w:tc>
          <w:tcPr>
            <w:tcW w:type="dxa" w:w="2160"/>
            <w:shd w:val="clear" w:fill="1F3864"/>
          </w:tcPr>
          <w:p>
            <w:r>
              <w:rPr>
                <w:b/>
                <w:color w:val="FFFFFF"/>
                <w:sz w:val="17"/>
              </w:rPr>
              <w:t>Finding</w:t>
            </w:r>
          </w:p>
        </w:tc>
        <w:tc>
          <w:tcPr>
            <w:tcW w:type="dxa" w:w="2160"/>
            <w:shd w:val="clear" w:fill="1F3864"/>
          </w:tcPr>
          <w:p>
            <w:r>
              <w:rPr>
                <w:b/>
                <w:color w:val="FFFFFF"/>
                <w:sz w:val="17"/>
              </w:rPr>
              <w:t>State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G-01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13 uncommitted files</w:t>
            </w:r>
            <w:r>
              <w:rPr>
                <w:sz w:val="17"/>
              </w:rPr>
              <w:t xml:space="preserve"> on </w:t>
            </w:r>
            <w:r>
              <w:rPr>
                <w:rFonts w:ascii="Consolas" w:hAnsi="Consolas"/>
                <w:color w:val="660099"/>
                <w:sz w:val="17"/>
              </w:rPr>
              <w:t>main</w:t>
            </w:r>
            <w:r>
              <w:rPr>
                <w:sz w:val="17"/>
              </w:rPr>
              <w:t xml:space="preserve"> — the entire Aug-12 package work (Chapter 3, workbooks, builders, audit) exists only on local disk. A disk failure loses it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OPEN</w:t>
            </w:r>
          </w:p>
        </w:tc>
      </w:tr>
      <w:tr>
        <w:tc>
          <w:tcPr>
            <w:tcW w:type="dxa" w:w="2160"/>
            <w:shd w:val="clear" w:fill="F2F5FA"/>
          </w:tcPr>
          <w:p>
            <w:r>
              <w:rPr>
                <w:sz w:val="17"/>
              </w:rPr>
              <w:t>G-02</w:t>
            </w:r>
          </w:p>
        </w:tc>
        <w:tc>
          <w:tcPr>
            <w:tcW w:type="dxa" w:w="2160"/>
            <w:shd w:val="clear" w:fill="F2F5FA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2160"/>
            <w:shd w:val="clear" w:fill="F2F5FA"/>
          </w:tcPr>
          <w:p>
            <w:r>
              <w:rPr>
                <w:sz w:val="17"/>
              </w:rPr>
              <w:t xml:space="preserve">PR </w:t>
            </w:r>
            <w:r>
              <w:rPr>
                <w:b/>
                <w:sz w:val="17"/>
              </w:rPr>
              <w:t>#14</w:t>
            </w:r>
            <w:r>
              <w:rPr>
                <w:sz w:val="17"/>
              </w:rPr>
              <w:t xml:space="preserve"> open since 2026-07-26 (~2.5 weeks) — "Publish BigUI experiment evaluation…"</w:t>
            </w:r>
          </w:p>
        </w:tc>
        <w:tc>
          <w:tcPr>
            <w:tcW w:type="dxa" w:w="2160"/>
            <w:shd w:val="clear" w:fill="F2F5FA"/>
          </w:tcPr>
          <w:p>
            <w:r>
              <w:rPr>
                <w:b/>
                <w:sz w:val="17"/>
              </w:rPr>
              <w:t>OPEN</w:t>
            </w:r>
            <w:r>
              <w:rPr>
                <w:sz w:val="17"/>
              </w:rPr>
              <w:t xml:space="preserve"> — decide merge or close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G-03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 xml:space="preserve">Two branches severely divergent: </w:t>
            </w:r>
            <w:r>
              <w:rPr>
                <w:rFonts w:ascii="Consolas" w:hAnsi="Consolas"/>
                <w:color w:val="660099"/>
                <w:sz w:val="17"/>
              </w:rPr>
              <w:t>agent/bigui-experiment-platform</w:t>
            </w:r>
            <w:r>
              <w:rPr>
                <w:sz w:val="17"/>
              </w:rPr>
              <w:t xml:space="preserve"> (ahead 172 / behind 41) and </w:t>
            </w:r>
            <w:r>
              <w:rPr>
                <w:rFonts w:ascii="Consolas" w:hAnsi="Consolas"/>
                <w:color w:val="660099"/>
                <w:sz w:val="17"/>
              </w:rPr>
              <w:t>agent/independent-evidence-evaluation</w:t>
            </w:r>
            <w:r>
              <w:rPr>
                <w:sz w:val="17"/>
              </w:rPr>
              <w:t xml:space="preserve"> (ahead 184 / behind 14). The longer they diverge the harder the merge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OPEN</w:t>
            </w:r>
          </w:p>
        </w:tc>
      </w:tr>
      <w:tr>
        <w:tc>
          <w:tcPr>
            <w:tcW w:type="dxa" w:w="2160"/>
            <w:shd w:val="clear" w:fill="F2F5FA"/>
          </w:tcPr>
          <w:p>
            <w:r>
              <w:rPr>
                <w:sz w:val="17"/>
              </w:rPr>
              <w:t>G-04</w:t>
            </w:r>
          </w:p>
        </w:tc>
        <w:tc>
          <w:tcPr>
            <w:tcW w:type="dxa" w:w="2160"/>
            <w:shd w:val="clear" w:fill="F2F5FA"/>
          </w:tcPr>
          <w:p>
            <w:r>
              <w:rPr>
                <w:sz w:val="17"/>
              </w:rPr>
              <w:t>LOW</w:t>
            </w:r>
          </w:p>
        </w:tc>
        <w:tc>
          <w:tcPr>
            <w:tcW w:type="dxa" w:w="2160"/>
            <w:shd w:val="clear" w:fill="F2F5FA"/>
          </w:tcPr>
          <w:p>
            <w:r>
              <w:rPr>
                <w:sz w:val="17"/>
              </w:rPr>
              <w:t xml:space="preserve">Local-only branches never pushed: </w:t>
            </w:r>
            <w:r>
              <w:rPr>
                <w:rFonts w:ascii="Consolas" w:hAnsi="Consolas"/>
                <w:color w:val="660099"/>
                <w:sz w:val="17"/>
              </w:rPr>
              <w:t>docs/iris-july29-phd-execution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660099"/>
                <w:sz w:val="17"/>
              </w:rPr>
              <w:t>feature/human-feedback-manager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660099"/>
                <w:sz w:val="17"/>
              </w:rPr>
              <w:t>feature/m4a-test-compat</w:t>
            </w:r>
            <w:r>
              <w:rPr>
                <w:sz w:val="17"/>
              </w:rPr>
              <w:t xml:space="preserve"> — unbacked-up work</w:t>
            </w:r>
          </w:p>
        </w:tc>
        <w:tc>
          <w:tcPr>
            <w:tcW w:type="dxa" w:w="2160"/>
            <w:shd w:val="clear" w:fill="F2F5FA"/>
          </w:tcPr>
          <w:p>
            <w:r>
              <w:rPr>
                <w:b/>
                <w:sz w:val="17"/>
              </w:rPr>
              <w:t>OPEN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G-05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INFO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color w:val="660099"/>
                <w:sz w:val="17"/>
              </w:rPr>
              <w:t>main</w:t>
            </w:r>
            <w:r>
              <w:rPr>
                <w:sz w:val="17"/>
              </w:rPr>
              <w:t xml:space="preserve"> is level with origin (0 unpushed commits); PR #9 (July-01 redirect package) is no longer open — merged or closed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No action</w:t>
            </w:r>
          </w:p>
        </w:tc>
      </w:tr>
    </w:tbl>
    <w:p/>
    <w:p>
      <w:pPr>
        <w:spacing w:before="80"/>
        <w:pBdr>
          <w:bottom w:val="single" w:sz="6" w:color="BFBFBF"/>
        </w:pBdr>
      </w:pPr>
    </w:p>
    <w:p>
      <w:pPr>
        <w:pStyle w:val="Heading2"/>
      </w:pPr>
      <w:r>
        <w:t>3. Obsidian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3864"/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160"/>
            <w:shd w:val="clear" w:fill="1F3864"/>
          </w:tcPr>
          <w:p>
            <w:r>
              <w:rPr>
                <w:b/>
                <w:color w:val="FFFFFF"/>
                <w:sz w:val="17"/>
              </w:rPr>
              <w:t>Sev</w:t>
            </w:r>
          </w:p>
        </w:tc>
        <w:tc>
          <w:tcPr>
            <w:tcW w:type="dxa" w:w="2160"/>
            <w:shd w:val="clear" w:fill="1F3864"/>
          </w:tcPr>
          <w:p>
            <w:r>
              <w:rPr>
                <w:b/>
                <w:color w:val="FFFFFF"/>
                <w:sz w:val="17"/>
              </w:rPr>
              <w:t>Finding</w:t>
            </w:r>
          </w:p>
        </w:tc>
        <w:tc>
          <w:tcPr>
            <w:tcW w:type="dxa" w:w="2160"/>
            <w:shd w:val="clear" w:fill="1F3864"/>
          </w:tcPr>
          <w:p>
            <w:r>
              <w:rPr>
                <w:b/>
                <w:color w:val="FFFFFF"/>
                <w:sz w:val="17"/>
              </w:rPr>
              <w:t>State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O-01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MEDIUM–HIGH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 xml:space="preserve">The vault lives at </w:t>
            </w:r>
            <w:r>
              <w:rPr>
                <w:rFonts w:ascii="Consolas" w:hAnsi="Consolas"/>
                <w:color w:val="660099"/>
                <w:sz w:val="17"/>
              </w:rPr>
              <w:t>C:\Users\ahamed\OneDrive - Parallel Wireless\Documents\Obsidian Vault</w:t>
            </w:r>
            <w:r>
              <w:rPr>
                <w:sz w:val="17"/>
              </w:rPr>
              <w:t xml:space="preserve"> — inside the </w:t>
            </w:r>
            <w:r>
              <w:rPr>
                <w:b/>
                <w:sz w:val="17"/>
              </w:rPr>
              <w:t>employer's corporate OneDrive tenant</w:t>
            </w:r>
            <w:r>
              <w:rPr>
                <w:sz w:val="17"/>
              </w:rPr>
              <w:t xml:space="preserve">. Anything created directly in the vault syncs to Parallel Wireless. Note: the research content itself is reached through a junction to </w:t>
            </w:r>
            <w:r>
              <w:rPr>
                <w:rFonts w:ascii="Consolas" w:hAnsi="Consolas"/>
                <w:color w:val="660099"/>
                <w:sz w:val="17"/>
              </w:rPr>
              <w:t>G:\</w:t>
            </w:r>
            <w:r>
              <w:rPr>
                <w:sz w:val="17"/>
              </w:rPr>
              <w:t xml:space="preserve">, and OneDrive does not follow junctions, so the </w:t>
            </w:r>
            <w:r>
              <w:rPr>
                <w:i/>
                <w:sz w:val="17"/>
              </w:rPr>
              <w:t>research files</w:t>
            </w:r>
            <w:r>
              <w:rPr>
                <w:sz w:val="17"/>
              </w:rPr>
              <w:t xml:space="preserve"> are very likely not uploading — but the vault, its config, and any note authored in place are in the corporate tenant. For a personal PhD this is an IP/ownership question worth settling deliberately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OPEN — decision needed</w:t>
            </w:r>
          </w:p>
        </w:tc>
      </w:tr>
      <w:tr>
        <w:tc>
          <w:tcPr>
            <w:tcW w:type="dxa" w:w="2160"/>
            <w:shd w:val="clear" w:fill="F2F5FA"/>
          </w:tcPr>
          <w:p>
            <w:r>
              <w:rPr>
                <w:sz w:val="17"/>
              </w:rPr>
              <w:t>O-02</w:t>
            </w:r>
          </w:p>
        </w:tc>
        <w:tc>
          <w:tcPr>
            <w:tcW w:type="dxa" w:w="2160"/>
            <w:shd w:val="clear" w:fill="F2F5FA"/>
          </w:tcPr>
          <w:p>
            <w:r>
              <w:rPr>
                <w:sz w:val="17"/>
              </w:rPr>
              <w:t>LOW</w:t>
            </w:r>
          </w:p>
        </w:tc>
        <w:tc>
          <w:tcPr>
            <w:tcW w:type="dxa" w:w="2160"/>
            <w:shd w:val="clear" w:fill="F2F5FA"/>
          </w:tcPr>
          <w:p>
            <w:r>
              <w:rPr>
                <w:sz w:val="17"/>
              </w:rPr>
              <w:t xml:space="preserve">A </w:t>
            </w:r>
            <w:r>
              <w:rPr>
                <w:rFonts w:ascii="Consolas" w:hAnsi="Consolas"/>
                <w:color w:val="660099"/>
                <w:sz w:val="17"/>
              </w:rPr>
              <w:t>VEGO-AI PhD</w:t>
            </w:r>
            <w:r>
              <w:rPr>
                <w:sz w:val="17"/>
              </w:rPr>
              <w:t xml:space="preserve"> entry appeared in one enumeration but no longer resolves (</w:t>
            </w:r>
            <w:r>
              <w:rPr>
                <w:rFonts w:ascii="Consolas" w:hAnsi="Consolas"/>
                <w:color w:val="660099"/>
                <w:sz w:val="17"/>
              </w:rPr>
              <w:t>File Not Found</w:t>
            </w:r>
            <w:r>
              <w:rPr>
                <w:sz w:val="17"/>
              </w:rPr>
              <w:t>) — a stale/dangling link from an earlier layout</w:t>
            </w:r>
          </w:p>
        </w:tc>
        <w:tc>
          <w:tcPr>
            <w:tcW w:type="dxa" w:w="2160"/>
            <w:shd w:val="clear" w:fill="F2F5FA"/>
          </w:tcPr>
          <w:p>
            <w:r>
              <w:rPr>
                <w:b/>
                <w:sz w:val="17"/>
              </w:rPr>
              <w:t>OPEN</w:t>
            </w:r>
            <w:r>
              <w:rPr>
                <w:sz w:val="17"/>
              </w:rPr>
              <w:t xml:space="preserve"> — remove reference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O-03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 xml:space="preserve">Junk files in vault root: </w:t>
            </w:r>
            <w:r>
              <w:rPr>
                <w:rFonts w:ascii="Consolas" w:hAnsi="Consolas"/>
                <w:color w:val="660099"/>
                <w:sz w:val="17"/>
              </w:rPr>
              <w:t>Untitled.canvas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660099"/>
                <w:sz w:val="17"/>
              </w:rPr>
              <w:t>Untitled 1.canvas</w:t>
            </w:r>
            <w:r>
              <w:rPr>
                <w:sz w:val="17"/>
              </w:rPr>
              <w:t xml:space="preserve"> (2 bytes each)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OPEN</w:t>
            </w:r>
            <w:r>
              <w:rPr>
                <w:sz w:val="17"/>
              </w:rPr>
              <w:t xml:space="preserve"> — delete</w:t>
            </w:r>
          </w:p>
        </w:tc>
      </w:tr>
      <w:tr>
        <w:tc>
          <w:tcPr>
            <w:tcW w:type="dxa" w:w="2160"/>
            <w:shd w:val="clear" w:fill="F2F5FA"/>
          </w:tcPr>
          <w:p>
            <w:r>
              <w:rPr>
                <w:sz w:val="17"/>
              </w:rPr>
              <w:t>O-04</w:t>
            </w:r>
          </w:p>
        </w:tc>
        <w:tc>
          <w:tcPr>
            <w:tcW w:type="dxa" w:w="2160"/>
            <w:shd w:val="clear" w:fill="F2F5FA"/>
          </w:tcPr>
          <w:p>
            <w:r>
              <w:rPr>
                <w:sz w:val="17"/>
              </w:rPr>
              <w:t>INFO</w:t>
            </w:r>
          </w:p>
        </w:tc>
        <w:tc>
          <w:tcPr>
            <w:tcW w:type="dxa" w:w="2160"/>
            <w:shd w:val="clear" w:fill="F2F5FA"/>
          </w:tcPr>
          <w:p>
            <w:r>
              <w:rPr>
                <w:sz w:val="17"/>
              </w:rPr>
              <w:t xml:space="preserve">The live junction </w:t>
            </w:r>
            <w:r>
              <w:rPr>
                <w:rFonts w:ascii="Consolas" w:hAnsi="Consolas"/>
                <w:color w:val="660099"/>
                <w:sz w:val="17"/>
              </w:rPr>
              <w:t>VEGO-AI PhD Working 2026</w:t>
            </w:r>
            <w:r>
              <w:rPr>
                <w:sz w:val="17"/>
              </w:rPr>
              <w:t xml:space="preserve"> → Drive folder </w:t>
            </w:r>
            <w:r>
              <w:rPr>
                <w:b/>
                <w:sz w:val="17"/>
              </w:rPr>
              <w:t>works correctly</w:t>
            </w:r>
            <w:r>
              <w:rPr>
                <w:sz w:val="17"/>
              </w:rPr>
              <w:t xml:space="preserve"> (12 files visible on both sides) — this is a good setup</w:t>
            </w:r>
          </w:p>
        </w:tc>
        <w:tc>
          <w:tcPr>
            <w:tcW w:type="dxa" w:w="2160"/>
            <w:shd w:val="clear" w:fill="F2F5FA"/>
          </w:tcPr>
          <w:p>
            <w:r>
              <w:rPr>
                <w:sz w:val="17"/>
              </w:rPr>
              <w:t>No action</w:t>
            </w:r>
          </w:p>
        </w:tc>
      </w:tr>
    </w:tbl>
    <w:p/>
    <w:p>
      <w:pPr>
        <w:spacing w:before="80"/>
        <w:pBdr>
          <w:bottom w:val="single" w:sz="6" w:color="BFBFBF"/>
        </w:pBdr>
      </w:pPr>
    </w:p>
    <w:p>
      <w:pPr>
        <w:pStyle w:val="Heading2"/>
      </w:pPr>
      <w:r>
        <w:t>4. Mail and identity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3864"/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160"/>
            <w:shd w:val="clear" w:fill="1F3864"/>
          </w:tcPr>
          <w:p>
            <w:r>
              <w:rPr>
                <w:b/>
                <w:color w:val="FFFFFF"/>
                <w:sz w:val="17"/>
              </w:rPr>
              <w:t>Sev</w:t>
            </w:r>
          </w:p>
        </w:tc>
        <w:tc>
          <w:tcPr>
            <w:tcW w:type="dxa" w:w="2160"/>
            <w:shd w:val="clear" w:fill="1F3864"/>
          </w:tcPr>
          <w:p>
            <w:r>
              <w:rPr>
                <w:b/>
                <w:color w:val="FFFFFF"/>
                <w:sz w:val="17"/>
              </w:rPr>
              <w:t>Finding</w:t>
            </w:r>
          </w:p>
        </w:tc>
        <w:tc>
          <w:tcPr>
            <w:tcW w:type="dxa" w:w="2160"/>
            <w:shd w:val="clear" w:fill="1F3864"/>
          </w:tcPr>
          <w:p>
            <w:r>
              <w:rPr>
                <w:b/>
                <w:color w:val="FFFFFF"/>
                <w:sz w:val="17"/>
              </w:rPr>
              <w:t>State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M-01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HIGH (capability gap)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 xml:space="preserve">The only connected mail account is </w:t>
            </w:r>
            <w:r>
              <w:rPr>
                <w:b/>
                <w:sz w:val="17"/>
              </w:rPr>
              <w:t>`ahamed@parallelwireless.com`</w:t>
            </w:r>
            <w:r>
              <w:rPr>
                <w:sz w:val="17"/>
              </w:rPr>
              <w:t xml:space="preserve"> (Microsoft 365, "Engineer I, QA"). </w:t>
            </w:r>
            <w:r>
              <w:rPr>
                <w:b/>
                <w:sz w:val="17"/>
              </w:rPr>
              <w:t>There is no Gmail/academic mail connected.</w:t>
            </w:r>
            <w:r>
              <w:rPr>
                <w:sz w:val="17"/>
              </w:rPr>
              <w:t xml:space="preserve"> I therefore </w:t>
            </w:r>
            <w:r>
              <w:rPr>
                <w:i/>
                <w:sz w:val="17"/>
              </w:rPr>
              <w:t>cannot</w:t>
            </w:r>
            <w:r>
              <w:rPr>
                <w:sz w:val="17"/>
              </w:rPr>
              <w:t xml:space="preserve"> see or verify correspondence with Iris and Arnon — including her check-in email (</w:t>
            </w:r>
            <w:r>
              <w:rPr>
                <w:rFonts w:ascii="Consolas" w:hAnsi="Consolas"/>
                <w:color w:val="660099"/>
                <w:sz w:val="17"/>
              </w:rPr>
              <w:t>A08-07</w:t>
            </w:r>
            <w:r>
              <w:rPr>
                <w:sz w:val="17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OPEN — needs a decision</w:t>
            </w:r>
          </w:p>
        </w:tc>
      </w:tr>
      <w:tr>
        <w:tc>
          <w:tcPr>
            <w:tcW w:type="dxa" w:w="2160"/>
            <w:shd w:val="clear" w:fill="F2F5FA"/>
          </w:tcPr>
          <w:p>
            <w:r>
              <w:rPr>
                <w:sz w:val="17"/>
              </w:rPr>
              <w:t>M-02</w:t>
            </w:r>
          </w:p>
        </w:tc>
        <w:tc>
          <w:tcPr>
            <w:tcW w:type="dxa" w:w="2160"/>
            <w:shd w:val="clear" w:fill="F2F5FA"/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2160"/>
            <w:shd w:val="clear" w:fill="F2F5FA"/>
          </w:tcPr>
          <w:p>
            <w:r>
              <w:rPr>
                <w:sz w:val="17"/>
              </w:rPr>
              <w:t xml:space="preserve">Consequence: I cannot verify whether Iris's email arrived, nor whether the Drive share notification was sent. These stay </w:t>
            </w:r>
            <w:r>
              <w:rPr>
                <w:rFonts w:ascii="Consolas" w:hAnsi="Consolas"/>
                <w:color w:val="660099"/>
                <w:sz w:val="17"/>
              </w:rPr>
              <w:t>NEEDS ALI</w:t>
            </w:r>
            <w:r>
              <w:rPr>
                <w:sz w:val="17"/>
              </w:rPr>
              <w:t xml:space="preserve"> in every report until an academic mailbox is connected</w:t>
            </w:r>
          </w:p>
        </w:tc>
        <w:tc>
          <w:tcPr>
            <w:tcW w:type="dxa" w:w="2160"/>
            <w:shd w:val="clear" w:fill="F2F5FA"/>
          </w:tcPr>
          <w:p>
            <w:r>
              <w:rPr>
                <w:b/>
                <w:sz w:val="17"/>
              </w:rPr>
              <w:t>OPEN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  <w:t>M-03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NOTE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Using a corporate mailbox for PhD supervision correspondence carries the same IP/retention question as O-01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OPEN</w:t>
            </w:r>
          </w:p>
        </w:tc>
      </w:tr>
    </w:tbl>
    <w:p/>
    <w:p>
      <w:pPr>
        <w:spacing w:before="80"/>
        <w:pBdr>
          <w:bottom w:val="single" w:sz="6" w:color="BFBFBF"/>
        </w:pBdr>
      </w:pPr>
    </w:p>
    <w:p>
      <w:pPr>
        <w:pStyle w:val="Heading2"/>
      </w:pPr>
      <w:r>
        <w:t>5. Research deliverables vs Iris's 2026-08-05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3864"/>
          </w:tcPr>
          <w:p>
            <w:r>
              <w:rPr>
                <w:b/>
                <w:color w:val="FFFFFF"/>
                <w:sz w:val="17"/>
              </w:rPr>
              <w:t>Req</w:t>
            </w:r>
          </w:p>
        </w:tc>
        <w:tc>
          <w:tcPr>
            <w:tcW w:type="dxa" w:w="2160"/>
            <w:shd w:val="clear" w:fill="1F3864"/>
          </w:tcPr>
          <w:p>
            <w:r>
              <w:rPr>
                <w:b/>
                <w:color w:val="FFFFFF"/>
                <w:sz w:val="17"/>
              </w:rPr>
              <w:t>What Iris asked</w:t>
            </w:r>
          </w:p>
        </w:tc>
        <w:tc>
          <w:tcPr>
            <w:tcW w:type="dxa" w:w="2160"/>
            <w:shd w:val="clear" w:fill="1F3864"/>
          </w:tcPr>
          <w:p>
            <w:r>
              <w:rPr>
                <w:b/>
                <w:color w:val="FFFFFF"/>
                <w:sz w:val="17"/>
              </w:rPr>
              <w:t>Verdict</w:t>
            </w:r>
          </w:p>
        </w:tc>
        <w:tc>
          <w:tcPr>
            <w:tcW w:type="dxa" w:w="2160"/>
            <w:shd w:val="clear" w:fill="1F3864"/>
          </w:tcPr>
          <w:p>
            <w:r>
              <w:rPr>
                <w:b/>
                <w:color w:val="FFFFFF"/>
                <w:sz w:val="17"/>
              </w:rPr>
              <w:t>Evidence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660099"/>
                <w:sz w:val="17"/>
              </w:rPr>
              <w:t>E15</w:t>
            </w:r>
            <w:r>
              <w:rPr>
                <w:sz w:val="17"/>
              </w:rPr>
              <w:t>.1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 xml:space="preserve">Gap + RQ chapter </w:t>
            </w:r>
            <w:r>
              <w:rPr>
                <w:b/>
                <w:sz w:val="17"/>
              </w:rPr>
              <w:t>in full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DONE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~5,200 words, 66 citation markers, on Drive verified at 52,922 B</w:t>
            </w:r>
          </w:p>
        </w:tc>
      </w:tr>
      <w:tr>
        <w:tc>
          <w:tcPr>
            <w:tcW w:type="dxa" w:w="2160"/>
            <w:shd w:val="clear" w:fill="F2F5FA"/>
          </w:tcPr>
          <w:p>
            <w:r>
              <w:rPr>
                <w:rFonts w:ascii="Consolas" w:hAnsi="Consolas"/>
                <w:color w:val="660099"/>
                <w:sz w:val="17"/>
              </w:rPr>
              <w:t>E15</w:t>
            </w:r>
            <w:r>
              <w:rPr>
                <w:sz w:val="17"/>
              </w:rPr>
              <w:t>.2</w:t>
            </w:r>
          </w:p>
        </w:tc>
        <w:tc>
          <w:tcPr>
            <w:tcW w:type="dxa" w:w="2160"/>
            <w:shd w:val="clear" w:fill="F2F5FA"/>
          </w:tcPr>
          <w:p>
            <w:r>
              <w:rPr>
                <w:sz w:val="17"/>
              </w:rPr>
              <w:t>Per-RQ literature spreadsheet with RQ tag column</w:t>
            </w:r>
          </w:p>
        </w:tc>
        <w:tc>
          <w:tcPr>
            <w:tcW w:type="dxa" w:w="2160"/>
            <w:shd w:val="clear" w:fill="F2F5FA"/>
          </w:tcPr>
          <w:p>
            <w:r>
              <w:rPr>
                <w:b/>
                <w:sz w:val="17"/>
              </w:rPr>
              <w:t>DONE</w:t>
            </w:r>
          </w:p>
        </w:tc>
        <w:tc>
          <w:tcPr>
            <w:tcW w:type="dxa" w:w="2160"/>
            <w:shd w:val="clear" w:fill="F2F5FA"/>
          </w:tcPr>
          <w:p>
            <w:r>
              <w:rPr>
                <w:sz w:val="17"/>
              </w:rPr>
              <w:t>40 verified sources, 4 sheets, coverage-gap analysis; 27,023 B verified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660099"/>
                <w:sz w:val="17"/>
              </w:rPr>
              <w:t>E15</w:t>
            </w:r>
            <w:r>
              <w:rPr>
                <w:sz w:val="17"/>
              </w:rPr>
              <w:t>.3</w:t>
            </w:r>
          </w:p>
        </w:tc>
        <w:tc>
          <w:tcPr>
            <w:tcW w:type="dxa" w:w="2160"/>
          </w:tcPr>
          <w:p>
            <w:r>
              <w:rPr>
                <w:i/>
                <w:sz w:val="17"/>
              </w:rPr>
              <w:t>Think about</w:t>
            </w:r>
            <w:r>
              <w:rPr>
                <w:sz w:val="17"/>
              </w:rPr>
              <w:t xml:space="preserve"> §2 and §4, do </w:t>
            </w:r>
            <w:r>
              <w:rPr>
                <w:b/>
                <w:sz w:val="17"/>
              </w:rPr>
              <w:t>not</w:t>
            </w:r>
            <w:r>
              <w:rPr>
                <w:sz w:val="17"/>
              </w:rPr>
              <w:t xml:space="preserve"> start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DONE (correctly not started)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4 §2 options, 9 §4 options, 14 questions; no design committed</w:t>
            </w:r>
          </w:p>
        </w:tc>
      </w:tr>
      <w:tr>
        <w:tc>
          <w:tcPr>
            <w:tcW w:type="dxa" w:w="2160"/>
            <w:shd w:val="clear" w:fill="F2F5FA"/>
          </w:tcPr>
          <w:p>
            <w:r>
              <w:rPr>
                <w:rFonts w:ascii="Consolas" w:hAnsi="Consolas"/>
                <w:color w:val="660099"/>
                <w:sz w:val="17"/>
              </w:rPr>
              <w:t>E15</w:t>
            </w:r>
            <w:r>
              <w:rPr>
                <w:sz w:val="17"/>
              </w:rPr>
              <w:t>.4</w:t>
            </w:r>
          </w:p>
        </w:tc>
        <w:tc>
          <w:tcPr>
            <w:tcW w:type="dxa" w:w="2160"/>
            <w:shd w:val="clear" w:fill="F2F5FA"/>
          </w:tcPr>
          <w:p>
            <w:r>
              <w:rPr>
                <w:sz w:val="17"/>
              </w:rPr>
              <w:t>Share the Drive with Iris and Arnon</w:t>
            </w:r>
          </w:p>
        </w:tc>
        <w:tc>
          <w:tcPr>
            <w:tcW w:type="dxa" w:w="2160"/>
            <w:shd w:val="clear" w:fill="F2F5FA"/>
          </w:tcPr>
          <w:p>
            <w:r>
              <w:rPr>
                <w:b/>
                <w:sz w:val="17"/>
              </w:rPr>
              <w:t>NOT VERIFIABLE — NEEDS ALI</w:t>
            </w:r>
          </w:p>
        </w:tc>
        <w:tc>
          <w:tcPr>
            <w:tcW w:type="dxa" w:w="2160"/>
            <w:shd w:val="clear" w:fill="F2F5FA"/>
          </w:tcPr>
          <w:p>
            <w:r>
              <w:rPr>
                <w:sz w:val="17"/>
              </w:rPr>
              <w:t>ACL not inspectable from disk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660099"/>
                <w:sz w:val="17"/>
              </w:rPr>
              <w:t>E15</w:t>
            </w:r>
            <w:r>
              <w:rPr>
                <w:sz w:val="17"/>
              </w:rPr>
              <w:t>.5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Word proposal + separate tracking doc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DONE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 xml:space="preserve">v0.3 </w:t>
            </w:r>
            <w:r>
              <w:rPr>
                <w:rFonts w:ascii="Consolas" w:hAnsi="Consolas"/>
                <w:color w:val="660099"/>
                <w:sz w:val="17"/>
              </w:rPr>
              <w:t>.docx</w:t>
            </w:r>
            <w:r>
              <w:rPr>
                <w:sz w:val="17"/>
              </w:rPr>
              <w:t xml:space="preserve"> + 6-sheet tracker, both on Drive</w:t>
            </w:r>
          </w:p>
        </w:tc>
      </w:tr>
      <w:tr>
        <w:tc>
          <w:tcPr>
            <w:tcW w:type="dxa" w:w="2160"/>
            <w:shd w:val="clear" w:fill="F2F5FA"/>
          </w:tcPr>
          <w:p>
            <w:r>
              <w:rPr>
                <w:rFonts w:ascii="Consolas" w:hAnsi="Consolas"/>
                <w:color w:val="660099"/>
                <w:sz w:val="17"/>
              </w:rPr>
              <w:t>E15</w:t>
            </w:r>
            <w:r>
              <w:rPr>
                <w:sz w:val="17"/>
              </w:rPr>
              <w:t>.6</w:t>
            </w:r>
          </w:p>
        </w:tc>
        <w:tc>
          <w:tcPr>
            <w:tcW w:type="dxa" w:w="2160"/>
            <w:shd w:val="clear" w:fill="F2F5FA"/>
          </w:tcPr>
          <w:p>
            <w:r>
              <w:rPr>
                <w:sz w:val="17"/>
              </w:rPr>
              <w:t>Reply to her check-in email</w:t>
            </w:r>
          </w:p>
        </w:tc>
        <w:tc>
          <w:tcPr>
            <w:tcW w:type="dxa" w:w="2160"/>
            <w:shd w:val="clear" w:fill="F2F5FA"/>
          </w:tcPr>
          <w:p>
            <w:r>
              <w:rPr>
                <w:b/>
                <w:sz w:val="17"/>
              </w:rPr>
              <w:t>NEEDS ALI</w:t>
            </w:r>
          </w:p>
        </w:tc>
        <w:tc>
          <w:tcPr>
            <w:tcW w:type="dxa" w:w="2160"/>
            <w:shd w:val="clear" w:fill="F2F5FA"/>
          </w:tcPr>
          <w:p>
            <w:r>
              <w:rPr>
                <w:sz w:val="17"/>
              </w:rPr>
              <w:t>No mail visibility (M-01)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660099"/>
                <w:sz w:val="17"/>
              </w:rPr>
              <w:t>E15</w:t>
            </w:r>
            <w:r>
              <w:rPr>
                <w:sz w:val="17"/>
              </w:rPr>
              <w:t>.7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Present live on Aug 12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READY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10-slide deck + walkthrough + Q&amp;A</w:t>
            </w:r>
          </w:p>
        </w:tc>
      </w:tr>
      <w:tr>
        <w:tc>
          <w:tcPr>
            <w:tcW w:type="dxa" w:w="2160"/>
            <w:shd w:val="clear" w:fill="F2F5FA"/>
          </w:tcPr>
          <w:p>
            <w:r>
              <w:rPr>
                <w:rFonts w:ascii="Consolas" w:hAnsi="Consolas"/>
                <w:color w:val="660099"/>
                <w:sz w:val="17"/>
              </w:rPr>
              <w:t>A08-01</w:t>
            </w:r>
          </w:p>
        </w:tc>
        <w:tc>
          <w:tcPr>
            <w:tcW w:type="dxa" w:w="2160"/>
            <w:shd w:val="clear" w:fill="F2F5FA"/>
          </w:tcPr>
          <w:p>
            <w:r>
              <w:rPr>
                <w:sz w:val="17"/>
              </w:rPr>
              <w:t>Verify final RQ wording vs saved draft</w:t>
            </w:r>
          </w:p>
        </w:tc>
        <w:tc>
          <w:tcPr>
            <w:tcW w:type="dxa" w:w="2160"/>
            <w:shd w:val="clear" w:fill="F2F5FA"/>
          </w:tcPr>
          <w:p>
            <w:r>
              <w:rPr>
                <w:b/>
                <w:sz w:val="17"/>
              </w:rPr>
              <w:t>BLOCKING — NEEDS ALI</w:t>
            </w:r>
          </w:p>
        </w:tc>
        <w:tc>
          <w:tcPr>
            <w:tcW w:type="dxa" w:w="2160"/>
            <w:shd w:val="clear" w:fill="F2F5FA"/>
          </w:tcPr>
          <w:p>
            <w:r>
              <w:rPr>
                <w:sz w:val="17"/>
              </w:rPr>
              <w:t xml:space="preserve">Two discrepancies surfaced: </w:t>
            </w:r>
            <w:r>
              <w:rPr>
                <w:rFonts w:ascii="Consolas" w:hAnsi="Consolas"/>
                <w:color w:val="660099"/>
                <w:sz w:val="17"/>
              </w:rPr>
              <w:t>E6</w:t>
            </w:r>
            <w:r>
              <w:rPr>
                <w:sz w:val="17"/>
              </w:rPr>
              <w:t xml:space="preserve"> </w:t>
            </w:r>
            <w:r>
              <w:rPr>
                <w:i/>
                <w:sz w:val="17"/>
              </w:rPr>
              <w:t>exploration</w:t>
            </w:r>
            <w:r>
              <w:rPr>
                <w:sz w:val="17"/>
              </w:rPr>
              <w:t xml:space="preserve"> vs </w:t>
            </w:r>
            <w:r>
              <w:rPr>
                <w:i/>
                <w:sz w:val="17"/>
              </w:rPr>
              <w:t>identification/classification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660099"/>
                <w:sz w:val="17"/>
              </w:rPr>
              <w:t>E8</w:t>
            </w:r>
            <w:r>
              <w:rPr>
                <w:sz w:val="17"/>
              </w:rPr>
              <w:t xml:space="preserve"> </w:t>
            </w:r>
            <w:r>
              <w:rPr>
                <w:i/>
                <w:sz w:val="17"/>
              </w:rPr>
              <w:t>human</w:t>
            </w:r>
            <w:r>
              <w:rPr>
                <w:sz w:val="17"/>
              </w:rPr>
              <w:t xml:space="preserve"> vs </w:t>
            </w:r>
            <w:r>
              <w:rPr>
                <w:i/>
                <w:sz w:val="17"/>
              </w:rPr>
              <w:t>expert</w:t>
            </w:r>
            <w:r>
              <w:rPr>
                <w:sz w:val="17"/>
              </w:rPr>
              <w:t xml:space="preserve"> judgment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color w:val="660099"/>
                <w:sz w:val="17"/>
              </w:rPr>
              <w:t>E5</w:t>
            </w:r>
            <w:r>
              <w:rPr>
                <w:sz w:val="17"/>
              </w:rPr>
              <w:t>,</w:t>
            </w:r>
            <w:r>
              <w:rPr>
                <w:rFonts w:ascii="Consolas" w:hAnsi="Consolas"/>
                <w:color w:val="660099"/>
                <w:sz w:val="17"/>
              </w:rPr>
              <w:t>E6</w:t>
            </w:r>
            <w:r>
              <w:rPr>
                <w:sz w:val="17"/>
              </w:rPr>
              <w:t>,</w:t>
            </w:r>
            <w:r>
              <w:rPr>
                <w:rFonts w:ascii="Consolas" w:hAnsi="Consolas"/>
                <w:color w:val="660099"/>
                <w:sz w:val="17"/>
              </w:rPr>
              <w:t>E7</w:t>
            </w:r>
            <w:r>
              <w:rPr>
                <w:sz w:val="17"/>
              </w:rPr>
              <w:t>,</w:t>
            </w:r>
            <w:r>
              <w:rPr>
                <w:rFonts w:ascii="Consolas" w:hAnsi="Consolas"/>
                <w:color w:val="660099"/>
                <w:sz w:val="17"/>
              </w:rPr>
              <w:t>E8</w:t>
            </w:r>
            <w:r>
              <w:rPr>
                <w:sz w:val="17"/>
              </w:rPr>
              <w:t>,</w:t>
            </w:r>
            <w:r>
              <w:rPr>
                <w:rFonts w:ascii="Consolas" w:hAnsi="Consolas"/>
                <w:color w:val="660099"/>
                <w:sz w:val="17"/>
              </w:rPr>
              <w:t>E9</w:t>
            </w:r>
            <w:r>
              <w:rPr>
                <w:sz w:val="17"/>
              </w:rPr>
              <w:t>,</w:t>
            </w:r>
            <w:r>
              <w:rPr>
                <w:rFonts w:ascii="Consolas" w:hAnsi="Consolas"/>
                <w:color w:val="660099"/>
                <w:sz w:val="17"/>
              </w:rPr>
              <w:t>E10</w:t>
            </w:r>
            <w:r>
              <w:rPr>
                <w:sz w:val="17"/>
              </w:rPr>
              <w:t>,</w:t>
            </w:r>
            <w:r>
              <w:rPr>
                <w:rFonts w:ascii="Consolas" w:hAnsi="Consolas"/>
                <w:color w:val="660099"/>
                <w:sz w:val="17"/>
              </w:rPr>
              <w:t>E12</w:t>
            </w:r>
            <w:r>
              <w:rPr>
                <w:sz w:val="17"/>
              </w:rPr>
              <w:t>,</w:t>
            </w:r>
            <w:r>
              <w:rPr>
                <w:rFonts w:ascii="Consolas" w:hAnsi="Consolas"/>
                <w:color w:val="660099"/>
                <w:sz w:val="17"/>
              </w:rPr>
              <w:t>E13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Wording/structure corrections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APPLIED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Each traced in the tracking workbook</w:t>
            </w:r>
          </w:p>
        </w:tc>
      </w:tr>
      <w:tr>
        <w:tc>
          <w:tcPr>
            <w:tcW w:type="dxa" w:w="2160"/>
            <w:shd w:val="clear" w:fill="F2F5FA"/>
          </w:tcPr>
          <w:p>
            <w:r>
              <w:rPr>
                <w:rFonts w:ascii="Consolas" w:hAnsi="Consolas"/>
                <w:color w:val="660099"/>
                <w:sz w:val="17"/>
              </w:rPr>
              <w:t>E14</w:t>
            </w:r>
          </w:p>
        </w:tc>
        <w:tc>
          <w:tcPr>
            <w:tcW w:type="dxa" w:w="2160"/>
            <w:shd w:val="clear" w:fill="F2F5FA"/>
          </w:tcPr>
          <w:p>
            <w:r>
              <w:rPr>
                <w:sz w:val="17"/>
              </w:rPr>
              <w:t>3-month blocks, 3-year horizon</w:t>
            </w:r>
          </w:p>
        </w:tc>
        <w:tc>
          <w:tcPr>
            <w:tcW w:type="dxa" w:w="2160"/>
            <w:shd w:val="clear" w:fill="F2F5FA"/>
          </w:tcPr>
          <w:p>
            <w:r>
              <w:rPr>
                <w:b/>
                <w:sz w:val="17"/>
              </w:rPr>
              <w:t>NOT STARTED (correct)</w:t>
            </w:r>
          </w:p>
        </w:tc>
        <w:tc>
          <w:tcPr>
            <w:tcW w:type="dxa" w:w="2160"/>
            <w:shd w:val="clear" w:fill="F2F5FA"/>
          </w:tcPr>
          <w:p>
            <w:r>
              <w:rPr>
                <w:sz w:val="17"/>
              </w:rPr>
              <w:t>Belongs to the Plan chapter, not this cycle</w:t>
            </w:r>
          </w:p>
        </w:tc>
      </w:tr>
    </w:tbl>
    <w:p/>
    <w:p>
      <w:pPr>
        <w:spacing w:before="80"/>
        <w:pBdr>
          <w:bottom w:val="single" w:sz="6" w:color="BFBFBF"/>
        </w:pBdr>
      </w:pPr>
    </w:p>
    <w:p>
      <w:pPr>
        <w:pStyle w:val="Heading2"/>
      </w:pPr>
      <w:r>
        <w:t>6. Standing evidence gates — unchanged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3864"/>
          </w:tcPr>
          <w:p>
            <w:r>
              <w:rPr>
                <w:b/>
                <w:color w:val="FFFFFF"/>
                <w:sz w:val="17"/>
              </w:rPr>
              <w:t>Gate</w:t>
            </w:r>
          </w:p>
        </w:tc>
        <w:tc>
          <w:tcPr>
            <w:tcW w:type="dxa" w:w="2880"/>
            <w:shd w:val="clear" w:fill="1F3864"/>
          </w:tcPr>
          <w:p>
            <w:r>
              <w:rPr>
                <w:b/>
                <w:color w:val="FFFFFF"/>
                <w:sz w:val="17"/>
              </w:rPr>
              <w:t>Value</w:t>
            </w:r>
          </w:p>
        </w:tc>
        <w:tc>
          <w:tcPr>
            <w:tcW w:type="dxa" w:w="2880"/>
            <w:shd w:val="clear" w:fill="1F3864"/>
          </w:tcPr>
          <w:p>
            <w:r>
              <w:rPr>
                <w:b/>
                <w:color w:val="FFFFFF"/>
                <w:sz w:val="17"/>
              </w:rPr>
              <w:t>Blocks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EXP-005 generalization-safe expert labels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0 of 24</w:t>
            </w:r>
            <w:r>
              <w:rPr>
                <w:sz w:val="17"/>
              </w:rPr>
              <w:t xml:space="preserve"> (≥20 needed)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every quantitative accuracy claim</w:t>
            </w:r>
          </w:p>
        </w:tc>
      </w:tr>
      <w:tr>
        <w:tc>
          <w:tcPr>
            <w:tcW w:type="dxa" w:w="2880"/>
            <w:shd w:val="clear" w:fill="F2F5FA"/>
          </w:tcPr>
          <w:p>
            <w:r>
              <w:rPr>
                <w:sz w:val="17"/>
              </w:rPr>
              <w:t>Medical entry gates G1–G6</w:t>
            </w:r>
          </w:p>
        </w:tc>
        <w:tc>
          <w:tcPr>
            <w:tcW w:type="dxa" w:w="2880"/>
            <w:shd w:val="clear" w:fill="F2F5FA"/>
          </w:tcPr>
          <w:p>
            <w:r>
              <w:rPr>
                <w:b/>
                <w:sz w:val="17"/>
              </w:rPr>
              <w:t>0 of 6</w:t>
            </w:r>
          </w:p>
        </w:tc>
        <w:tc>
          <w:tcPr>
            <w:tcW w:type="dxa" w:w="2880"/>
            <w:shd w:val="clear" w:fill="F2F5FA"/>
          </w:tcPr>
          <w:p>
            <w:r>
              <w:rPr>
                <w:sz w:val="17"/>
              </w:rPr>
              <w:t>any medical data processing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Literature searches QL-01…QL-05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  <w:t>not run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any novelty/completeness statement</w:t>
            </w:r>
          </w:p>
        </w:tc>
      </w:tr>
      <w:tr>
        <w:tc>
          <w:tcPr>
            <w:tcW w:type="dxa" w:w="2880"/>
            <w:shd w:val="clear" w:fill="F2F5FA"/>
          </w:tcPr>
          <w:p>
            <w:r>
              <w:rPr>
                <w:sz w:val="17"/>
              </w:rPr>
              <w:t>Accuracy / generalization / clinical claims</w:t>
            </w:r>
          </w:p>
        </w:tc>
        <w:tc>
          <w:tcPr>
            <w:tcW w:type="dxa" w:w="2880"/>
            <w:shd w:val="clear" w:fill="F2F5FA"/>
          </w:tcPr>
          <w:p>
            <w:r>
              <w:rPr>
                <w:b/>
                <w:sz w:val="17"/>
              </w:rPr>
              <w:t>none made</w:t>
            </w:r>
          </w:p>
        </w:tc>
        <w:tc>
          <w:tcPr>
            <w:tcW w:type="dxa" w:w="2880"/>
            <w:shd w:val="clear" w:fill="F2F5FA"/>
          </w:tcPr>
          <w:p>
            <w:r>
              <w:rPr>
                <w:sz w:val="17"/>
              </w:rPr>
              <w:t>— verified by automated guard, 18/18 PASS</w:t>
            </w:r>
          </w:p>
        </w:tc>
      </w:tr>
    </w:tbl>
    <w:p/>
    <w:p>
      <w:pPr>
        <w:spacing w:before="80"/>
        <w:pBdr>
          <w:bottom w:val="single" w:sz="6" w:color="BFBFBF"/>
        </w:pBdr>
      </w:pPr>
    </w:p>
    <w:p>
      <w:pPr>
        <w:pStyle w:val="Heading2"/>
      </w:pPr>
      <w:r>
        <w:t>7. What I could NOT verify (stated honestly)</w:t>
      </w:r>
    </w:p>
    <w:p>
      <w:pPr>
        <w:pStyle w:val="ListNumber"/>
      </w:pPr>
      <w:r>
        <w:rPr>
          <w:b/>
        </w:rPr>
        <w:t>Drive sharing status</w:t>
      </w:r>
      <w:r>
        <w:t xml:space="preserve"> — requires the Drive UI or API; not inspectable from the filesystem.</w:t>
      </w:r>
    </w:p>
    <w:p>
      <w:pPr>
        <w:pStyle w:val="ListNumber"/>
      </w:pPr>
      <w:r>
        <w:rPr>
          <w:b/>
        </w:rPr>
        <w:t>Any email</w:t>
      </w:r>
      <w:r>
        <w:t xml:space="preserve"> — no academic mailbox connected (M-01).</w:t>
      </w:r>
    </w:p>
    <w:p>
      <w:pPr>
        <w:pStyle w:val="ListNumber"/>
      </w:pPr>
      <w:r>
        <w:rPr>
          <w:b/>
        </w:rPr>
        <w:t>Whether the supervisors have opened anything</w:t>
      </w:r>
      <w:r>
        <w:t xml:space="preserve"> — no telemetry, by design.</w:t>
      </w:r>
    </w:p>
    <w:p>
      <w:pPr>
        <w:pStyle w:val="ListNumber"/>
      </w:pPr>
      <w:r>
        <w:rPr>
          <w:b/>
        </w:rPr>
        <w:t>The exact agreed RQ wording</w:t>
      </w:r>
      <w:r>
        <w:t xml:space="preserve"> — only Ali's saved working draft can settle it (</w:t>
      </w:r>
      <w:r>
        <w:rPr>
          <w:rFonts w:ascii="Consolas" w:hAnsi="Consolas"/>
          <w:color w:val="660099"/>
          <w:sz w:val="19"/>
        </w:rPr>
        <w:t>A08-01</w:t>
      </w:r>
      <w:r>
        <w:t>).</w:t>
      </w:r>
    </w:p>
    <w:p>
      <w:pPr>
        <w:pStyle w:val="ListNumber"/>
      </w:pPr>
      <w:r>
        <w:rPr>
          <w:b/>
        </w:rPr>
        <w:t>Cloud-side Drive state</w:t>
      </w:r>
      <w:r>
        <w:t xml:space="preserve"> beyond what the local client exposes; the client is the only window, and</w:t>
      </w:r>
    </w:p>
    <w:p>
      <w:pPr>
        <w:jc w:val="both"/>
      </w:pPr>
      <w:r>
        <w:t>D-01 proves it can disagree with the cloud.</w:t>
      </w:r>
    </w:p>
    <w:p>
      <w:pPr>
        <w:spacing w:before="80"/>
        <w:pBdr>
          <w:bottom w:val="single" w:sz="6" w:color="BFBFBF"/>
        </w:pBdr>
      </w:pPr>
    </w:p>
    <w:p>
      <w:pPr>
        <w:jc w:val="both"/>
      </w:pPr>
      <w:r>
        <w:rPr>
          <w:i/>
        </w:rPr>
        <w:t>Audit performed 2026-08-12. Every "FIXED" above was re-verified by byte comparison after a settle delay. Every "OPEN" item appears in the plan with an owner.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86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