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PhD Research Proposal — Working Draft v0.3</w:t>
      </w:r>
    </w:p>
    <w:p/>
    <w:p>
      <w:pPr>
        <w:pStyle w:val="Heading1"/>
      </w:pPr>
      <w:r>
        <w:t>PhD Research Proposal — Working Draft v0.3</w:t>
      </w:r>
    </w:p>
    <w:p>
      <w:pPr>
        <w:jc w:val="both"/>
      </w:pPr>
      <w:r>
        <w:rPr>
          <w:b/>
        </w:rPr>
        <w:t>Status: WORKING DRAFT — NOT SUPERVISOR-APPROVED, NOT A SUBMISSION CANDIDATE.</w:t>
      </w:r>
      <w:r>
        <w:t xml:space="preserve"> Prepared by Ali Hamed for the supervisor meeting of Wednesday 2026-08-12, 09:00. Supervisors: Prof. Iris Reinhartz-Berger, Prof. Arnon.</w:t>
      </w:r>
    </w:p>
    <w:p>
      <w:pPr>
        <w:jc w:val="both"/>
      </w:pPr>
      <w:r>
        <w:t>This is the Word proposal document requested on 2026-08-05 (</w:t>
      </w:r>
      <w:r>
        <w:rPr>
          <w:rFonts w:ascii="Consolas" w:hAnsi="Consolas"/>
          <w:color w:val="660099"/>
          <w:sz w:val="19"/>
        </w:rPr>
        <w:t>E15</w:t>
      </w:r>
      <w:r>
        <w:t>/</w:t>
      </w:r>
      <w:r>
        <w:rPr>
          <w:rFonts w:ascii="Consolas" w:hAnsi="Consolas"/>
          <w:color w:val="660099"/>
          <w:sz w:val="19"/>
        </w:rPr>
        <w:t>A08-06</w:t>
      </w:r>
      <w:r>
        <w:t xml:space="preserve">). It is maintained separately from the tracking document, as instructed. v0.3 delivers </w:t>
      </w:r>
      <w:r>
        <w:rPr>
          <w:b/>
        </w:rPr>
        <w:t>Chapter 3 in full</w:t>
      </w:r>
      <w:r>
        <w:t xml:space="preserve"> — the deliverable due at this meeting — and holds the remaining chapters at the status each has actually reached. Nothing is presented as further along than it is.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Title — decision required</w:t>
      </w:r>
    </w:p>
    <w:p>
      <w:pPr>
        <w:jc w:val="both"/>
      </w:pPr>
      <w:r>
        <w:t xml:space="preserve">The v0.2 title is </w:t>
      </w:r>
      <w:r>
        <w:rPr>
          <w:b/>
        </w:rPr>
        <w:t>"Reusable Human Judgment for Auditable, Reliable, and Transferable Agentic AI Assessment."</w:t>
      </w:r>
      <w:r>
        <w:t xml:space="preserve"> Three of its words — </w:t>
      </w:r>
      <w:r>
        <w:rPr>
          <w:i/>
        </w:rPr>
        <w:t>reusable</w:t>
      </w:r>
      <w:r>
        <w:t xml:space="preserve">, </w:t>
      </w:r>
      <w:r>
        <w:rPr>
          <w:i/>
        </w:rPr>
        <w:t>auditable</w:t>
      </w:r>
      <w:r>
        <w:t xml:space="preserve">, </w:t>
      </w:r>
      <w:r>
        <w:rPr>
          <w:i/>
        </w:rPr>
        <w:t>transferable</w:t>
      </w:r>
      <w:r>
        <w:t xml:space="preserve"> — are precisely the words the 2026-08-05 live edit removed from the research-question headline (</w:t>
      </w:r>
      <w:r>
        <w:rPr>
          <w:rFonts w:ascii="Consolas" w:hAnsi="Consolas"/>
          <w:color w:val="660099"/>
          <w:sz w:val="19"/>
        </w:rPr>
        <w:t>E5</w:t>
      </w:r>
      <w:r>
        <w:t xml:space="preserve">: reuse belongs in a sub-question; </w:t>
      </w:r>
      <w:r>
        <w:rPr>
          <w:rFonts w:ascii="Consolas" w:hAnsi="Consolas"/>
          <w:color w:val="660099"/>
          <w:sz w:val="19"/>
        </w:rPr>
        <w:t>E7</w:t>
      </w:r>
      <w:r>
        <w:t xml:space="preserve">: lean toward dropping "auditable"/"transferable"/"end-to-end"). The §3 wording now complies; </w:t>
      </w:r>
      <w:r>
        <w:rPr>
          <w:b/>
        </w:rPr>
        <w:t>the title does not</w:t>
      </w:r>
      <w:r>
        <w:t>. Leaving it is a visible inconsistency in a submitted proposal.</w:t>
      </w:r>
    </w:p>
    <w:p>
      <w:pPr>
        <w:jc w:val="both"/>
      </w:pPr>
      <w:r>
        <w:t>Three candidates, aligned to the current headline wording, for the supervisors to choose or replace: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Candidate title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T1</w:t>
            </w:r>
          </w:p>
        </w:tc>
        <w:tc>
          <w:tcPr>
            <w:tcW w:type="dxa" w:w="2880"/>
          </w:tcPr>
          <w:p>
            <w:r>
              <w:rPr>
                <w:i/>
                <w:sz w:val="17"/>
              </w:rPr>
              <w:t>Human Judgment in Agentic-AI Variability Exploration: Capture, Governance, and Reliable Co-Reasoning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Mirrors the U-RQ almost verbatim; carries "reliable" (retained per </w:t>
            </w:r>
            <w:r>
              <w:rPr>
                <w:rFonts w:ascii="Consolas" w:hAnsi="Consolas"/>
                <w:color w:val="660099"/>
                <w:sz w:val="17"/>
              </w:rPr>
              <w:t>E7</w:t>
            </w:r>
            <w:r>
              <w:rPr>
                <w:sz w:val="17"/>
              </w:rPr>
              <w:t>) and drops all three removed words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T2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i/>
                <w:sz w:val="17"/>
              </w:rPr>
              <w:t>Reliable Human–AI Co-Reasoning for Variability Exploration in Guideline Operationalization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 xml:space="preserve">Leads with the outcome; keeps the domain-neutral framing required by </w:t>
            </w:r>
            <w:r>
              <w:rPr>
                <w:rFonts w:ascii="Consolas" w:hAnsi="Consolas"/>
                <w:color w:val="660099"/>
                <w:sz w:val="17"/>
              </w:rPr>
              <w:t>E13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T3</w:t>
            </w:r>
          </w:p>
        </w:tc>
        <w:tc>
          <w:tcPr>
            <w:tcW w:type="dxa" w:w="2880"/>
          </w:tcPr>
          <w:p>
            <w:r>
              <w:rPr>
                <w:i/>
                <w:sz w:val="17"/>
              </w:rPr>
              <w:t>From One-Off Correction to Governed Judgment: Human Expertise in Agentic AI Assessment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 xml:space="preserve">Leads with the gap (§3.3) rather than the artefact; strongest "open question" framing per </w:t>
            </w:r>
            <w:r>
              <w:rPr>
                <w:rFonts w:ascii="Consolas" w:hAnsi="Consolas"/>
                <w:color w:val="660099"/>
                <w:sz w:val="17"/>
              </w:rPr>
              <w:t>E4</w:t>
            </w:r>
          </w:p>
        </w:tc>
      </w:tr>
    </w:tbl>
    <w:p/>
    <w:p>
      <w:pPr>
        <w:jc w:val="both"/>
      </w:pPr>
      <w:r>
        <w:rPr>
          <w:b/>
        </w:rPr>
        <w:t>Decision `D-TITLE-01` — owner: supervisors, at the 2026-08-12 meeting.</w:t>
      </w:r>
      <w:r>
        <w:t xml:space="preserve"> Until it is logged, the v0.2 title stands unchanged in the record.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Chapter plan and current status</w:t>
      </w:r>
    </w:p>
    <w:p>
      <w:pPr>
        <w:jc w:val="both"/>
      </w:pPr>
      <w:r>
        <w:t>Structure per the confirmed chapter skeleton (</w:t>
      </w:r>
      <w:r>
        <w:rPr>
          <w:rFonts w:ascii="Consolas" w:hAnsi="Consolas"/>
          <w:color w:val="660099"/>
          <w:sz w:val="19"/>
        </w:rPr>
        <w:t>E13</w:t>
      </w:r>
      <w:r>
        <w:t>, machine-derived record, pending confirmation):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Chapter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Status at 2026-08-12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Introduction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Not started — deliberately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E13</w:t>
            </w:r>
            <w:r>
              <w:rPr>
                <w:sz w:val="17"/>
              </w:rPr>
              <w:t xml:space="preserve"> places it last; written once the questions are signed off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Literature Survey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Not started — deliberately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E15</w:t>
            </w:r>
            <w:r>
              <w:rPr>
                <w:sz w:val="17"/>
              </w:rPr>
              <w:t xml:space="preserve">: </w:t>
            </w:r>
            <w:r>
              <w:rPr>
                <w:i/>
                <w:sz w:val="17"/>
              </w:rPr>
              <w:t>think about it, do not start it</w:t>
            </w:r>
            <w:r>
              <w:rPr>
                <w:sz w:val="17"/>
              </w:rPr>
              <w:t xml:space="preserve">. Four structural options prepared; searches </w:t>
            </w:r>
            <w:r>
              <w:rPr>
                <w:rFonts w:ascii="Consolas" w:hAnsi="Consolas"/>
                <w:color w:val="660099"/>
                <w:sz w:val="17"/>
              </w:rPr>
              <w:t>QL-01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color w:val="660099"/>
                <w:sz w:val="17"/>
              </w:rPr>
              <w:t>QL-05</w:t>
            </w:r>
            <w:r>
              <w:rPr>
                <w:sz w:val="17"/>
              </w:rPr>
              <w:t xml:space="preserve"> frozen and not run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Gap and Research Questions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COMPLETE — this deliverable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Full text below. Wording provisional pending </w:t>
            </w:r>
            <w:r>
              <w:rPr>
                <w:rFonts w:ascii="Consolas" w:hAnsi="Consolas"/>
                <w:color w:val="660099"/>
                <w:sz w:val="17"/>
              </w:rPr>
              <w:t>A08-01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660099"/>
                <w:sz w:val="17"/>
              </w:rPr>
              <w:t>D-RQ-01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660099"/>
                <w:sz w:val="17"/>
              </w:rPr>
              <w:t>D-RQ-02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Research Methodology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Not started — deliberately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Design Science per Prof. Penina's course; per-RQ study/artifact/design/evaluation. Nine artifact options prepared, none selected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Preliminary Results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Partially available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Software/modelling only; mechanism and readiness evidence. Medical = infrastructure only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Plan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Not started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E14</w:t>
            </w:r>
            <w:r>
              <w:rPr>
                <w:sz w:val="17"/>
              </w:rPr>
              <w:t xml:space="preserve">: ~3-month semester-aligned blocks over a </w:t>
            </w:r>
            <w:r>
              <w:rPr>
                <w:b/>
                <w:sz w:val="17"/>
              </w:rPr>
              <w:t>3-year</w:t>
            </w:r>
            <w:r>
              <w:rPr>
                <w:sz w:val="17"/>
              </w:rPr>
              <w:t xml:space="preserve"> horizon; never month-by-month</w:t>
            </w:r>
          </w:p>
        </w:tc>
      </w:tr>
    </w:tbl>
    <w:p/>
    <w:p>
      <w:pPr>
        <w:jc w:val="both"/>
      </w:pPr>
      <w:r>
        <w:rPr>
          <w:b/>
        </w:rPr>
        <w:t>What "not started" means here:</w:t>
      </w:r>
      <w:r>
        <w:t xml:space="preserve"> it is compliance with an instruction, not slippage. Iris asked for §2 and §4 to be </w:t>
      </w:r>
      <w:r>
        <w:rPr>
          <w:i/>
        </w:rPr>
        <w:t>thought about</w:t>
      </w:r>
      <w:r>
        <w:t xml:space="preserve"> and not begun; the thinking is delivered as a separate options note.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Chapter 3 — Gap and Research Questions</w:t>
      </w:r>
    </w:p>
    <w:p>
      <w:pPr>
        <w:spacing w:after="60"/>
        <w:ind w:left="480"/>
      </w:pPr>
      <w:r>
        <w:rPr>
          <w:color w:val="444444"/>
          <w:sz w:val="19"/>
        </w:rPr>
        <w:t>The complete chapter follows as a separate document in this package</w:t>
      </w:r>
    </w:p>
    <w:p>
      <w:pPr>
        <w:spacing w:after="60"/>
        <w:ind w:left="480"/>
      </w:pPr>
      <w:r>
        <w:rPr>
          <w:color w:val="444444"/>
          <w:sz w:val="19"/>
        </w:rPr>
        <w:t>(</w:t>
      </w:r>
      <w:r>
        <w:rPr>
          <w:rFonts w:ascii="Consolas" w:hAnsi="Consolas"/>
          <w:color w:val="444444"/>
          <w:sz w:val="19"/>
        </w:rPr>
        <w:t>02 - Chapter 3 - Gap and Research Questions</w:t>
      </w:r>
      <w:r>
        <w:rPr>
          <w:color w:val="444444"/>
          <w:sz w:val="19"/>
        </w:rPr>
        <w:t>), and is incorporated here by reference so the two</w:t>
      </w:r>
    </w:p>
    <w:p>
      <w:pPr>
        <w:spacing w:after="60"/>
        <w:ind w:left="480"/>
      </w:pPr>
      <w:r>
        <w:rPr>
          <w:color w:val="444444"/>
          <w:sz w:val="19"/>
        </w:rPr>
        <w:t>never drift. Summary of what it argues:</w:t>
      </w:r>
    </w:p>
    <w:p/>
    <w:p>
      <w:pPr>
        <w:jc w:val="both"/>
      </w:pPr>
      <w:r>
        <w:rPr>
          <w:b/>
        </w:rPr>
        <w:t>§3.1</w:t>
      </w:r>
      <w:r>
        <w:t xml:space="preserve"> frames the interpretive step: once a system detects that an artefact deviates from a norm, something must decide what the deviation </w:t>
      </w:r>
      <w:r>
        <w:rPr>
          <w:i/>
        </w:rPr>
        <w:t>means</w:t>
      </w:r>
      <w:r>
        <w:t xml:space="preserve"> — legitimate alternative, error, domain convention, guideline defect, or genuine ambiguity. This is where automation is weakest and expertise most expensive.</w:t>
      </w:r>
    </w:p>
    <w:p>
      <w:pPr>
        <w:jc w:val="both"/>
      </w:pPr>
      <w:r>
        <w:rPr>
          <w:b/>
        </w:rPr>
        <w:t>§3.2</w:t>
      </w:r>
      <w:r>
        <w:t xml:space="preserve"> positions four bodies of work and states, for each, what it establishes and what it leaves open: automated model assessment (detects deviation, does not interpret it); LLM and agentic modelling assistance (documents </w:t>
      </w:r>
      <w:r>
        <w:rPr>
          <w:i/>
        </w:rPr>
        <w:t>that</w:t>
      </w:r>
      <w:r>
        <w:t xml:space="preserve"> expert correction is needed, not </w:t>
      </w:r>
      <w:r>
        <w:rPr>
          <w:i/>
        </w:rPr>
        <w:t>when</w:t>
      </w:r>
      <w:r>
        <w:t xml:space="preserve"> to request it or </w:t>
      </w:r>
      <w:r>
        <w:rPr>
          <w:i/>
        </w:rPr>
        <w:t>what</w:t>
      </w:r>
      <w:r>
        <w:t xml:space="preserve"> to keep); human-in-the-loop and oversight research (supplies mechanisms and governance expectations, not a selection policy for agentic assessment under an attention budget); and variability engineering (formalises </w:t>
      </w:r>
      <w:r>
        <w:rPr>
          <w:i/>
        </w:rPr>
        <w:t>designed</w:t>
      </w:r>
      <w:r>
        <w:t xml:space="preserve"> variability, not </w:t>
      </w:r>
      <w:r>
        <w:rPr>
          <w:i/>
        </w:rPr>
        <w:t>observed interpretive</w:t>
      </w:r>
      <w:r>
        <w:t xml:space="preserve"> variability). It also defines both constructs — "variability" in this thesis's sense, and "guideline operationalization" — against the established literature.</w:t>
      </w:r>
    </w:p>
    <w:p>
      <w:pPr>
        <w:jc w:val="both"/>
      </w:pPr>
      <w:r>
        <w:rPr>
          <w:b/>
        </w:rPr>
        <w:t>§3.3</w:t>
      </w:r>
      <w:r>
        <w:t xml:space="preserve"> states the gap: the design knowledge for connecting selective expert intervention, structured judgment capture, and scope-aware reuse does not exist in tested, generalizable form, and neither does an evaluation approach able to say which parts of such a lifecycle transfer. It argues why expert assessment judgment resists both mature capture paradigms — it is case-grounded, scoped, contestable, and authority-bearing — and it explicitly does </w:t>
      </w:r>
      <w:r>
        <w:rPr>
          <w:b/>
        </w:rPr>
        <w:t>not</w:t>
      </w:r>
      <w:r>
        <w:t xml:space="preserve"> presuppose that reusable judgment improves assessment.</w:t>
      </w:r>
    </w:p>
    <w:p>
      <w:pPr>
        <w:jc w:val="both"/>
      </w:pPr>
      <w:r>
        <w:rPr>
          <w:b/>
        </w:rPr>
        <w:t>§3.4–§3.7</w:t>
      </w:r>
      <w:r>
        <w:t xml:space="preserve"> give the main question and SQ1–SQ3, each with an argument for why it is open, an evaluation criterion built into the question itself, and the wording decisions still outstanding.</w:t>
      </w:r>
    </w:p>
    <w:p>
      <w:pPr>
        <w:jc w:val="both"/>
      </w:pPr>
      <w:r>
        <w:rPr>
          <w:b/>
        </w:rPr>
        <w:t>§3.8–§3.11</w:t>
      </w:r>
      <w:r>
        <w:t xml:space="preserve"> compose the three questions into one programme, position VEGO-AI as motivating case rather than object of study, bound the scope, and state the evidence status plainly, including what a negative result would mean for each question.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Chapter 5 — Preliminary Results (status only)</w:t>
      </w:r>
    </w:p>
    <w:p>
      <w:pPr>
        <w:jc w:val="both"/>
      </w:pPr>
      <w:r>
        <w:t xml:space="preserve">Reported here as </w:t>
      </w:r>
      <w:r>
        <w:rPr>
          <w:i/>
        </w:rPr>
        <w:t>status</w:t>
      </w:r>
      <w:r>
        <w:t>, not as results, because the chapter is not written: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4320"/>
            <w:shd w:val="clear" w:fill="1F3864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Software/modelling offline evidence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Mechanism, architecture and readiness evidence from the offline replay series; no effectiveness claim</w:t>
            </w:r>
          </w:p>
        </w:tc>
      </w:tr>
      <w:tr>
        <w:tc>
          <w:tcPr>
            <w:tcW w:type="dxa" w:w="4320"/>
            <w:shd w:val="clear" w:fill="F2F5FA"/>
          </w:tcPr>
          <w:p>
            <w:r>
              <w:rPr>
                <w:sz w:val="17"/>
              </w:rPr>
              <w:t>Independent expert labels (EXP-005)</w:t>
            </w:r>
          </w:p>
        </w:tc>
        <w:tc>
          <w:tcPr>
            <w:tcW w:type="dxa" w:w="4320"/>
            <w:shd w:val="clear" w:fill="F2F5FA"/>
          </w:tcPr>
          <w:p>
            <w:r>
              <w:rPr>
                <w:b/>
                <w:sz w:val="17"/>
              </w:rPr>
              <w:t>0 of 24</w:t>
            </w:r>
            <w:r>
              <w:rPr>
                <w:sz w:val="17"/>
              </w:rPr>
              <w:t xml:space="preserve"> generalization-safe labels supplied; ≥20 required for any quantitative claim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Medical instantiation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 xml:space="preserve">Infrastructure and feasibility only; </w:t>
            </w:r>
            <w:r>
              <w:rPr>
                <w:b/>
                <w:sz w:val="17"/>
              </w:rPr>
              <w:t>0 of 6</w:t>
            </w:r>
            <w:r>
              <w:rPr>
                <w:sz w:val="17"/>
              </w:rPr>
              <w:t xml:space="preserve"> entry gates pass</w:t>
            </w:r>
          </w:p>
        </w:tc>
      </w:tr>
      <w:tr>
        <w:tc>
          <w:tcPr>
            <w:tcW w:type="dxa" w:w="4320"/>
            <w:shd w:val="clear" w:fill="F2F5FA"/>
          </w:tcPr>
          <w:p>
            <w:r>
              <w:rPr>
                <w:sz w:val="17"/>
              </w:rPr>
              <w:t>Accuracy / generalization / clinical performance / effort reduction</w:t>
            </w:r>
          </w:p>
        </w:tc>
        <w:tc>
          <w:tcPr>
            <w:tcW w:type="dxa" w:w="4320"/>
            <w:shd w:val="clear" w:fill="F2F5FA"/>
          </w:tcPr>
          <w:p>
            <w:r>
              <w:rPr>
                <w:b/>
                <w:sz w:val="17"/>
              </w:rPr>
              <w:t>No claim made or supported</w:t>
            </w:r>
          </w:p>
        </w:tc>
      </w:tr>
    </w:tbl>
    <w:p/>
    <w:p>
      <w:pPr>
        <w:jc w:val="both"/>
      </w:pPr>
      <w:r>
        <w:t>Which preliminary results may appear in the proposal — and under what label — is an open question for the supervisors (see the thinking note, Part 3).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Standing evidence boundary</w:t>
      </w:r>
    </w:p>
    <w:p>
      <w:pPr>
        <w:jc w:val="both"/>
      </w:pPr>
      <w:r>
        <w:t>Unchanged by anything in this version:</w:t>
      </w:r>
    </w:p>
    <w:p>
      <w:pPr>
        <w:pStyle w:val="ListBullet"/>
      </w:pPr>
      <w:r>
        <w:t>No accuracy, generalization, clinical-performance or effort-reduction claim appears anywhere in</w:t>
      </w:r>
    </w:p>
    <w:p>
      <w:pPr>
        <w:jc w:val="both"/>
      </w:pPr>
      <w:r>
        <w:t>this proposal, and none may until the label and gate counts change.</w:t>
      </w:r>
    </w:p>
    <w:p>
      <w:pPr>
        <w:pStyle w:val="ListBullet"/>
      </w:pPr>
      <w:r>
        <w:t xml:space="preserve">The literature searches are protocol-ready and </w:t>
      </w:r>
      <w:r>
        <w:rPr>
          <w:b/>
        </w:rPr>
        <w:t>not executed</w:t>
      </w:r>
      <w:r>
        <w:t>; no novelty or review-completeness</w:t>
      </w:r>
    </w:p>
    <w:p>
      <w:pPr>
        <w:jc w:val="both"/>
      </w:pPr>
      <w:r>
        <w:t>statement is made.</w:t>
      </w:r>
    </w:p>
    <w:p>
      <w:pPr>
        <w:pStyle w:val="ListBullet"/>
      </w:pPr>
      <w:r>
        <w:t xml:space="preserve">The research-question wording is </w:t>
      </w:r>
      <w:r>
        <w:rPr>
          <w:b/>
        </w:rPr>
        <w:t>provisional</w:t>
      </w:r>
      <w:r>
        <w:t xml:space="preserve"> pending </w:t>
      </w:r>
      <w:r>
        <w:rPr>
          <w:rFonts w:ascii="Consolas" w:hAnsi="Consolas"/>
          <w:color w:val="660099"/>
          <w:sz w:val="19"/>
        </w:rPr>
        <w:t>A08-01</w:t>
      </w:r>
      <w:r>
        <w:t xml:space="preserve"> verification and logged</w:t>
      </w:r>
    </w:p>
    <w:p>
      <w:pPr>
        <w:jc w:val="both"/>
      </w:pPr>
      <w:r>
        <w:rPr>
          <w:rFonts w:ascii="Consolas" w:hAnsi="Consolas"/>
          <w:color w:val="660099"/>
          <w:sz w:val="19"/>
        </w:rPr>
        <w:t>D-RQ-01</w:t>
      </w:r>
      <w:r>
        <w:t>/</w:t>
      </w:r>
      <w:r>
        <w:rPr>
          <w:rFonts w:ascii="Consolas" w:hAnsi="Consolas"/>
          <w:color w:val="660099"/>
          <w:sz w:val="19"/>
        </w:rPr>
        <w:t>D-RQ-02</w:t>
      </w:r>
      <w:r>
        <w:t xml:space="preserve"> decisions.</w:t>
      </w:r>
    </w:p>
    <w:p>
      <w:pPr>
        <w:pStyle w:val="ListBullet"/>
      </w:pPr>
      <w:r>
        <w:t>The 2026-08-05 meeting record is machine-derived with inferred speakers and is pending participant</w:t>
      </w:r>
    </w:p>
    <w:p>
      <w:pPr>
        <w:jc w:val="both"/>
      </w:pPr>
      <w:r>
        <w:t xml:space="preserve">confirmation; every reference to it carries its </w:t>
      </w:r>
      <w:r>
        <w:rPr>
          <w:rFonts w:ascii="Consolas" w:hAnsi="Consolas"/>
          <w:color w:val="660099"/>
          <w:sz w:val="19"/>
        </w:rPr>
        <w:t>E</w:t>
      </w:r>
      <w:r>
        <w:t>-identifier so it can be checked in one step.</w:t>
      </w:r>
    </w:p>
    <w:p>
      <w:pPr>
        <w:spacing w:before="80"/>
        <w:pBdr>
          <w:bottom w:val="single" w:sz="6" w:color="BFBFBF"/>
        </w:pBdr>
      </w:pPr>
    </w:p>
    <w:p>
      <w:pPr>
        <w:jc w:val="both"/>
      </w:pPr>
      <w:r>
        <w:rPr>
          <w:i/>
        </w:rPr>
        <w:t>v0.3 supersedes v0.2 for Chapter 3 only; all other v0.2 content and the v0.1 baseline remain in the record. Version history and rationale are preserved in the decision and change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