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Anticipated Q&amp;A — Aug-12 Supervisor Meeting</w:t>
      </w:r>
    </w:p>
    <w:p>
      <w:pPr>
        <w:pStyle w:val="Title"/>
      </w:pPr>
      <w:r>
        <w:rPr>
          <w:color w:val="1B2A4A"/>
        </w:rPr>
        <w:t>שאלות ותשובות צפויות — פגישת מנחים 12 באוגוסט</w:t>
      </w:r>
    </w:p>
    <w:p>
      <w:r>
        <w:rPr>
          <w:b w:val="0"/>
          <w:i w:val="0"/>
        </w:rPr>
        <w:t xml:space="preserve">Prep aid for Ali. Likely questions from Iris and Arnon, with crisp, </w:t>
      </w:r>
      <w:r>
        <w:rPr>
          <w:b/>
          <w:i w:val="0"/>
        </w:rPr>
        <w:t>evidence-honest</w:t>
      </w:r>
      <w:r>
        <w:rPr>
          <w:b w:val="0"/>
          <w:i w:val="0"/>
        </w:rPr>
        <w:t xml:space="preserve"> answers. Every answer stays inside the claim boundary (no approval claimed; EXP-005 0 supplied labels / 27 blind / 24 generalization-safe, gate needs ≥20; medical 0/6; searches not run; wording provisional). Do not promise results that don't exist — the strength here is honesty about a proposal-stage project.</w:t>
      </w:r>
    </w:p>
    <w:p>
      <w:r>
        <w:rPr>
          <w:b w:val="0"/>
          <w:i w:val="0"/>
        </w:rPr>
        <w:t xml:space="preserve">מסמך הכנה לעלי. שאלות צפויות מאיריס וארנון, עם תשובות תמציתיות </w:t>
      </w:r>
      <w:r>
        <w:rPr>
          <w:b/>
          <w:i w:val="0"/>
        </w:rPr>
        <w:t>וכנות מבחינת ראיות</w:t>
      </w:r>
      <w:r>
        <w:rPr>
          <w:b w:val="0"/>
          <w:i w:val="0"/>
        </w:rPr>
        <w:t>. כל תשובה נשארת בתוך גבול הטענות (אין טענת אישור; EXP-005; רפואה 0/6; החיפושים לא רצו; ניסוח זמני).</w:t>
      </w:r>
    </w:p>
    <w:p>
      <w:pPr>
        <w:pStyle w:val="Heading1"/>
      </w:pPr>
      <w:r>
        <w:rPr>
          <w:color w:val="1B2A4A"/>
        </w:rPr>
        <w:t>1. "Isn't this just describing your VEGO-AI system rather than a research question?" (Arnon's core critique)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No — that conflation is exactly what we fixed after 5 August. The question is domain-neutral: it asks *how* human judgment can be captured, governed, and used to support variability exploration reliably (note: "reused" was deliberately dropped from the headline and moved into SQ2). VEGO-AI is the motivating case and the platform I build on, not the object of study — Chapter 3 §3.7 states this explicitly, and the gap section argues why the question is open, not why my design is good.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לא — בדיוק את הערבוב הזה תיקנּו אחרי 5 באוגוסט. השאלה ניטרלית-תחום: היא שואלת *כיצד* ניתן ללכוד, לנהל ולהשתמש בשיפוט אנושי כדי לתמוך בחקר שונוּת באופן אמין (הערה: "שימוש חוזר" הוסר במכוון מהכותרת והועבר ל-SQ2). VEGO-AI הוא מקרה המבחן והפלטפורמה, לא מושא המחקר (פרק 3, §3.7).</w:t>
      </w:r>
    </w:p>
    <w:p>
      <w:pPr>
        <w:pStyle w:val="Heading1"/>
      </w:pPr>
      <w:r>
        <w:rPr>
          <w:color w:val="1B2A4A"/>
        </w:rPr>
        <w:t>2. "Where is your evidence that this works?"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At proposal stage I have mechanism and architecture readiness — the capture, memory, advisory, and non-destructive comparison layers are implemented and tested. I deliberately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claim accuracy, generalization, or effort reduction: EXP-005 has 0 supplied expert labels of 24 generalization-safe candidates (the gate needs ≥20), so those results are not yet computable. The evaluation is designed, leakage-controlled, and gated — that design is itself a contribution.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בשלב ההצעה יש מוכנות מנגנון וארכיטקטורה — שכבות הלכידה, הזיכרון, הייעוץ וההשוואה הלא-הרסנית ממומשות ונבדקו. במכוון אינני טוען דיוק/הכללה/הפחתת מאמץ: ל-EXP-005 יש 0 תיוגי מומחה מתוך 24 מועמדים בטוחים-להכללה (השער דורש ≥20). ההערכה מעוצבת, מבוקרת-דליפה, ומגודרת — והעיצוב עצמו תרומה.</w:t>
      </w:r>
    </w:p>
    <w:p>
      <w:pPr>
        <w:pStyle w:val="Heading1"/>
      </w:pPr>
      <w:r>
        <w:rPr>
          <w:color w:val="1B2A4A"/>
        </w:rPr>
        <w:t>3. "Is this doctoral-scale? What's the novelty?"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The candidate novelty is a *governed lifecycle* that connects three problems usually studied separately: when to request expert judgment (SQ1), how to represent/validate/store it for safe reuse (SQ2), and how to classify and evaluate what transfers across domains (SQ3). Three studies, three papers. Novelty is a candidate claim until the literature review confirms it — I'm not asserting it as established.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החידוש המועמד הוא *מחזור-חיים מבוקר* שמחבר שלוש בעיות שנחקרות בנפרד: מתי לבקש שיפוט מומחה (SQ1), כיצד לייצג/לאמת/לאחסן לשימוש חוזר בטוח (SQ2), וכיצד לסווג ולהעריך מה עובר בין תחומים (SQ3). שלושה מחקרים, שלושה מאמרים. החידוש הוא טענה מועמדת עד לאישור בסקר הספרות.</w:t>
      </w:r>
    </w:p>
    <w:p>
      <w:pPr>
        <w:pStyle w:val="Heading1"/>
      </w:pPr>
      <w:r>
        <w:rPr>
          <w:color w:val="1B2A4A"/>
        </w:rPr>
        <w:t>4. "How is SQ2 different from RLHF or a knowledge base?"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Both extremes destroy properties expert assessment judgment needs. A knowledge base is static and detached from the case; RLHF absorbs feedback into weights where it's uninspectable, unattributable, and irrevocable. SQ2 designs the governed middle: judgment kept case-grounded, scoped, contestable, and authority-bearing — validated, reconciled, stored with provenance, and reused only within its scope.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שני הקצוות הורסים תכונות שנדרשות לשיפוט הערכה מומחה. בסיס-ידע סטטי ומנותק מהמקרה; RLHF בולע משוב אל תוך המשקלים באופן בלתי-ניתן-לבדיקה, לא-משויך ובלתי-הפיך. SQ2 מעצב את האמצע המבוקר: שיפוט מעוגן-מקרה, בעל-היקף, בר-ערעור ובעל-סמכות — מאומת, מתואם, מאוחסן עם מקור, ומשומש רק בתוך היקפו.</w:t>
      </w:r>
    </w:p>
    <w:p>
      <w:pPr>
        <w:pStyle w:val="Heading1"/>
      </w:pPr>
      <w:r>
        <w:rPr>
          <w:color w:val="1B2A4A"/>
        </w:rPr>
        <w:t>5. "Why start with software/modeling instead of medicine?"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Domain-transfer behavior is unproven, so I evaluate first in the domain where I already have a baseline and data (software/modeling), then test transfer. Medicine is a *conditional* extension (Plan A), gated on six entry gates — use-case, people, authorization, ethics/privacy, environment, protocol. Starting in medicine would make the doctorate depend on partner access I don't yet control.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התנהגות ההעברה בין תחומים לא מוכחת, לכן אני מעריך תחילה בתחום שבו כבר יש בסיס ונתונים (תוכנה/מודלים), ואז בודק העברה. רפואה היא הרחבה *מותנית* (תוכנית A), מגודרת בשישה שערי כניסה. התחלה ברפואה הייתה הופכת את הדוקטורט לתלוי בגישת שותף שעדיין אינה בשליטתי.</w:t>
      </w:r>
    </w:p>
    <w:p>
      <w:pPr>
        <w:pStyle w:val="Heading1"/>
      </w:pPr>
      <w:r>
        <w:rPr>
          <w:color w:val="1B2A4A"/>
        </w:rPr>
        <w:t>6. "What if the medical partner or data falls through?"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Plan B answers every research question without medical data — a second authorized software/modeling context (another dataset, diagram family, institution, or reviewer panel). The doctoral contribution is preserved either way. The 26 August checkpoint (an internal control date, not yet supervisor-approved) is when Plan B becomes the committed September route if any gate lacks an owner, evidence path, or feasible date.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תוכנית B עונה על כל שאלות המחקר בלי נתונים רפואיים — הקשר תוכנה/מודלים שני ומורשה. התרומה נשמרת כך או כך. נקודת הבקרה 26.8 (תאריך פנימי, טרם מאושר) היא המועד שבו B הופכת למסלול ספטמבר המחויב אם שער כלשהו חסר בעל תפקיד, מסלול ראיות, או תאריך ריאלי.</w:t>
      </w:r>
    </w:p>
    <w:p>
      <w:pPr>
        <w:pStyle w:val="Heading1"/>
      </w:pPr>
      <w:r>
        <w:rPr>
          <w:color w:val="1B2A4A"/>
        </w:rPr>
        <w:t>7. "How will you evaluate transfer honestly — won't reused judgment just leak?"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That's why SQ3's core is a classification: separating uncertainty that is *domain-specific* (must stay confined) from a *general capability gap* (a transfer candidate) — Arnon's own example, failing to identify actors/use-cases, is a general gap, not a domain one. Evaluation uses independent labels, explicit leakage controls between the context that produced a judgment and the one it's tested in, and pre-registered success criteria.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לכן ליבת SQ3 היא סיווג: הפרדת אי-ודאות *ספציפית-לתחום* (חייבת להישאר מוגבלת) מ*פער יכולת כללי* (מועמד להעברה) — הדוגמה של ארנון, כשל בהגדרת אקטורים/use-cases, היא פער כללי. ההערכה משתמשת בתיוגים עצמאיים, בקרות דליפה מפורשות, וקריטריוני הצלחה שנרשמו מראש.</w:t>
      </w:r>
    </w:p>
    <w:p>
      <w:pPr>
        <w:pStyle w:val="Heading1"/>
      </w:pPr>
      <w:r>
        <w:rPr>
          <w:color w:val="1B2A4A"/>
        </w:rPr>
        <w:t>8. "What's your literature coverage — have you done the review?"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The searches are protocol-frozen (QL-01..QL-05) but </w:t>
      </w:r>
      <w:r>
        <w:rPr>
          <w:b/>
          <w:i w:val="0"/>
        </w:rPr>
        <w:t>not yet run</w:t>
      </w:r>
      <w:r>
        <w:rPr>
          <w:b w:val="0"/>
          <w:i w:val="0"/>
        </w:rPr>
        <w:t>, so I make no review-completeness or novelty claim. What exists is a per-question tagging and an honest coverage-gap map: RQ1 thin, RQ2 tool-heavy, RQ3 currently empty — each gap already mapped to the query or snowballing that closes it. Running the searches against the confirmed wording is the natural next task.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החיפושים קפואים בפרוטוקול (QL-01..QL-05) אך </w:t>
      </w:r>
      <w:r>
        <w:rPr>
          <w:b/>
          <w:i w:val="0"/>
        </w:rPr>
        <w:t>טרם הורצו</w:t>
      </w:r>
      <w:r>
        <w:rPr>
          <w:b w:val="0"/>
          <w:i w:val="0"/>
        </w:rPr>
        <w:t>, לכן אין טענת שלמות או חידוש. קיים תיוג לפי שאלה ומפת פערים כנה: RQ1 דל, RQ2 עתיר-כלים, RQ3 ריק — כל פער כבר ממופה לשאילתה שסוגרת אותו.</w:t>
      </w:r>
    </w:p>
    <w:p>
      <w:pPr>
        <w:pStyle w:val="Heading1"/>
      </w:pPr>
      <w:r>
        <w:rPr>
          <w:color w:val="1B2A4A"/>
        </w:rPr>
        <w:t>9. "Is the 3-year timeline realistic?"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The plan is written in ~3-month semester-aligned blocks over a 3-year horizon (not month-by-month, per your guidance). This week is on track — Chapter 3 drafted, literature tagged, and the Drive being shared with you — which is the evidence the cadence is being kept. Dates beyond the confirmed cadence are working targets, not official university deadlines.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התוכנית כתובה בבלוקים של כ-3 חודשים מיושרי-סמסטר על אופק 3 שנים (לא חודש-חודש, לפי הנחייתכם). השבוע בעיצומו — פרק 3 נוסח, הספרות תויגה, והדרייב בתהליך שיתוף אתכם — עדות לשמירת הקצב. תאריכים מעבר לקצב המאושר הם יעדי עבודה, לא מועדים רשמיים.</w:t>
      </w:r>
    </w:p>
    <w:p>
      <w:pPr>
        <w:pStyle w:val="Heading1"/>
      </w:pPr>
      <w:r>
        <w:rPr>
          <w:color w:val="1B2A4A"/>
        </w:rPr>
        <w:t>10. "What exactly do you need us to decide today?"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Six mandatory decisions: the umbrella RQ wording, SQ1–SQ3 wording, the three-study mapping, the Plan A/Plan B boundary, that every RQ stays answerable under Plan B, and the evidence-boundary wording. Four more if time allows: the 26-Aug fallback date, initial literature scope, the MIMIC metadata boundary, and assigning owners for medical feasibility and university-process verification.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שש החלטות מחייבות: ניסוח שאלת-העל, ניסוח SQ1–SQ3, מיפוי שלושת המחקרים, גבול תוכנית A/B, שכל שאלה נשארת ניתנת-למענה בתוכנית B, וניסוח גבול הראיות. עוד ארבע אם יורשה הזמן: תאריך 26.8, תחום הספרות, גבול MIMIC, והקצאת בעלי תפקיד.</w:t>
      </w:r>
    </w:p>
    <w:p>
      <w:pPr>
        <w:pStyle w:val="Heading1"/>
      </w:pPr>
      <w:r>
        <w:rPr>
          <w:color w:val="1B2A4A"/>
        </w:rPr>
        <w:t>11. "Can we trust the wording — where did it come from?"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The wording is my reconstruction of the live edits from the 5 August call, from a machine transcript with inferred (undiarized) speakers. That's why exact-wording sign-off is the first decision today (</w:t>
      </w:r>
      <w:r>
        <w:rPr>
          <w:rFonts w:ascii="Consolas" w:hAnsi="Consolas"/>
          <w:b w:val="0"/>
          <w:i w:val="0"/>
          <w:sz w:val="19"/>
        </w:rPr>
        <w:t>D-RQ-01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D-RQ-02</w:t>
      </w:r>
      <w:r>
        <w:rPr>
          <w:b w:val="0"/>
          <w:i w:val="0"/>
        </w:rPr>
        <w:t>): I want you to confirm or correct it against your own memory of the call before it's treated as final. I quote nothing verbatim from the transcript.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הניסוח הוא שחזור שלי של העריכות החיות מ-5 באוגוסט, מתמליל מכונה עם דוברים משוערים. לכן אישור הניסוח המדויק הוא ההחלטה הראשונה היום — שתאשרו או תתקנו מול הזיכרון שלכם לפני שהוא נחשב סופי. איני מצטט דבר מילולית מהתמליל.</w:t>
      </w:r>
    </w:p>
    <w:p>
      <w:pPr>
        <w:pStyle w:val="Heading1"/>
      </w:pPr>
      <w:r>
        <w:rPr>
          <w:color w:val="1B2A4A"/>
        </w:rPr>
        <w:t>12. "What's the single most important open risk?"</w:t>
      </w:r>
    </w:p>
    <w:p>
      <w:r>
        <w:rPr>
          <w:b/>
          <w:i w:val="0"/>
        </w:rPr>
        <w:t>EN:</w:t>
      </w:r>
      <w:r>
        <w:rPr>
          <w:b w:val="0"/>
          <w:i w:val="0"/>
        </w:rPr>
        <w:t xml:space="preserve"> That the framework's *effectiveness* is unproven until the independent-label evaluation runs — and that evaluation depends on getting real expert labels (EXP-005) and, for the medical arm, six gates that are institutional facts outside my control. Both are explicitly managed: Plan B removes the medical dependency, and the labeling is designed and tooled, waiting on expert time. The proposal does not depend on a positive result; negative results remain valid outcomes.</w:t>
      </w:r>
    </w:p>
    <w:p>
      <w:r>
        <w:rPr>
          <w:b/>
          <w:i w:val="0"/>
        </w:rPr>
        <w:t>HE:</w:t>
      </w:r>
      <w:r>
        <w:rPr>
          <w:b w:val="0"/>
          <w:i w:val="0"/>
        </w:rPr>
        <w:t xml:space="preserve"> שהיעילות של המסגרת אינה מוכחת עד שההערכה עם התיוגים העצמאיים תרוץ — וזו תלויה בתיוגי מומחה אמיתיים (EXP-005) ובשישה שערים מוסדיים מחוץ לשליטתי (לזרוע הרפואית). שניהם מנוהלים במפורש: תוכנית B מסירה את התלות הרפואית, והתיוג מעוצב ומצויד וממתין לזמן מומחה. ההצעה אינה תלויה בתוצאה חיובית.</w:t>
      </w:r>
    </w:p>
    <w:p>
      <w:r>
        <w:rPr>
          <w:b w:val="0"/>
          <w:i w:val="0"/>
        </w:rPr>
        <w:t xml:space="preserve">*Grounding: </w:t>
      </w:r>
      <w:r>
        <w:rPr>
          <w:rFonts w:ascii="Consolas" w:hAnsi="Consolas"/>
          <w:b w:val="0"/>
          <w:i w:val="0"/>
          <w:sz w:val="19"/>
        </w:rPr>
        <w:t>docs/research/phd-proposal/chapter-3-gap-and-research-questions-draft.md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docs/research/phd-proposal/three-study-contract.md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docs/research/meetings/2026-08-05-supervisor-meeting.md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docs/research/meetings/2026-08-05-supervisor-presentation-checklist.md</w:t>
      </w:r>
      <w:r>
        <w:rPr>
          <w:b w:val="0"/>
          <w:i w:val="0"/>
        </w:rPr>
        <w:t xml:space="preserve"> (forbidden-claims list). Answers are prep, not commitments; the confirmation protocol governs what is actually decided.*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