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BNSSG</w:t>
      </w:r>
      <w:r>
        <w:t xml:space="preserve"> </w:t>
      </w:r>
      <w:r>
        <w:t xml:space="preserve">D2A:</w:t>
      </w:r>
      <w:r>
        <w:t xml:space="preserve"> </w:t>
      </w:r>
      <w:r>
        <w:t xml:space="preserve">P1/P2/P3</w:t>
      </w:r>
      <w:r>
        <w:t xml:space="preserve"> </w:t>
      </w:r>
      <w:r>
        <w:t xml:space="preserve">Capacity</w:t>
      </w:r>
      <w:r>
        <w:t xml:space="preserve"> </w:t>
      </w:r>
      <w:r>
        <w:t xml:space="preserve">Planning</w:t>
      </w:r>
    </w:p>
    <w:p>
      <w:pPr>
        <w:pStyle w:val="Author"/>
      </w:pPr>
      <w:r>
        <w:t xml:space="preserve">Improving</w:t>
      </w:r>
      <w:r>
        <w:t xml:space="preserve"> </w:t>
      </w:r>
      <w:r>
        <w:t xml:space="preserve">Patient</w:t>
      </w:r>
      <w:r>
        <w:t xml:space="preserve"> </w:t>
      </w:r>
      <w:r>
        <w:t xml:space="preserve">Flow</w:t>
      </w:r>
      <w:r>
        <w:t xml:space="preserve"> </w:t>
      </w:r>
      <w:r>
        <w:t xml:space="preserve">between</w:t>
      </w:r>
      <w:r>
        <w:t xml:space="preserve"> </w:t>
      </w:r>
      <w:r>
        <w:t xml:space="preserve">Acute,</w:t>
      </w:r>
      <w:r>
        <w:t xml:space="preserve"> </w:t>
      </w:r>
      <w:r>
        <w:t xml:space="preserve">Community</w:t>
      </w:r>
      <w:r>
        <w:t xml:space="preserve"> </w:t>
      </w:r>
      <w:r>
        <w:t xml:space="preserve">and</w:t>
      </w:r>
      <w:r>
        <w:t xml:space="preserve"> </w:t>
      </w:r>
      <w:r>
        <w:t xml:space="preserve">Social</w:t>
      </w:r>
      <w:r>
        <w:t xml:space="preserve"> </w:t>
      </w:r>
      <w:r>
        <w:t xml:space="preserve">Care</w:t>
      </w:r>
      <w:r>
        <w:t xml:space="preserve"> </w:t>
      </w:r>
      <w:r>
        <w:t xml:space="preserve">(IPACS).</w:t>
      </w:r>
      <w:r>
        <w:t xml:space="preserve"> </w:t>
      </w:r>
      <w:r>
        <w:t xml:space="preserve">For</w:t>
      </w:r>
      <w:r>
        <w:t xml:space="preserve"> </w:t>
      </w:r>
      <w:r>
        <w:t xml:space="preserve">more</w:t>
      </w:r>
      <w:r>
        <w:t xml:space="preserve"> </w:t>
      </w:r>
      <w:r>
        <w:t xml:space="preserve">information,</w:t>
      </w:r>
      <w:r>
        <w:t xml:space="preserve"> </w:t>
      </w:r>
      <w:r>
        <w:t xml:space="preserve">please</w:t>
      </w:r>
      <w:r>
        <w:t xml:space="preserve"> </w:t>
      </w:r>
      <w:r>
        <w:t xml:space="preserve">contact</w:t>
      </w:r>
      <w:r>
        <w:t xml:space="preserve"> </w:t>
      </w:r>
      <w:r>
        <w:t xml:space="preserve">Rich</w:t>
      </w:r>
      <w:r>
        <w:t xml:space="preserve"> </w:t>
      </w:r>
      <w:r>
        <w:t xml:space="preserve">Wood</w:t>
      </w:r>
      <w:r>
        <w:t xml:space="preserve"> </w:t>
      </w:r>
      <w:r>
        <w:t xml:space="preserve">(</w:t>
      </w:r>
      <w:hyperlink r:id="rId20">
        <w:r>
          <w:rPr>
            <w:rStyle w:val="Hyperlink"/>
          </w:rPr>
          <w:t xml:space="preserve">richard.wood16@nhs.net</w:t>
        </w:r>
      </w:hyperlink>
      <w:r>
        <w:t xml:space="preserve">)</w:t>
      </w:r>
      <w:r>
        <w:t xml:space="preserve"> </w:t>
      </w:r>
      <w:r>
        <w:t xml:space="preserve">or</w:t>
      </w:r>
      <w:r>
        <w:t xml:space="preserve"> </w:t>
      </w:r>
      <w:r>
        <w:t xml:space="preserve">Paul</w:t>
      </w:r>
      <w:r>
        <w:t xml:space="preserve"> </w:t>
      </w:r>
      <w:r>
        <w:t xml:space="preserve">Forte</w:t>
      </w:r>
      <w:r>
        <w:t xml:space="preserve"> </w:t>
      </w:r>
      <w:r>
        <w:t xml:space="preserve">(</w:t>
      </w:r>
      <w:hyperlink r:id="rId21">
        <w:r>
          <w:rPr>
            <w:rStyle w:val="Hyperlink"/>
          </w:rPr>
          <w:t xml:space="preserve">paul.forte@nhs.net</w:t>
        </w:r>
      </w:hyperlink>
      <w:r>
        <w:t xml:space="preserve">)</w:t>
      </w:r>
    </w:p>
    <w:p>
      <w:pPr>
        <w:pStyle w:val="Date"/>
      </w:pPr>
      <w:r>
        <w:t xml:space="preserve">17</w:t>
      </w:r>
      <w:r>
        <w:t xml:space="preserve"> </w:t>
      </w:r>
      <w:r>
        <w:t xml:space="preserve">March,</w:t>
      </w:r>
      <w:r>
        <w:t xml:space="preserve"> </w:t>
      </w:r>
      <w:r>
        <w:t xml:space="preserve">2023</w:t>
      </w:r>
    </w:p>
    <w:bookmarkStart w:id="22" w:name="the-ipacs-model"/>
    <w:p>
      <w:pPr>
        <w:pStyle w:val="Heading3"/>
      </w:pPr>
      <w:r>
        <w:t xml:space="preserve">The IPACS model</w:t>
      </w:r>
    </w:p>
    <w:p>
      <w:pPr>
        <w:numPr>
          <w:ilvl w:val="0"/>
          <w:numId w:val="1001"/>
        </w:numPr>
        <w:pStyle w:val="Compact"/>
      </w:pPr>
      <w:r>
        <w:t xml:space="preserve">The IPACS model simulates flows of patients from acute discharge into the three D2A complex care pathways by locality.</w:t>
      </w:r>
      <w:r>
        <w:br/>
      </w:r>
    </w:p>
    <w:p>
      <w:pPr>
        <w:numPr>
          <w:ilvl w:val="0"/>
          <w:numId w:val="1001"/>
        </w:numPr>
        <w:pStyle w:val="Compact"/>
      </w:pPr>
      <w:r>
        <w:t xml:space="preserve">This report outputs a range of pre-defined scenarios for a 181-day (6 months) period.</w:t>
      </w:r>
      <w:r>
        <w:br/>
      </w:r>
    </w:p>
    <w:p>
      <w:pPr>
        <w:numPr>
          <w:ilvl w:val="0"/>
          <w:numId w:val="1001"/>
        </w:numPr>
        <w:pStyle w:val="Compact"/>
      </w:pPr>
      <w:r>
        <w:t xml:space="preserve">Scenarios model the impact of varying acute referral patterns into D2A pathways, length of stay (LoS) in each pathway, and capacity in pathway.</w:t>
      </w:r>
      <w:r>
        <w:br/>
      </w:r>
    </w:p>
    <w:p>
      <w:pPr>
        <w:numPr>
          <w:ilvl w:val="0"/>
          <w:numId w:val="1001"/>
        </w:numPr>
        <w:pStyle w:val="Compact"/>
      </w:pPr>
      <w:r>
        <w:t xml:space="preserve">For each day in the 181-day period and for each pathway, the model estimates the mean number of patients in service, the mean number of acute patients delayed, and the mean number of days patients are delayed under given capacity constraints.</w:t>
      </w:r>
    </w:p>
    <w:bookmarkEnd w:id="22"/>
    <w:bookmarkStart w:id="26" w:name="X5e50b29606258466ade2e94f9e61a43c7eb884c"/>
    <w:p>
      <w:pPr>
        <w:pStyle w:val="Heading3"/>
      </w:pPr>
      <w:r>
        <w:t xml:space="preserve">IPACS models the following processes at the locality level:</w:t>
      </w:r>
    </w:p>
    <w:p>
      <w:pPr>
        <w:pStyle w:val="CaptionedFigure"/>
      </w:pPr>
      <w:r>
        <w:drawing>
          <wp:inline>
            <wp:extent cx="5334000" cy="2673257"/>
            <wp:effectExtent b="0" l="0" r="0" t="0"/>
            <wp:docPr descr="Process map for P1,2,3" title="" id="24" name="Picture"/>
            <a:graphic>
              <a:graphicData uri="http://schemas.openxmlformats.org/drawingml/2006/picture">
                <pic:pic>
                  <pic:nvPicPr>
                    <pic:cNvPr descr="../images/flowmap.png" id="25" name="Picture"/>
                    <pic:cNvPicPr>
                      <a:picLocks noChangeArrowheads="1" noChangeAspect="1"/>
                    </pic:cNvPicPr>
                  </pic:nvPicPr>
                  <pic:blipFill>
                    <a:blip r:embed="rId23"/>
                    <a:stretch>
                      <a:fillRect/>
                    </a:stretch>
                  </pic:blipFill>
                  <pic:spPr bwMode="auto">
                    <a:xfrm>
                      <a:off x="0" y="0"/>
                      <a:ext cx="5334000" cy="2673257"/>
                    </a:xfrm>
                    <a:prstGeom prst="rect">
                      <a:avLst/>
                    </a:prstGeom>
                    <a:noFill/>
                    <a:ln w="9525">
                      <a:noFill/>
                      <a:headEnd/>
                      <a:tailEnd/>
                    </a:ln>
                  </pic:spPr>
                </pic:pic>
              </a:graphicData>
            </a:graphic>
          </wp:inline>
        </w:drawing>
      </w:r>
    </w:p>
    <w:p>
      <w:pPr>
        <w:pStyle w:val="ImageCaption"/>
      </w:pPr>
      <w:r>
        <w:t xml:space="preserve">Process map for P1,2,3</w:t>
      </w:r>
    </w:p>
    <w:bookmarkEnd w:id="26"/>
    <w:bookmarkStart w:id="30" w:name="X1398183c0f469a2bb7978e9cb7267891e2db6b4"/>
    <w:p>
      <w:pPr>
        <w:pStyle w:val="Heading3"/>
      </w:pPr>
      <w:r>
        <w:t xml:space="preserve">The workflow for creating this document is as follows:</w:t>
      </w:r>
    </w:p>
    <w:p>
      <w:pPr>
        <w:pStyle w:val="CaptionedFigure"/>
      </w:pPr>
      <w:r>
        <w:drawing>
          <wp:inline>
            <wp:extent cx="5334000" cy="3000375"/>
            <wp:effectExtent b="0" l="0" r="0" t="0"/>
            <wp:docPr descr="Routine Report workflow" title="" id="28" name="Picture"/>
            <a:graphic>
              <a:graphicData uri="http://schemas.openxmlformats.org/drawingml/2006/picture">
                <pic:pic>
                  <pic:nvPicPr>
                    <pic:cNvPr descr="../images/wflow.png" id="29"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Routine Report workflow</w:t>
      </w:r>
    </w:p>
    <w:bookmarkEnd w:id="30"/>
    <w:bookmarkStart w:id="31" w:name="model-scenarios"/>
    <w:p>
      <w:pPr>
        <w:pStyle w:val="Heading3"/>
      </w:pPr>
      <w:r>
        <w:t xml:space="preserve">Model Scenarios</w:t>
      </w:r>
    </w:p>
    <w:p>
      <w:pPr>
        <w:pStyle w:val="FirstParagraph"/>
      </w:pPr>
      <w:r>
        <w:t xml:space="preserve">For each locality in BNSSG, and for each of P1, P2 and P3, modelled parameters and scenario combinations are displayed in the following two pages.</w:t>
      </w:r>
    </w:p>
    <w:p>
      <w:pPr>
        <w:pStyle w:val="BodyText"/>
      </w:pPr>
      <w:r>
        <w:t xml:space="preserve">The subsequent pages output 9 sets of plots, each displaying the 12 scenario combinations for each of:</w:t>
      </w:r>
    </w:p>
    <w:p>
      <w:pPr>
        <w:numPr>
          <w:ilvl w:val="0"/>
          <w:numId w:val="1002"/>
        </w:numPr>
      </w:pPr>
      <w:r>
        <w:t xml:space="preserve">Number in service - the number of patients estimated to be utilising the service given service capacity;</w:t>
      </w:r>
    </w:p>
    <w:p>
      <w:pPr>
        <w:numPr>
          <w:ilvl w:val="0"/>
          <w:numId w:val="1002"/>
        </w:numPr>
      </w:pPr>
      <w:r>
        <w:t xml:space="preserve">Number awaiting service - the number of patients estimated to be delayed in the acute sector awaiting D2A;</w:t>
      </w:r>
    </w:p>
    <w:p>
      <w:pPr>
        <w:numPr>
          <w:ilvl w:val="0"/>
          <w:numId w:val="1002"/>
        </w:numPr>
      </w:pPr>
      <w:r>
        <w:t xml:space="preserve">Mean days delayed - the mean number of days delayed in the acute sector;</w:t>
      </w:r>
    </w:p>
    <w:p>
      <w:pPr>
        <w:numPr>
          <w:ilvl w:val="0"/>
          <w:numId w:val="1002"/>
        </w:numPr>
      </w:pPr>
      <w:r>
        <w:t xml:space="preserve">Costs - total system cost (acute delay cost + community service cost).</w:t>
      </w:r>
    </w:p>
    <w:p>
      <w:r>
        <w:br w:type="page"/>
      </w:r>
    </w:p>
    <w:bookmarkEnd w:id="31"/>
    <w:bookmarkStart w:id="38" w:name="referrals"/>
    <w:p>
      <w:pPr>
        <w:pStyle w:val="Heading3"/>
      </w:pPr>
      <w:r>
        <w:rPr>
          <w:iCs/>
          <w:i/>
        </w:rPr>
        <w:t xml:space="preserve">Referrals:</w:t>
      </w:r>
    </w:p>
    <w:p>
      <w:pPr>
        <w:pStyle w:val="FirstParagraph"/>
      </w:pPr>
      <w:r>
        <w:t xml:space="preserve">Referral patterns are based on the mean numbers of referrals for the past six months split by pathway and locality.</w:t>
      </w:r>
    </w:p>
    <w:p>
      <w:pPr>
        <w:numPr>
          <w:ilvl w:val="0"/>
          <w:numId w:val="1003"/>
        </w:numPr>
      </w:pPr>
      <w:r>
        <w:rPr>
          <w:bCs/>
          <w:b/>
        </w:rPr>
        <w:t xml:space="preserve">BArr</w:t>
      </w:r>
      <w:r>
        <w:t xml:space="preserve"> </w:t>
      </w:r>
      <w:r>
        <w:rPr>
          <w:iCs/>
          <w:i/>
        </w:rPr>
        <w:t xml:space="preserve">Baseline referrals</w:t>
      </w:r>
      <w:r>
        <w:br/>
      </w:r>
      <w:r>
        <w:drawing>
          <wp:inline>
            <wp:extent cx="5334000" cy="2667000"/>
            <wp:effectExtent b="0" l="0" r="0" t="0"/>
            <wp:docPr descr="" title="" id="33" name="Picture"/>
            <a:graphic>
              <a:graphicData uri="http://schemas.openxmlformats.org/drawingml/2006/picture">
                <pic:pic>
                  <pic:nvPicPr>
                    <pic:cNvPr descr="/home/amy/Documents/IPACS_MODEL/outputs/ipacs_report_using_IPACS_20230214_fix_files/figure-docx/BArr-plot-1.png"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003"/>
        </w:numPr>
      </w:pPr>
      <w:r>
        <w:rPr>
          <w:bCs/>
          <w:b/>
        </w:rPr>
        <w:t xml:space="preserve">S1Arr</w:t>
      </w:r>
      <w:r>
        <w:t xml:space="preserve"> </w:t>
      </w:r>
      <w:r>
        <w:rPr>
          <w:iCs/>
          <w:i/>
        </w:rPr>
        <w:t xml:space="preserve">Scenario 1 referrals</w:t>
      </w:r>
      <w:r>
        <w:br/>
      </w:r>
      <w:r>
        <w:drawing>
          <wp:inline>
            <wp:extent cx="5334000" cy="2667000"/>
            <wp:effectExtent b="0" l="0" r="0" t="0"/>
            <wp:docPr descr="" title="" id="36" name="Picture"/>
            <a:graphic>
              <a:graphicData uri="http://schemas.openxmlformats.org/drawingml/2006/picture">
                <pic:pic>
                  <pic:nvPicPr>
                    <pic:cNvPr descr="/home/amy/Documents/IPACS_MODEL/outputs/ipacs_report_using_IPACS_20230214_fix_files/figure-docx/SArr-plot-1.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2"/>
        <w:gridCol w:w="2375"/>
        <w:gridCol w:w="2163"/>
        <w:gridCol w:w="1810"/>
        <w:gridCol w:w="1598"/>
        <w:gridCol w:w="1669"/>
      </w:tblGrid>
      <w:tr>
        <w:trPr>
          <w:trHeight w:val="624" w:hRule="auto"/>
          <w:tblHeader/>
        </w:trPr>
        header1
        <w:tc>
          <w:tcPr>
            <w:gridSpan w:val="6"/>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Capacity and Length of Stay Scenario Parameters</w:t>
            </w:r>
          </w:p>
        </w:tc>
      </w:tr>
      <w:tr>
        <w:trPr>
          <w:trHeight w:val="624"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Locality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 LoS</w:t>
            </w:r>
          </w:p>
        </w:tc>
      </w:tr>
      <w:tr>
        <w:trPr>
          <w:trHeight w:val="623"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14.0</w:t>
            </w:r>
          </w:p>
        </w:tc>
      </w:tr>
      <w:tr>
        <w:trPr>
          <w:trHeight w:val="62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14.3</w:t>
            </w:r>
          </w:p>
        </w:tc>
      </w:tr>
      <w:tr>
        <w:trPr>
          <w:trHeight w:val="62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w:t>
            </w:r>
          </w:p>
        </w:tc>
      </w:tr>
      <w:tr>
        <w:trPr>
          <w:trHeight w:val="6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31.9</w:t>
            </w:r>
          </w:p>
        </w:tc>
      </w:tr>
      <w:tr>
        <w:trPr>
          <w:trHeight w:val="6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29.6</w:t>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27.5</w:t>
            </w:r>
          </w:p>
        </w:tc>
      </w:tr>
      <w:tr>
        <w:trPr>
          <w:trHeight w:val="626"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43.6</w:t>
            </w:r>
          </w:p>
        </w:tc>
      </w:tr>
      <w:tr>
        <w:trPr>
          <w:trHeight w:val="62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36.5</w:t>
            </w:r>
          </w:p>
        </w:tc>
      </w:tr>
      <w:tr>
        <w:trPr>
          <w:trHeight w:val="626"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P3_SG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30.1</w:t>
            </w:r>
          </w:p>
        </w:tc>
      </w:tr>
    </w:tbl>
    <w:p>
      <w:r>
        <w:br w:type="page"/>
      </w:r>
    </w:p>
    <w:bookmarkEnd w:id="38"/>
    <w:bookmarkStart w:id="42" w:name="p1-bristol"/>
    <w:p>
      <w:pPr>
        <w:pStyle w:val="Heading2"/>
      </w:pPr>
      <w:r>
        <w:t xml:space="preserve">P1 Bristol</w:t>
      </w:r>
    </w:p>
    <w:p>
      <w:pPr>
        <w:pStyle w:val="FirstParagraph"/>
      </w:pPr>
      <w:r>
        <w:drawing>
          <wp:inline>
            <wp:extent cx="5334000" cy="6400800"/>
            <wp:effectExtent b="0" l="0" r="0" t="0"/>
            <wp:docPr descr="" title="" id="40" name="Picture"/>
            <a:graphic>
              <a:graphicData uri="http://schemas.openxmlformats.org/drawingml/2006/picture">
                <pic:pic>
                  <pic:nvPicPr>
                    <pic:cNvPr descr="/home/amy/Documents/IPACS_MODEL/outputs/ipacs_report_using_IPACS_20230214_fix_files/figure-docx/P1-B-1.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2"/>
    <w:bookmarkStart w:id="46" w:name="p1-north-somerset"/>
    <w:p>
      <w:pPr>
        <w:pStyle w:val="Heading2"/>
      </w:pPr>
      <w:r>
        <w:t xml:space="preserve">P1 North Somerset</w:t>
      </w:r>
    </w:p>
    <w:p>
      <w:pPr>
        <w:pStyle w:val="FirstParagraph"/>
      </w:pPr>
      <w:r>
        <w:drawing>
          <wp:inline>
            <wp:extent cx="5334000" cy="6400800"/>
            <wp:effectExtent b="0" l="0" r="0" t="0"/>
            <wp:docPr descr="" title="" id="44" name="Picture"/>
            <a:graphic>
              <a:graphicData uri="http://schemas.openxmlformats.org/drawingml/2006/picture">
                <pic:pic>
                  <pic:nvPicPr>
                    <pic:cNvPr descr="/home/amy/Documents/IPACS_MODEL/outputs/ipacs_report_using_IPACS_20230214_fix_files/figure-docx/P1-NS-1.png" id="45" name="Picture"/>
                    <pic:cNvPicPr>
                      <a:picLocks noChangeArrowheads="1" noChangeAspect="1"/>
                    </pic:cNvPicPr>
                  </pic:nvPicPr>
                  <pic:blipFill>
                    <a:blip r:embed="rId43"/>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6"/>
    <w:bookmarkStart w:id="50" w:name="p1-south-gloucestershire"/>
    <w:p>
      <w:pPr>
        <w:pStyle w:val="Heading2"/>
      </w:pPr>
      <w:r>
        <w:t xml:space="preserve">P1 South Gloucestershire</w:t>
      </w:r>
    </w:p>
    <w:p>
      <w:pPr>
        <w:pStyle w:val="FirstParagraph"/>
      </w:pPr>
      <w:r>
        <w:drawing>
          <wp:inline>
            <wp:extent cx="5334000" cy="6400800"/>
            <wp:effectExtent b="0" l="0" r="0" t="0"/>
            <wp:docPr descr="" title="" id="48" name="Picture"/>
            <a:graphic>
              <a:graphicData uri="http://schemas.openxmlformats.org/drawingml/2006/picture">
                <pic:pic>
                  <pic:nvPicPr>
                    <pic:cNvPr descr="/home/amy/Documents/IPACS_MODEL/outputs/ipacs_report_using_IPACS_20230214_fix_files/figure-docx/P1-SG-1.png" id="49"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0"/>
    <w:bookmarkStart w:id="54" w:name="p2-bristol"/>
    <w:p>
      <w:pPr>
        <w:pStyle w:val="Heading2"/>
      </w:pPr>
      <w:r>
        <w:t xml:space="preserve">P2 Bristol</w:t>
      </w:r>
    </w:p>
    <w:p>
      <w:pPr>
        <w:pStyle w:val="FirstParagraph"/>
      </w:pPr>
      <w:r>
        <w:drawing>
          <wp:inline>
            <wp:extent cx="5334000" cy="6400800"/>
            <wp:effectExtent b="0" l="0" r="0" t="0"/>
            <wp:docPr descr="" title="" id="52" name="Picture"/>
            <a:graphic>
              <a:graphicData uri="http://schemas.openxmlformats.org/drawingml/2006/picture">
                <pic:pic>
                  <pic:nvPicPr>
                    <pic:cNvPr descr="/home/amy/Documents/IPACS_MODEL/outputs/ipacs_report_using_IPACS_20230214_fix_files/figure-docx/P2-B-1.png" id="53"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4"/>
    <w:bookmarkStart w:id="58" w:name="p2-north-somerset"/>
    <w:p>
      <w:pPr>
        <w:pStyle w:val="Heading2"/>
      </w:pPr>
      <w:r>
        <w:t xml:space="preserve">P2 North Somerset</w:t>
      </w:r>
    </w:p>
    <w:p>
      <w:pPr>
        <w:pStyle w:val="FirstParagraph"/>
      </w:pPr>
      <w:r>
        <w:drawing>
          <wp:inline>
            <wp:extent cx="5334000" cy="6400800"/>
            <wp:effectExtent b="0" l="0" r="0" t="0"/>
            <wp:docPr descr="" title="" id="56" name="Picture"/>
            <a:graphic>
              <a:graphicData uri="http://schemas.openxmlformats.org/drawingml/2006/picture">
                <pic:pic>
                  <pic:nvPicPr>
                    <pic:cNvPr descr="/home/amy/Documents/IPACS_MODEL/outputs/ipacs_report_using_IPACS_20230214_fix_files/figure-docx/P2-NS-1.png" id="57"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8"/>
    <w:bookmarkStart w:id="62" w:name="p2-south-gloucestershire"/>
    <w:p>
      <w:pPr>
        <w:pStyle w:val="Heading2"/>
      </w:pPr>
      <w:r>
        <w:t xml:space="preserve">P2 South Gloucestershire</w:t>
      </w:r>
    </w:p>
    <w:p>
      <w:pPr>
        <w:pStyle w:val="FirstParagraph"/>
      </w:pPr>
      <w:r>
        <w:drawing>
          <wp:inline>
            <wp:extent cx="5334000" cy="6400800"/>
            <wp:effectExtent b="0" l="0" r="0" t="0"/>
            <wp:docPr descr="" title="" id="60" name="Picture"/>
            <a:graphic>
              <a:graphicData uri="http://schemas.openxmlformats.org/drawingml/2006/picture">
                <pic:pic>
                  <pic:nvPicPr>
                    <pic:cNvPr descr="/home/amy/Documents/IPACS_MODEL/outputs/ipacs_report_using_IPACS_20230214_fix_files/figure-docx/P2-SG-1.png" id="61"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62"/>
    <w:bookmarkStart w:id="66" w:name="p3-bristol"/>
    <w:p>
      <w:pPr>
        <w:pStyle w:val="Heading2"/>
      </w:pPr>
      <w:r>
        <w:t xml:space="preserve">P3 Bristol</w:t>
      </w:r>
    </w:p>
    <w:p>
      <w:pPr>
        <w:pStyle w:val="FirstParagraph"/>
      </w:pPr>
      <w:r>
        <w:drawing>
          <wp:inline>
            <wp:extent cx="5334000" cy="6400800"/>
            <wp:effectExtent b="0" l="0" r="0" t="0"/>
            <wp:docPr descr="" title="" id="64" name="Picture"/>
            <a:graphic>
              <a:graphicData uri="http://schemas.openxmlformats.org/drawingml/2006/picture">
                <pic:pic>
                  <pic:nvPicPr>
                    <pic:cNvPr descr="/home/amy/Documents/IPACS_MODEL/outputs/ipacs_report_using_IPACS_20230214_fix_files/figure-docx/P3-B-1.png" id="65"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70" w:name="p3-north-somerset"/>
    <w:p>
      <w:pPr>
        <w:pStyle w:val="Heading2"/>
      </w:pPr>
      <w:r>
        <w:t xml:space="preserve">P3 North Somerset</w:t>
      </w:r>
    </w:p>
    <w:p>
      <w:pPr>
        <w:pStyle w:val="FirstParagraph"/>
      </w:pPr>
      <w:r>
        <w:drawing>
          <wp:inline>
            <wp:extent cx="5334000" cy="6400800"/>
            <wp:effectExtent b="0" l="0" r="0" t="0"/>
            <wp:docPr descr="" title="" id="68" name="Picture"/>
            <a:graphic>
              <a:graphicData uri="http://schemas.openxmlformats.org/drawingml/2006/picture">
                <pic:pic>
                  <pic:nvPicPr>
                    <pic:cNvPr descr="/home/amy/Documents/IPACS_MODEL/outputs/ipacs_report_using_IPACS_20230214_fix_files/figure-docx/P3-NS-1.png" id="69"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74" w:name="p3-south-gloucestershire"/>
    <w:p>
      <w:pPr>
        <w:pStyle w:val="Heading2"/>
      </w:pPr>
      <w:r>
        <w:t xml:space="preserve">P3 South Gloucestershire</w:t>
      </w:r>
    </w:p>
    <w:p>
      <w:pPr>
        <w:pStyle w:val="FirstParagraph"/>
      </w:pPr>
      <w:r>
        <w:drawing>
          <wp:inline>
            <wp:extent cx="5334000" cy="6400800"/>
            <wp:effectExtent b="0" l="0" r="0" t="0"/>
            <wp:docPr descr="" title="" id="72" name="Picture"/>
            <a:graphic>
              <a:graphicData uri="http://schemas.openxmlformats.org/drawingml/2006/picture">
                <pic:pic>
                  <pic:nvPicPr>
                    <pic:cNvPr descr="/home/amy/Documents/IPACS_MODEL/outputs/ipacs_report_using_IPACS_20230214_fix_files/figure-docx/P3-SG-1.png" id="73"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_rels/footnotes.xml.rels><?xml version="1.0" encoding="UTF-8"?><Relationships xmlns="http://schemas.openxmlformats.org/package/2006/relationships"><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BNSSG D2A: P1/P2/P3 Capacity Planning</dc:title>
  <dc:creator>Improving Patient Flow between Acute, Community and Social Care (IPACS). For more information, please contact Rich Wood (richard.wood16@nhs.net) or Paul Forte (paul.forte@nhs.net)</dc:creator>
  <cp:keywords/>
  <dcterms:created xsi:type="dcterms:W3CDTF">2023-03-17T12:42:49Z</dcterms:created>
  <dcterms:modified xsi:type="dcterms:W3CDTF">2023-03-17T12:42:49Z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March, 2023</vt:lpwstr>
  </property>
  <property fmtid="{D5CDD505-2E9C-101B-9397-08002B2CF9AE}" pid="3" name="output">
    <vt:lpwstr>word_document</vt:lpwstr>
  </property>
</Properties>
</file>