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1.pdf" ContentType="application/pdf"/>
  <Override PartName="/word/media/rId27.pdf" ContentType="application/pdf"/>
  <Override PartName="/word/media/rId32.pdf" ContentType="application/pdf"/>
  <Override PartName="/word/media/rId37.pdf" ContentType="application/pdf"/>
  <Override PartName="/word/media/rId4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Invisible Watermarking for Large Language Models via Logit Manipulation</w:t>
      </w:r>
    </w:p>
    <w:p>
      <w:pPr>
        <w:pStyle w:val="Author"/>
      </w:pPr>
      <w:r>
        <w:t xml:space="preserve">Ali Hasan</w:t>
      </w:r>
      <w:r>
        <w:br/>
      </w:r>
      <w:r>
        <w:t xml:space="preserve">Cornell University</w:t>
      </w:r>
      <w:r>
        <w:br/>
      </w:r>
      <w:r>
        <w:rPr>
          <w:rStyle w:val="VerbatimChar"/>
        </w:rPr>
        <w:t xml:space="preserve">ah2434@cornell.edu</w:t>
      </w:r>
    </w:p>
    <w:p>
      <w:pPr>
        <w:pStyle w:val="Author"/>
      </w:pPr>
      <w:r>
        <w:t xml:space="preserve">Ammar Syed</w:t>
      </w:r>
      <w:r>
        <w:br/>
      </w:r>
      <w:r>
        <w:t xml:space="preserve">Cornell University</w:t>
      </w:r>
      <w:r>
        <w:br/>
      </w:r>
      <w:r>
        <w:rPr>
          <w:rStyle w:val="VerbatimChar"/>
        </w:rPr>
        <w:t xml:space="preserve">as4422@cornell.edu</w:t>
      </w:r>
    </w:p>
    <w:p>
      <w:pPr>
        <w:pStyle w:val="AbstractTitle"/>
      </w:pPr>
      <w:r>
        <w:t xml:space="preserve">Abstract</w:t>
      </w:r>
    </w:p>
    <w:p>
      <w:pPr>
        <w:pStyle w:val="Abstract"/>
      </w:pPr>
      <w:r>
        <w:t xml:space="preserve">We re-implement and evaluate the green-list logit-bias watermark of Kirchenbauer et al. </w:t>
      </w:r>
      <w:r>
        <w:t xml:space="preserve">(Kirchenbauer et al. 2023)</w:t>
      </w:r>
      <w:r>
        <w:t xml:space="preserve"> </w:t>
      </w:r>
      <w:r>
        <w:t xml:space="preserve">on two recent instruction-tuned language models. At each decoding step a SHA-256 hash of the previous token deterministically partitions the vocabulary into a</w:t>
      </w:r>
      <w:r>
        <w:t xml:space="preserve"> </w:t>
      </w:r>
      <w:r>
        <w:t xml:space="preserve">“green”</w:t>
      </w:r>
      <w:r>
        <w:t xml:space="preserve"> </w:t>
      </w:r>
      <w:r>
        <w:t xml:space="preserve">subset of fraction</w:t>
      </w:r>
      <w:r>
        <w:t xml:space="preserve"> </w:t>
      </w:r>
      <m:oMath>
        <m:r>
          <m:t>γ</m:t>
        </m:r>
        <m:r>
          <m:rPr>
            <m:sty m:val="p"/>
          </m:rPr>
          <m:t>=</m:t>
        </m:r>
        <m:r>
          <m:t>0.5</m:t>
        </m:r>
      </m:oMath>
      <w:r>
        <w:t xml:space="preserve">, and a fixed bias</w:t>
      </w:r>
      <w:r>
        <w:t xml:space="preserve"> </w:t>
      </w:r>
      <m:oMath>
        <m:r>
          <m:t>δ</m:t>
        </m:r>
        <m:r>
          <m:rPr>
            <m:sty m:val="p"/>
          </m:rPr>
          <m:t>=</m:t>
        </m:r>
        <m:r>
          <m:t>2.0</m:t>
        </m:r>
      </m:oMath>
      <w:r>
        <w:t xml:space="preserve"> </w:t>
      </w:r>
      <w:r>
        <w:t xml:space="preserve">is added to green-list logits before sampling. Detection re-derives the partition from a candidate text and applies a one-sided</w:t>
      </w:r>
      <w:r>
        <w:t xml:space="preserve"> </w:t>
      </w:r>
      <m:oMath>
        <m:r>
          <m:t>z</m:t>
        </m:r>
      </m:oMath>
      <w:r>
        <w:t xml:space="preserve">-test on the count of green-list tokens. On Gemma 2 9B Instruct our implementation reaches</w:t>
      </w:r>
      <w:r>
        <w:t xml:space="preserve"> </w:t>
      </w:r>
      <m:oMath>
        <m:r>
          <m:t>90.0</m:t>
        </m:r>
        <m:r>
          <m:rPr>
            <m:sty m:val="p"/>
          </m:rPr>
          <m:t>%</m:t>
        </m:r>
      </m:oMath>
      <w:r>
        <w:t xml:space="preserve"> </w:t>
      </w:r>
      <w:r>
        <w:t xml:space="preserve">TPR at</w:t>
      </w:r>
      <w:r>
        <w:t xml:space="preserve"> </w:t>
      </w:r>
      <m:oMath>
        <m:r>
          <m:t>1</m:t>
        </m:r>
        <m:r>
          <m:rPr>
            <m:sty m:val="p"/>
          </m:rPr>
          <m:t>%</m:t>
        </m:r>
      </m:oMath>
      <w:r>
        <w:t xml:space="preserve"> </w:t>
      </w:r>
      <w:r>
        <w:t xml:space="preserve">FPR over all sequence lengths and</w:t>
      </w:r>
      <w:r>
        <w:t xml:space="preserve"> </w:t>
      </w:r>
      <m:oMath>
        <m:r>
          <m:t>98.7</m:t>
        </m:r>
        <m:r>
          <m:rPr>
            <m:sty m:val="p"/>
          </m:rPr>
          <m:t>%</m:t>
        </m:r>
      </m:oMath>
      <w:r>
        <w:t xml:space="preserve"> </w:t>
      </w:r>
      <w:r>
        <w:t xml:space="preserve">TPR on completions of</w:t>
      </w:r>
      <w:r>
        <w:t xml:space="preserve"> </w:t>
      </w:r>
      <m:oMath>
        <m:r>
          <m:rPr>
            <m:sty m:val="p"/>
          </m:rPr>
          <m:t>≥</m:t>
        </m:r>
        <m:r>
          <m:t>​</m:t>
        </m:r>
        <m:r>
          <m:t>150</m:t>
        </m:r>
      </m:oMath>
      <w:r>
        <w:t xml:space="preserve"> </w:t>
      </w:r>
      <w:r>
        <w:t xml:space="preserve">tokens, while degrading GPT-2 reference perplexity by only</w:t>
      </w:r>
      <w:r>
        <w:t xml:space="preserve"> </w:t>
      </w:r>
      <m:oMath>
        <m:r>
          <m:t>9</m:t>
        </m:r>
        <m:r>
          <m:rPr>
            <m:sty m:val="p"/>
          </m:rPr>
          <m:t>%</m:t>
        </m:r>
      </m:oMath>
      <w:r>
        <w:t xml:space="preserve"> </w:t>
      </w:r>
      <w:r>
        <w:t xml:space="preserve">(mean</w:t>
      </w:r>
      <w:r>
        <w:t xml:space="preserve"> </w:t>
      </w:r>
      <m:oMath>
        <m:r>
          <m:t>28.2</m:t>
        </m:r>
      </m:oMath>
      <w:r>
        <w:t xml:space="preserve"> </w:t>
      </w:r>
      <w:r>
        <w:t xml:space="preserve">vs. </w:t>
      </w:r>
      <m:oMath>
        <m:r>
          <m:t>25.8</m:t>
        </m:r>
      </m:oMath>
      <w:r>
        <w:t xml:space="preserve">). The watermark survives</w:t>
      </w:r>
      <w:r>
        <w:t xml:space="preserve"> </w:t>
      </w:r>
      <m:oMath>
        <m:r>
          <m:t>10</m:t>
        </m:r>
        <m:r>
          <m:rPr>
            <m:sty m:val="p"/>
          </m:rPr>
          <m:t>%</m:t>
        </m:r>
      </m:oMath>
      <w:r>
        <w:t xml:space="preserve"> </w:t>
      </w:r>
      <w:r>
        <w:t xml:space="preserve">random word substitution at</w:t>
      </w:r>
      <w:r>
        <w:t xml:space="preserve"> </w:t>
      </w:r>
      <m:oMath>
        <m:r>
          <m:t>83.6</m:t>
        </m:r>
        <m:r>
          <m:rPr>
            <m:sty m:val="p"/>
          </m:rPr>
          <m:t>%</m:t>
        </m:r>
      </m:oMath>
      <w:r>
        <w:t xml:space="preserve"> </w:t>
      </w:r>
      <w:r>
        <w:t xml:space="preserve">TPR and is robust to</w:t>
      </w:r>
      <w:r>
        <w:t xml:space="preserve"> </w:t>
      </w:r>
      <m:oMath>
        <m:r>
          <m:t>10</m:t>
        </m:r>
        <m:r>
          <m:rPr>
            <m:sty m:val="p"/>
          </m:rPr>
          <m:t>%</m:t>
        </m:r>
      </m:oMath>
      <w:r>
        <w:t xml:space="preserve"> </w:t>
      </w:r>
      <w:r>
        <w:t xml:space="preserve">token insertion or deletion (</w:t>
      </w:r>
      <m:oMath>
        <m:r>
          <m:t>86.1</m:t>
        </m:r>
        <m:r>
          <m:rPr>
            <m:sty m:val="p"/>
          </m:rPr>
          <m:t>%</m:t>
        </m:r>
      </m:oMath>
      <w:r>
        <w:t xml:space="preserve"> </w:t>
      </w:r>
      <w:r>
        <w:t xml:space="preserve">TPR). A logit-bias sweep</w:t>
      </w:r>
      <w:r>
        <w:t xml:space="preserve"> </w:t>
      </w:r>
      <m:oMath>
        <m:r>
          <m:t>δ</m:t>
        </m:r>
        <m:r>
          <m:t>​</m:t>
        </m:r>
        <m:r>
          <m:rPr>
            <m:sty m:val="p"/>
          </m:rPr>
          <m:t>∈</m:t>
        </m:r>
        <m:r>
          <m:t>​</m:t>
        </m:r>
        <m:r>
          <m:rPr>
            <m:sty m:val="p"/>
          </m:rPr>
          <m:t>{</m:t>
        </m:r>
        <m:r>
          <m:t>0.5</m:t>
        </m:r>
        <m:r>
          <m:rPr>
            <m:sty m:val="p"/>
          </m:rPr>
          <m:t>,</m:t>
        </m:r>
        <m:r>
          <m:t>1</m:t>
        </m:r>
        <m:r>
          <m:rPr>
            <m:sty m:val="p"/>
          </m:rPr>
          <m:t>,</m:t>
        </m:r>
        <m:r>
          <m:t>2</m:t>
        </m:r>
        <m:r>
          <m:rPr>
            <m:sty m:val="p"/>
          </m:rPr>
          <m:t>,</m:t>
        </m:r>
        <m:r>
          <m:t>4</m:t>
        </m:r>
        <m:r>
          <m:rPr>
            <m:sty m:val="p"/>
          </m:rPr>
          <m:t>,</m:t>
        </m:r>
        <m:r>
          <m:t>8</m:t>
        </m:r>
        <m:r>
          <m:rPr>
            <m:sty m:val="p"/>
          </m:rPr>
          <m:t>}</m:t>
        </m:r>
      </m:oMath>
      <w:r>
        <w:t xml:space="preserve"> </w:t>
      </w:r>
      <w:r>
        <w:t xml:space="preserve">recovers the predicted detectability/quality knee at</w:t>
      </w:r>
      <w:r>
        <w:t xml:space="preserve"> </w:t>
      </w:r>
      <m:oMath>
        <m:r>
          <m:t>δ</m:t>
        </m:r>
        <m:r>
          <m:t>​</m:t>
        </m:r>
        <m:r>
          <m:rPr>
            <m:sty m:val="p"/>
          </m:rPr>
          <m:t>≈</m:t>
        </m:r>
        <m:r>
          <m:t>​</m:t>
        </m:r>
        <m:r>
          <m:t>2</m:t>
        </m:r>
      </m:oMath>
      <w:r>
        <w:t xml:space="preserve">. Applying the same code path unchanged to LLaMA 3.1 8B Instruct yields</w:t>
      </w:r>
      <w:r>
        <w:t xml:space="preserve"> </w:t>
      </w:r>
      <m:oMath>
        <m:r>
          <m:t>98.0</m:t>
        </m:r>
        <m:r>
          <m:rPr>
            <m:sty m:val="p"/>
          </m:rPr>
          <m:t>%</m:t>
        </m:r>
      </m:oMath>
      <w:r>
        <w:t xml:space="preserve"> </w:t>
      </w:r>
      <w:r>
        <w:t xml:space="preserve">TPR at</w:t>
      </w:r>
      <w:r>
        <w:t xml:space="preserve"> </w:t>
      </w:r>
      <m:oMath>
        <m:r>
          <m:t>1</m:t>
        </m:r>
        <m:r>
          <m:rPr>
            <m:sty m:val="p"/>
          </m:rPr>
          <m:t>%</m:t>
        </m:r>
      </m:oMath>
      <w:r>
        <w:t xml:space="preserve"> </w:t>
      </w:r>
      <w:r>
        <w:t xml:space="preserve">FPR and a perplexity ratio of</w:t>
      </w:r>
      <w:r>
        <w:t xml:space="preserve"> </w:t>
      </w:r>
      <m:oMath>
        <m:r>
          <m:t>1.01</m:t>
        </m:r>
      </m:oMath>
      <w:r>
        <w:t xml:space="preserve">, indicating tokeniser-agnostic generalisation; a full LLM-paraphrase attack on the watermarked text drops TPR to</w:t>
      </w:r>
      <w:r>
        <w:t xml:space="preserve"> </w:t>
      </w:r>
      <m:oMath>
        <m:r>
          <m:t>27.3</m:t>
        </m:r>
        <m:r>
          <m:rPr>
            <m:sty m:val="p"/>
          </m:rPr>
          <m:t>%</m:t>
        </m:r>
      </m:oMath>
      <w:r>
        <w:t xml:space="preserve">, exposing the known green-list weakness </w:t>
      </w:r>
      <w:r>
        <w:t xml:space="preserve">(Kirchenbauer et al. 2024)</w:t>
      </w:r>
      <w:r>
        <w:t xml:space="preserve">. We also describe a Gemma 3 multimodal-loader compatibility failure that prompted the model substitution. Code, corpora, and trained thresholds are released at</w:t>
      </w:r>
      <w:r>
        <w:t xml:space="preserve"> </w:t>
      </w:r>
      <w:hyperlink r:id="rId9">
        <w:r>
          <w:rPr>
            <w:rStyle w:val="Hyperlink"/>
          </w:rPr>
          <w:t xml:space="preserve">https://github.com/AliHasan-786/llm-invisible-watermarking</w:t>
        </w:r>
      </w:hyperlink>
      <w:r>
        <w:t xml:space="preserve">.</w:t>
      </w:r>
    </w:p>
    <w:bookmarkStart w:id="10" w:name="sec:intro"/>
    <w:p>
      <w:pPr>
        <w:pStyle w:val="Heading1"/>
      </w:pPr>
      <w:r>
        <w:t xml:space="preserve">Introduction</w:t>
      </w:r>
    </w:p>
    <w:p>
      <w:pPr>
        <w:pStyle w:val="FirstParagraph"/>
      </w:pPr>
      <w:r>
        <w:t xml:space="preserve">Large language models (LLMs) are now used to produce news summaries, classroom essays, customer service replies, and code at a scale that human moderators cannot audit </w:t>
      </w:r>
      <w:r>
        <w:t xml:space="preserve">(Kirchenbauer et al. 2023, 2024)</w:t>
      </w:r>
      <w:r>
        <w:t xml:space="preserve">. Distinguishing AI-generated text from human-written text has therefore become an urgent question for misinformation policy, academic integrity, and platform trust and safety. Most deployed detectors operate</w:t>
      </w:r>
      <w:r>
        <w:t xml:space="preserve"> </w:t>
      </w:r>
      <w:r>
        <w:rPr>
          <w:i/>
          <w:iCs/>
        </w:rPr>
        <w:t xml:space="preserve">post hoc</w:t>
      </w:r>
      <w:r>
        <w:t xml:space="preserve"> </w:t>
      </w:r>
      <w:r>
        <w:t xml:space="preserve">on the generated text alone, classifying its perplexity or stylometric features against a base model. These approaches are fragile: short passages, light paraphrasing, or unusual register can flip their predictions, and their false-positive rates on human writing are too high for high-stakes use </w:t>
      </w:r>
      <w:r>
        <w:t xml:space="preserve">(Kirchenbauer et al. 2024)</w:t>
      </w:r>
      <w:r>
        <w:t xml:space="preserve">.</w:t>
      </w:r>
    </w:p>
    <w:p>
      <w:pPr>
        <w:pStyle w:val="BodyText"/>
      </w:pPr>
      <w:r>
        <w:t xml:space="preserve">Watermarking offers a stronger alternative. Rather than guessing after the fact, the model owner embeds a structured signal during generation that can be statistically verified later. The signal must be (i) </w:t>
      </w:r>
      <w:r>
        <w:rPr>
          <w:i/>
          <w:iCs/>
        </w:rPr>
        <w:t xml:space="preserve">detectable</w:t>
      </w:r>
      <w:r>
        <w:t xml:space="preserve"> </w:t>
      </w:r>
      <w:r>
        <w:t xml:space="preserve">from short text, (ii) </w:t>
      </w:r>
      <w:r>
        <w:rPr>
          <w:i/>
          <w:iCs/>
        </w:rPr>
        <w:t xml:space="preserve">robust</w:t>
      </w:r>
      <w:r>
        <w:t xml:space="preserve"> </w:t>
      </w:r>
      <w:r>
        <w:t xml:space="preserve">to mild edits and paraphrases, and (iii) </w:t>
      </w:r>
      <w:r>
        <w:rPr>
          <w:i/>
          <w:iCs/>
        </w:rPr>
        <w:t xml:space="preserve">invisible</w:t>
      </w:r>
      <w:r>
        <w:t xml:space="preserve"> </w:t>
      </w:r>
      <w:r>
        <w:t xml:space="preserve">to the human reader so as not to degrade fluency. These goals are in tension: a stronger signal is easier to detect but distorts the model’s distribution and can harm output quality.</w:t>
      </w:r>
    </w:p>
    <w:p>
      <w:pPr>
        <w:pStyle w:val="BodyText"/>
      </w:pPr>
      <w:r>
        <w:rPr>
          <w:b/>
          <w:bCs/>
        </w:rPr>
        <w:t xml:space="preserve">Related work.</w:t>
      </w:r>
      <w:r>
        <w:t xml:space="preserve"> </w:t>
      </w:r>
      <w:r>
        <w:t xml:space="preserve">Kirchenbauer et al. </w:t>
      </w:r>
      <w:r>
        <w:t xml:space="preserve">(Kirchenbauer et al. 2023)</w:t>
      </w:r>
      <w:r>
        <w:t xml:space="preserve"> </w:t>
      </w:r>
      <w:r>
        <w:t xml:space="preserve">introduced the green-list/red-list logit-bias watermark on which we build, demonstrated on OPT-1.3B and LLaMA-1. A 2024 follow-up </w:t>
      </w:r>
      <w:r>
        <w:t xml:space="preserve">(Kirchenbauer et al. 2024)</w:t>
      </w:r>
      <w:r>
        <w:t xml:space="preserve"> </w:t>
      </w:r>
      <w:r>
        <w:t xml:space="preserve">re-evaluated it under realistic adversarial paraphrasing and human rewriting and showed that detection survives if the text is long enough. Kuditipudi et al. </w:t>
      </w:r>
      <w:r>
        <w:t xml:space="preserve">(Kuditipudi et al. 2024)</w:t>
      </w:r>
      <w:r>
        <w:t xml:space="preserve"> </w:t>
      </w:r>
      <w:r>
        <w:t xml:space="preserve">proposed a distortion-free alternative that preserves the model distribution exactly, at the cost of a more expensive aligned-decoding detector. Christ et al. </w:t>
      </w:r>
      <w:r>
        <w:t xml:space="preserve">(Christ et al. 2024)</w:t>
      </w:r>
      <w:r>
        <w:t xml:space="preserve"> </w:t>
      </w:r>
      <w:r>
        <w:t xml:space="preserve">proved an information-theoretic upper bound on detectability and proposed a semantic-grouping variant. We focus on the logit-bias scheme because it is the simplest to implement as a HuggingFace</w:t>
      </w:r>
      <w:r>
        <w:t xml:space="preserve"> </w:t>
      </w:r>
      <w:r>
        <w:rPr>
          <w:rStyle w:val="VerbatimChar"/>
        </w:rPr>
        <w:t xml:space="preserve">LogitsProcessor</w:t>
      </w:r>
      <w:r>
        <w:t xml:space="preserve">, requires no model retraining, and admits a closed-form</w:t>
      </w:r>
      <w:r>
        <w:t xml:space="preserve"> </w:t>
      </w:r>
      <m:oMath>
        <m:r>
          <m:t>z</m:t>
        </m:r>
      </m:oMath>
      <w:r>
        <w:t xml:space="preserve">-test detector. Those properties make it the right starting point for re-validating on instruction-tuned 7–9B models that did not exist when the original paper was written.</w:t>
      </w:r>
    </w:p>
    <w:p>
      <w:pPr>
        <w:pStyle w:val="BodyText"/>
      </w:pPr>
      <w:r>
        <w:rPr>
          <w:b/>
          <w:bCs/>
        </w:rPr>
        <w:t xml:space="preserve">Contributions.</w:t>
      </w:r>
      <w:r>
        <w:t xml:space="preserve"> </w:t>
      </w:r>
      <w:r>
        <w:t xml:space="preserve">(1) A modular re-implementation of the Kirchenbauer scheme with separate logit-processor, detector, and evaluation modules, all parameterised by</w:t>
      </w:r>
      <w:r>
        <w:t xml:space="preserve"> </w:t>
      </w:r>
      <m:oMath>
        <m:r>
          <m:rPr>
            <m:sty m:val="p"/>
          </m:rPr>
          <m:t>(</m:t>
        </m:r>
        <m:r>
          <m:t>γ</m:t>
        </m:r>
        <m:r>
          <m:rPr>
            <m:sty m:val="p"/>
          </m:rPr>
          <m:t>,</m:t>
        </m:r>
        <m:r>
          <m:t>δ</m:t>
        </m:r>
        <m:r>
          <m:rPr>
            <m:sty m:val="p"/>
          </m:rPr>
          <m:t>,</m:t>
        </m:r>
        <m:r>
          <m:rPr>
            <m:nor/>
            <m:sty m:val="p"/>
          </m:rPr>
          <m:t>seed</m:t>
        </m:r>
        <m:r>
          <m:rPr>
            <m:sty m:val="p"/>
          </m:rPr>
          <m:t>)</m:t>
        </m:r>
      </m:oMath>
      <w:r>
        <w:t xml:space="preserve"> </w:t>
      </w:r>
      <w:r>
        <w:t xml:space="preserve">and released as open code. (2) Headline detection and quality numbers on Gemma 2 9B Instruct, with cross-architecture validation on LLaMA 3.1 8B Instruct. The two model families produce TPR within a few percentage points of each other across all length bins, suggesting the scheme generalises beyond the OPT/LLaMA-1 setup of the original paper. (3) A focused robustness study covering word substitution at</w:t>
      </w:r>
      <w:r>
        <w:t xml:space="preserve"> </w:t>
      </w:r>
      <m:oMath>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rates,</w:t>
      </w:r>
      <w:r>
        <w:t xml:space="preserve"> </w:t>
      </w:r>
      <m:oMath>
        <m:r>
          <m:t>10</m:t>
        </m:r>
        <m:r>
          <m:rPr>
            <m:sty m:val="p"/>
          </m:rPr>
          <m:t>%</m:t>
        </m:r>
      </m:oMath>
      <w:r>
        <w:t xml:space="preserve"> </w:t>
      </w:r>
      <w:r>
        <w:t xml:space="preserve">token insertion and deletion, plus a</w:t>
      </w:r>
      <w:r>
        <w:t xml:space="preserve"> </w:t>
      </w:r>
      <m:oMath>
        <m:r>
          <m:t>δ</m:t>
        </m:r>
      </m:oMath>
      <w:r>
        <w:t xml:space="preserve">-sweep across an order of magnitude that traces the detectability/quality frontier. (4) A clear writeup of a Gemma 3 4B compatibility failure that we isolated to the multimodal HuggingFace loader rather than the watermark itself, and the model substitution that recovered.</w:t>
      </w:r>
    </w:p>
    <w:bookmarkEnd w:id="10"/>
    <w:bookmarkStart w:id="18" w:name="sec:method"/>
    <w:p>
      <w:pPr>
        <w:pStyle w:val="Heading1"/>
      </w:pPr>
      <w:r>
        <w:t xml:space="preserve">Method</w:t>
      </w:r>
    </w:p>
    <w:bookmarkStart w:id="11" w:name="watermark-injection"/>
    <w:p>
      <w:pPr>
        <w:pStyle w:val="Heading2"/>
      </w:pPr>
      <w:r>
        <w:t xml:space="preserve">Watermark injection</w:t>
      </w:r>
    </w:p>
    <w:p>
      <w:pPr>
        <w:pStyle w:val="FirstParagraph"/>
      </w:pPr>
      <w:r>
        <w:t xml:space="preserve">At each decoding step</w:t>
      </w:r>
      <w:r>
        <w:t xml:space="preserve"> </w:t>
      </w:r>
      <m:oMath>
        <m:r>
          <m:t>t</m:t>
        </m:r>
      </m:oMath>
      <w:r>
        <w:t xml:space="preserve"> </w:t>
      </w:r>
      <w:r>
        <w:t xml:space="preserve">the model’s vocabulary</w:t>
      </w:r>
      <w:r>
        <w:t xml:space="preserve"> </w:t>
      </w:r>
      <m:oMath>
        <m:r>
          <m:t>V</m:t>
        </m:r>
      </m:oMath>
      <w:r>
        <w:t xml:space="preserve"> </w:t>
      </w:r>
      <w:r>
        <w:t xml:space="preserve">of size</w:t>
      </w:r>
      <w:r>
        <w:t xml:space="preserve"> </w:t>
      </w:r>
      <m:oMath>
        <m:r>
          <m:rPr>
            <m:sty m:val="p"/>
          </m:rPr>
          <m:t>|</m:t>
        </m:r>
        <m:r>
          <m:t>V</m:t>
        </m:r>
        <m:r>
          <m:rPr>
            <m:sty m:val="p"/>
          </m:rPr>
          <m:t>|</m:t>
        </m:r>
      </m:oMath>
      <w:r>
        <w:t xml:space="preserve"> </w:t>
      </w:r>
      <w:r>
        <w:t xml:space="preserve">is deterministically partitioned into a</w:t>
      </w:r>
      <w:r>
        <w:t xml:space="preserve"> </w:t>
      </w:r>
      <w:r>
        <w:rPr>
          <w:i/>
          <w:iCs/>
        </w:rPr>
        <w:t xml:space="preserve">green list</w:t>
      </w:r>
      <w:r>
        <w:t xml:space="preserve"> </w:t>
      </w:r>
      <m:oMath>
        <m:sSub>
          <m:e>
            <m:r>
              <m:t>G</m:t>
            </m:r>
          </m:e>
          <m:sub>
            <m:r>
              <m:t>t</m:t>
            </m:r>
          </m:sub>
        </m:sSub>
        <m:r>
          <m:rPr>
            <m:sty m:val="p"/>
          </m:rPr>
          <m:t>⊂</m:t>
        </m:r>
        <m:r>
          <m:t>V</m:t>
        </m:r>
      </m:oMath>
      <w:r>
        <w:t xml:space="preserve"> </w:t>
      </w:r>
      <w:r>
        <w:t xml:space="preserve">of size</w:t>
      </w:r>
      <w:r>
        <w:t xml:space="preserve"> </w:t>
      </w:r>
      <m:oMath>
        <m:r>
          <m:rPr>
            <m:sty m:val="p"/>
          </m:rPr>
          <m:t>⌊</m:t>
        </m:r>
        <m:r>
          <m:t>γ</m:t>
        </m:r>
        <m:r>
          <m:rPr>
            <m:sty m:val="p"/>
          </m:rPr>
          <m:t>|</m:t>
        </m:r>
        <m:r>
          <m:t>V</m:t>
        </m:r>
        <m:r>
          <m:rPr>
            <m:sty m:val="p"/>
          </m:rPr>
          <m:t>|</m:t>
        </m:r>
        <m:r>
          <m:rPr>
            <m:sty m:val="p"/>
          </m:rPr>
          <m:t>⌋</m:t>
        </m:r>
      </m:oMath>
      <w:r>
        <w:t xml:space="preserve"> </w:t>
      </w:r>
      <w:r>
        <w:t xml:space="preserve">and a</w:t>
      </w:r>
      <w:r>
        <w:t xml:space="preserve"> </w:t>
      </w:r>
      <w:r>
        <w:rPr>
          <w:i/>
          <w:iCs/>
        </w:rPr>
        <w:t xml:space="preserve">red list</w:t>
      </w:r>
      <w:r>
        <w:t xml:space="preserve"> </w:t>
      </w:r>
      <m:oMath>
        <m:r>
          <m:t>V</m:t>
        </m:r>
        <m:r>
          <m:rPr>
            <m:sty m:val="p"/>
          </m:rPr>
          <m:t>\</m:t>
        </m:r>
        <m:sSub>
          <m:e>
            <m:r>
              <m:t>G</m:t>
            </m:r>
          </m:e>
          <m:sub>
            <m:r>
              <m:t>t</m:t>
            </m:r>
          </m:sub>
        </m:sSub>
      </m:oMath>
      <w:r>
        <w:t xml:space="preserve">. The partition is keyed on the previous token</w:t>
      </w:r>
      <w:r>
        <w:t xml:space="preserve"> </w:t>
      </w:r>
      <m:oMath>
        <m:sSub>
          <m:e>
            <m:r>
              <m:t>w</m:t>
            </m:r>
          </m:e>
          <m:sub>
            <m:r>
              <m:t>t</m:t>
            </m:r>
            <m:r>
              <m:rPr>
                <m:sty m:val="p"/>
              </m:rPr>
              <m:t>−</m:t>
            </m:r>
            <m:r>
              <m:t>1</m:t>
            </m:r>
          </m:sub>
        </m:sSub>
      </m:oMath>
      <w:r>
        <w:t xml:space="preserve"> </w:t>
      </w:r>
      <w:r>
        <w:t xml:space="preserve">and a secret seed</w:t>
      </w:r>
      <w:r>
        <w:t xml:space="preserve"> </w:t>
      </w:r>
      <m:oMath>
        <m:r>
          <m:t>s</m:t>
        </m:r>
      </m:oMath>
      <w:r>
        <w:t xml:space="preserve"> </w:t>
      </w:r>
      <w:r>
        <w:t xml:space="preserve">via</w:t>
      </w:r>
    </w:p>
    <w:p>
      <w:pPr>
        <w:pStyle w:val="BodyText"/>
      </w:pPr>
      <m:oMathPara>
        <m:oMathParaPr>
          <m:jc m:val="center"/>
        </m:oMathParaPr>
        <m:oMath>
          <m:sSub>
            <m:e>
              <m:r>
                <m:t>G</m:t>
              </m:r>
            </m:e>
            <m:sub>
              <m:r>
                <m:t>t</m:t>
              </m:r>
            </m:sub>
          </m:sSub>
          <m:r>
            <m:rPr>
              <m:sty m:val="p"/>
            </m:rPr>
            <m:t>=</m:t>
          </m:r>
          <m:r>
            <m:rPr>
              <m:nor/>
              <m:scr m:val="monospace"/>
              <m:sty m:val="p"/>
            </m:rPr>
            <m:t>permute</m:t>
          </m:r>
          <m:r>
            <m:t>​</m:t>
          </m:r>
          <m:d>
            <m:dPr>
              <m:begChr m:val="("/>
              <m:sepChr m:val=""/>
              <m:endChr m:val=")"/>
              <m:grow/>
            </m:dPr>
            <m:e>
              <m:r>
                <m:rPr>
                  <m:nor/>
                  <m:scr m:val="monospace"/>
                  <m:sty m:val="p"/>
                </m:rPr>
                <m:t>SHA-256</m:t>
              </m:r>
              <m:r>
                <m:rPr>
                  <m:sty m:val="p"/>
                </m:rPr>
                <m:t>(</m:t>
              </m:r>
              <m:r>
                <m:t>s</m:t>
              </m:r>
              <m:r>
                <m:rPr>
                  <m:sty m:val="p"/>
                </m:rPr>
                <m:t>‖</m:t>
              </m:r>
              <m:sSub>
                <m:e>
                  <m:r>
                    <m:t>w</m:t>
                  </m:r>
                </m:e>
                <m:sub>
                  <m:r>
                    <m:t>t</m:t>
                  </m:r>
                  <m:r>
                    <m:rPr>
                      <m:sty m:val="p"/>
                    </m:rPr>
                    <m:t>−</m:t>
                  </m:r>
                  <m:r>
                    <m:t>1</m:t>
                  </m:r>
                </m:sub>
              </m:sSub>
              <m:r>
                <m:rPr>
                  <m:sty m:val="p"/>
                </m:rPr>
                <m:t>)</m:t>
              </m:r>
            </m:e>
          </m:d>
          <m:r>
            <m:rPr>
              <m:sty m:val="p"/>
            </m:rPr>
            <m:t>[</m:t>
          </m:r>
          <m:r>
            <m:t> </m:t>
          </m:r>
          <m:r>
            <m:t>1</m:t>
          </m:r>
          <m:r>
            <m:rPr>
              <m:sty m:val="p"/>
            </m:rPr>
            <m:t>:</m:t>
          </m:r>
          <m:r>
            <m:rPr>
              <m:sty m:val="p"/>
            </m:rPr>
            <m:t>⌊</m:t>
          </m:r>
          <m:r>
            <m:t>γ</m:t>
          </m:r>
          <m:r>
            <m:rPr>
              <m:sty m:val="p"/>
            </m:rPr>
            <m:t>|</m:t>
          </m:r>
          <m:r>
            <m:t>V</m:t>
          </m:r>
          <m:r>
            <m:rPr>
              <m:sty m:val="p"/>
            </m:rPr>
            <m:t>|</m:t>
          </m:r>
          <m:r>
            <m:rPr>
              <m:sty m:val="p"/>
            </m:rPr>
            <m:t>⌋</m:t>
          </m:r>
          <m:r>
            <m:t> </m:t>
          </m:r>
          <m:r>
            <m:rPr>
              <m:sty m:val="p"/>
            </m:rPr>
            <m:t>]</m:t>
          </m:r>
          <m:r>
            <m:rPr>
              <m:sty m:val="p"/>
            </m:rPr>
            <m:t>,</m:t>
          </m:r>
        </m:oMath>
      </m:oMathPara>
    </w:p>
    <w:p>
      <w:pPr>
        <w:pStyle w:val="FirstParagraph"/>
      </w:pPr>
      <w:r>
        <w:t xml:space="preserve">so that detection only requires knowledge of the seed and the candidate text, not access to the model. A fixed bias</w:t>
      </w:r>
      <w:r>
        <w:t xml:space="preserve"> </w:t>
      </w:r>
      <m:oMath>
        <m:r>
          <m:t>δ</m:t>
        </m:r>
        <m:r>
          <m:rPr>
            <m:sty m:val="p"/>
          </m:rPr>
          <m:t>&gt;</m:t>
        </m:r>
        <m:r>
          <m:t>0</m:t>
        </m:r>
      </m:oMath>
      <w:r>
        <w:t xml:space="preserve"> </w:t>
      </w:r>
      <w:r>
        <w:t xml:space="preserve">is added to every green-list logit before the softmax,</w:t>
      </w:r>
    </w:p>
    <w:p>
      <w:pPr>
        <w:pStyle w:val="BodyText"/>
      </w:pPr>
      <m:oMathPara>
        <m:oMathParaPr>
          <m:jc m:val="center"/>
        </m:oMathParaPr>
        <m:oMath>
          <m:sSub>
            <m:e>
              <m:acc>
                <m:accPr>
                  <m:chr m:val="̃"/>
                </m:accPr>
                <m:e>
                  <m:r>
                    <m:t>ℓ</m:t>
                  </m:r>
                </m:e>
              </m:acc>
            </m:e>
            <m:sub>
              <m:r>
                <m:t>t</m:t>
              </m:r>
            </m:sub>
          </m:sSub>
          <m:r>
            <m:rPr>
              <m:sty m:val="p"/>
            </m:rPr>
            <m:t>[</m:t>
          </m:r>
          <m:r>
            <m:t>v</m:t>
          </m:r>
          <m:r>
            <m:rPr>
              <m:sty m:val="p"/>
            </m:rPr>
            <m:t>]</m:t>
          </m:r>
          <m:r>
            <m:rPr>
              <m:sty m:val="p"/>
            </m:rPr>
            <m:t>=</m:t>
          </m:r>
          <m:sSub>
            <m:e>
              <m:r>
                <m:t>ℓ</m:t>
              </m:r>
            </m:e>
            <m:sub>
              <m:r>
                <m:t>t</m:t>
              </m:r>
            </m:sub>
          </m:sSub>
          <m:r>
            <m:rPr>
              <m:sty m:val="p"/>
            </m:rPr>
            <m:t>[</m:t>
          </m:r>
          <m:r>
            <m:t>v</m:t>
          </m:r>
          <m:r>
            <m:rPr>
              <m:sty m:val="p"/>
            </m:rPr>
            <m:t>]</m:t>
          </m:r>
          <m:r>
            <m:rPr>
              <m:sty m:val="p"/>
            </m:rPr>
            <m:t>+</m:t>
          </m:r>
          <m:r>
            <m:t>δ</m:t>
          </m:r>
          <m:r>
            <m:rPr>
              <m:sty m:val="p"/>
            </m:rPr>
            <m:t>⋅</m:t>
          </m:r>
          <m:r>
            <m:rPr>
              <m:sty m:val="b"/>
            </m:rPr>
            <m:t>1</m:t>
          </m:r>
          <m:r>
            <m:rPr>
              <m:sty m:val="p"/>
            </m:rPr>
            <m:t>[</m:t>
          </m:r>
          <m:r>
            <m:t>v</m:t>
          </m:r>
          <m:r>
            <m:rPr>
              <m:sty m:val="p"/>
            </m:rPr>
            <m:t>∈</m:t>
          </m:r>
          <m:sSub>
            <m:e>
              <m:r>
                <m:t>G</m:t>
              </m:r>
            </m:e>
            <m:sub>
              <m:r>
                <m:t>t</m:t>
              </m:r>
            </m:sub>
          </m:sSub>
          <m:r>
            <m:rPr>
              <m:sty m:val="p"/>
            </m:rPr>
            <m:t>]</m:t>
          </m:r>
          <m:r>
            <m:rPr>
              <m:sty m:val="p"/>
            </m:rPr>
            <m:t>,</m:t>
          </m:r>
        </m:oMath>
      </m:oMathPara>
    </w:p>
    <w:p>
      <w:pPr>
        <w:pStyle w:val="FirstParagraph"/>
      </w:pPr>
      <w:r>
        <w:t xml:space="preserve">which nudges the sampler toward green tokens. The model weights are not modified; the bias is injected at inference time as a</w:t>
      </w:r>
      <w:r>
        <w:t xml:space="preserve"> </w:t>
      </w:r>
      <w:r>
        <w:rPr>
          <w:rStyle w:val="VerbatimChar"/>
        </w:rPr>
        <w:t xml:space="preserve">LogitsProcessor</w:t>
      </w:r>
      <w:r>
        <w:t xml:space="preserve">.</w:t>
      </w:r>
    </w:p>
    <w:bookmarkEnd w:id="11"/>
    <w:bookmarkStart w:id="12" w:name="detection"/>
    <w:p>
      <w:pPr>
        <w:pStyle w:val="Heading2"/>
      </w:pPr>
      <w:r>
        <w:t xml:space="preserve">Detection</w:t>
      </w:r>
    </w:p>
    <w:p>
      <w:pPr>
        <w:pStyle w:val="FirstParagraph"/>
      </w:pPr>
      <w:r>
        <w:t xml:space="preserve">Given a candidate sequence of</w:t>
      </w:r>
      <w:r>
        <w:t xml:space="preserve"> </w:t>
      </w:r>
      <m:oMath>
        <m:r>
          <m:t>T</m:t>
        </m:r>
      </m:oMath>
      <w:r>
        <w:t xml:space="preserve"> </w:t>
      </w:r>
      <w:r>
        <w:t xml:space="preserve">tokens, the detector replays the same hash and counts how many tokens</w:t>
      </w:r>
      <w:r>
        <w:t xml:space="preserve"> </w:t>
      </w:r>
      <m:oMath>
        <m:sSub>
          <m:e>
            <m:r>
              <m:t>w</m:t>
            </m:r>
          </m:e>
          <m:sub>
            <m:r>
              <m:t>t</m:t>
            </m:r>
          </m:sub>
        </m:sSub>
      </m:oMath>
      <w:r>
        <w:t xml:space="preserve"> </w:t>
      </w:r>
      <w:r>
        <w:t xml:space="preserve">landed on their corresponding</w:t>
      </w:r>
      <w:r>
        <w:t xml:space="preserve"> </w:t>
      </w:r>
      <m:oMath>
        <m:sSub>
          <m:e>
            <m:r>
              <m:t>G</m:t>
            </m:r>
          </m:e>
          <m:sub>
            <m:r>
              <m:t>t</m:t>
            </m:r>
          </m:sub>
        </m:sSub>
      </m:oMath>
      <w:r>
        <w:t xml:space="preserve">. Under the null hypothesis (no watermark) this count</w:t>
      </w:r>
      <w:r>
        <w:t xml:space="preserve"> </w:t>
      </w:r>
      <m:oMath>
        <m:r>
          <m:t>X</m:t>
        </m:r>
      </m:oMath>
      <w:r>
        <w:t xml:space="preserve"> </w:t>
      </w:r>
      <w:r>
        <w:t xml:space="preserve">is approximately</w:t>
      </w:r>
      <w:r>
        <w:t xml:space="preserve"> </w:t>
      </w:r>
      <m:oMath>
        <m:r>
          <m:rPr>
            <m:nor/>
            <m:sty m:val="p"/>
          </m:rPr>
          <m:t>Binomial</m:t>
        </m:r>
        <m:r>
          <m:rPr>
            <m:sty m:val="p"/>
          </m:rPr>
          <m:t>(</m:t>
        </m:r>
        <m:r>
          <m:t>T</m:t>
        </m:r>
        <m:r>
          <m:rPr>
            <m:sty m:val="p"/>
          </m:rPr>
          <m:t>,</m:t>
        </m:r>
        <m:r>
          <m:t>γ</m:t>
        </m:r>
        <m:r>
          <m:rPr>
            <m:sty m:val="p"/>
          </m:rPr>
          <m:t>)</m:t>
        </m:r>
      </m:oMath>
      <w:r>
        <w:t xml:space="preserve">. The one-sided</w:t>
      </w:r>
      <w:r>
        <w:t xml:space="preserve"> </w:t>
      </w:r>
      <m:oMath>
        <m:r>
          <m:t>z</m:t>
        </m:r>
      </m:oMath>
      <w:r>
        <w:t xml:space="preserve">-statistic</w:t>
      </w:r>
    </w:p>
    <w:p>
      <w:pPr>
        <w:pStyle w:val="BodyText"/>
      </w:pPr>
      <m:oMathPara>
        <m:oMathParaPr>
          <m:jc m:val="center"/>
        </m:oMathParaPr>
        <m:oMath>
          <m:r>
            <m:t>z</m:t>
          </m:r>
          <m:r>
            <m:rPr>
              <m:sty m:val="p"/>
            </m:rPr>
            <m:t>=</m:t>
          </m:r>
          <m:f>
            <m:fPr>
              <m:type m:val="bar"/>
            </m:fPr>
            <m:num>
              <m:r>
                <m:t>X</m:t>
              </m:r>
              <m:r>
                <m:rPr>
                  <m:sty m:val="p"/>
                </m:rPr>
                <m:t>−</m:t>
              </m:r>
              <m:r>
                <m:t>γ</m:t>
              </m:r>
              <m:r>
                <m:t>T</m:t>
              </m:r>
            </m:num>
            <m:den>
              <m:rad>
                <m:radPr>
                  <m:degHide m:val="on"/>
                </m:radPr>
                <m:deg/>
                <m:e>
                  <m:r>
                    <m:t>T</m:t>
                  </m:r>
                  <m:r>
                    <m:t>γ</m:t>
                  </m:r>
                  <m:r>
                    <m:rPr>
                      <m:sty m:val="p"/>
                    </m:rPr>
                    <m:t>(</m:t>
                  </m:r>
                  <m:r>
                    <m:t>1</m:t>
                  </m:r>
                  <m:r>
                    <m:rPr>
                      <m:sty m:val="p"/>
                    </m:rPr>
                    <m:t>−</m:t>
                  </m:r>
                  <m:r>
                    <m:t>γ</m:t>
                  </m:r>
                  <m:r>
                    <m:rPr>
                      <m:sty m:val="p"/>
                    </m:rPr>
                    <m:t>)</m:t>
                  </m:r>
                </m:e>
              </m:rad>
            </m:den>
          </m:f>
        </m:oMath>
      </m:oMathPara>
    </w:p>
    <w:p>
      <w:pPr>
        <w:pStyle w:val="FirstParagraph"/>
      </w:pPr>
      <w:r>
        <w:t xml:space="preserve">is compared to a threshold</w:t>
      </w:r>
      <w:r>
        <w:t xml:space="preserve"> </w:t>
      </w:r>
      <m:oMath>
        <m:r>
          <m:t>τ</m:t>
        </m:r>
      </m:oMath>
      <w:r>
        <w:t xml:space="preserve"> </w:t>
      </w:r>
      <w:r>
        <w:t xml:space="preserve">chosen to enforce a target false-positive rate. We calibrate</w:t>
      </w:r>
      <w:r>
        <w:t xml:space="preserve"> </w:t>
      </w:r>
      <m:oMath>
        <m:r>
          <m:t>τ</m:t>
        </m:r>
      </m:oMath>
      <w:r>
        <w:t xml:space="preserve"> </w:t>
      </w:r>
      <w:r>
        <w:t xml:space="preserve">empirically as the</w:t>
      </w:r>
      <w:r>
        <w:t xml:space="preserve"> </w:t>
      </w:r>
      <m:oMath>
        <m:sSup>
          <m:e>
            <m:r>
              <m:t>99</m:t>
            </m:r>
          </m:e>
          <m:sup>
            <m:r>
              <m:rPr>
                <m:nor/>
                <m:sty m:val="p"/>
              </m:rPr>
              <m:t>th</m:t>
            </m:r>
          </m:sup>
        </m:sSup>
      </m:oMath>
      <w:r>
        <w:t xml:space="preserve"> </w:t>
      </w:r>
      <w:r>
        <w:t xml:space="preserve">percentile of</w:t>
      </w:r>
      <w:r>
        <w:t xml:space="preserve"> </w:t>
      </w:r>
      <m:oMath>
        <m:r>
          <m:t>z</m:t>
        </m:r>
      </m:oMath>
      <w:r>
        <w:t xml:space="preserve">-scores on a held-out unwatermarked control set, giving exactly</w:t>
      </w:r>
      <w:r>
        <w:t xml:space="preserve"> </w:t>
      </w:r>
      <m:oMath>
        <m:r>
          <m:t>1</m:t>
        </m:r>
        <m:r>
          <m:rPr>
            <m:sty m:val="p"/>
          </m:rPr>
          <m:t>%</m:t>
        </m:r>
      </m:oMath>
      <w:r>
        <w:t xml:space="preserve"> </w:t>
      </w:r>
      <w:r>
        <w:t xml:space="preserve">FPR.</w:t>
      </w:r>
    </w:p>
    <w:bookmarkEnd w:id="12"/>
    <w:bookmarkStart w:id="17" w:name="pipeline-overview"/>
    <w:p>
      <w:pPr>
        <w:pStyle w:val="Heading2"/>
      </w:pPr>
      <w:r>
        <w:t xml:space="preserve">Pipeline overview</w:t>
      </w:r>
    </w:p>
    <w:p>
      <w:pPr>
        <w:pStyle w:val="FirstParagraph"/>
      </w:pPr>
      <w:r>
        <w:t xml:space="preserve">Figure </w:t>
      </w:r>
      <w:hyperlink w:anchor="fig:method">
        <w:r>
          <w:rPr>
            <w:rStyle w:val="Hyperlink"/>
          </w:rPr>
          <w:t xml:space="preserve">1</w:t>
        </w:r>
      </w:hyperlink>
      <w:r>
        <w:t xml:space="preserve"> </w:t>
      </w:r>
      <w:r>
        <w:t xml:space="preserve">summarises the two-sided pipeline. Generation is a single forward pass with the logit processor active. Detection is a CPU-only post-hoc operation that requires only the secret seed.</w:t>
      </w:r>
    </w:p>
    <w:bookmarkStart w:id="16" w:name="fig:method"/>
    <w:p>
      <w:pPr>
        <w:pStyle w:val="CaptionedFigure"/>
      </w:pPr>
      <w:r>
        <w:drawing>
          <wp:inline>
            <wp:extent cx="5334000" cy="2306363"/>
            <wp:effectExtent b="0" l="0" r="0" t="0"/>
            <wp:docPr descr="" title="" id="14" name="Picture"/>
            <a:graphic>
              <a:graphicData uri="http://schemas.openxmlformats.org/drawingml/2006/picture">
                <pic:pic>
                  <pic:nvPicPr>
                    <pic:cNvPr descr="figures/fig1_method.png" id="15" name="Picture"/>
                    <pic:cNvPicPr>
                      <a:picLocks noChangeArrowheads="1" noChangeAspect="1"/>
                    </pic:cNvPicPr>
                  </pic:nvPicPr>
                  <pic:blipFill>
                    <a:blip r:embed="rId13"/>
                    <a:stretch>
                      <a:fillRect/>
                    </a:stretch>
                  </pic:blipFill>
                  <pic:spPr bwMode="auto">
                    <a:xfrm>
                      <a:off x="0" y="0"/>
                      <a:ext cx="5334000" cy="2306363"/>
                    </a:xfrm>
                    <a:prstGeom prst="rect">
                      <a:avLst/>
                    </a:prstGeom>
                    <a:noFill/>
                    <a:ln w="9525">
                      <a:noFill/>
                      <a:headEnd/>
                      <a:tailEnd/>
                    </a:ln>
                  </pic:spPr>
                </pic:pic>
              </a:graphicData>
            </a:graphic>
          </wp:inline>
        </w:drawing>
      </w:r>
    </w:p>
    <w:p>
      <w:pPr>
        <w:pStyle w:val="ImageCaption"/>
      </w:pPr>
      <w:r>
        <w:t xml:space="preserve">Two-sided pipeline of the green-list logit-bias watermark.</w:t>
      </w:r>
    </w:p>
    <w:bookmarkEnd w:id="16"/>
    <w:bookmarkEnd w:id="17"/>
    <w:bookmarkEnd w:id="18"/>
    <w:bookmarkStart w:id="48" w:name="sec:experiments"/>
    <w:p>
      <w:pPr>
        <w:pStyle w:val="Heading1"/>
      </w:pPr>
      <w:r>
        <w:t xml:space="preserve">Experiments</w:t>
      </w:r>
    </w:p>
    <w:bookmarkStart w:id="19" w:name="models-and-data"/>
    <w:p>
      <w:pPr>
        <w:pStyle w:val="Heading2"/>
      </w:pPr>
      <w:r>
        <w:t xml:space="preserve">Models and data</w:t>
      </w:r>
    </w:p>
    <w:p>
      <w:pPr>
        <w:pStyle w:val="FirstParagraph"/>
      </w:pPr>
      <w:r>
        <w:t xml:space="preserve">We run the primary headline experiments on</w:t>
      </w:r>
      <w:r>
        <w:t xml:space="preserve"> </w:t>
      </w:r>
      <w:r>
        <w:rPr>
          <w:b/>
          <w:bCs/>
        </w:rPr>
        <w:t xml:space="preserve">Gemma 2 9B Instruct</w:t>
      </w:r>
      <w:r>
        <w:t xml:space="preserve"> </w:t>
      </w:r>
      <w:r>
        <w:t xml:space="preserve">(Gemma Team, Google DeepMind 2024)</w:t>
      </w:r>
      <w:r>
        <w:t xml:space="preserve"> </w:t>
      </w:r>
      <w:r>
        <w:t xml:space="preserve">and verify cross-architecture generalisation on</w:t>
      </w:r>
      <w:r>
        <w:t xml:space="preserve"> </w:t>
      </w:r>
      <w:r>
        <w:rPr>
          <w:b/>
          <w:bCs/>
        </w:rPr>
        <w:t xml:space="preserve">LLaMA 3.1 8B Instruct</w:t>
      </w:r>
      <w:r>
        <w:t xml:space="preserve"> </w:t>
      </w:r>
      <w:r>
        <w:t xml:space="preserve">(Meta AI 2024)</w:t>
      </w:r>
      <w:r>
        <w:t xml:space="preserve">. Both models are 7–9B parameter instruction-tuned decoders with distinct tokenisers and pre-training data, and neither was benchmarked in the original Kirchenbauer paper. The original proposal targeted Gemma 3 4B; we substituted Gemma 2 9B because the public HuggingFace</w:t>
      </w:r>
      <w:r>
        <w:t xml:space="preserve"> </w:t>
      </w:r>
      <w:r>
        <w:rPr>
          <w:rStyle w:val="VerbatimChar"/>
        </w:rPr>
        <w:t xml:space="preserve">transformers</w:t>
      </w:r>
      <w:r>
        <w:t xml:space="preserve"> </w:t>
      </w:r>
      <w:r>
        <w:t xml:space="preserve">loader treats Gemma 3 as a multimodal vision/language class (</w:t>
      </w:r>
      <w:r>
        <w:rPr>
          <w:rStyle w:val="VerbatimChar"/>
        </w:rPr>
        <w:t xml:space="preserve">Gemma3ForConditionalGeneration</w:t>
      </w:r>
      <w:r>
        <w:t xml:space="preserve">) for which text-only generation produces NaN logits and crashes the sampler. Once the watermark code was confirmed working on Gemma 2 and LLaMA, the failure was isolated to the loader rather than our pipeline. We declined to spend further GPU time on the workaround. The full diagnosis is in §</w:t>
      </w:r>
      <w:hyperlink w:anchor="sec:gemma-failure">
        <w:r>
          <w:rPr>
            <w:rStyle w:val="Hyperlink"/>
          </w:rPr>
          <w:t xml:space="preserve">3.8</w:t>
        </w:r>
      </w:hyperlink>
      <w:r>
        <w:t xml:space="preserve">.</w:t>
      </w:r>
    </w:p>
    <w:p>
      <w:pPr>
        <w:pStyle w:val="BodyText"/>
      </w:pPr>
      <w:r>
        <w:t xml:space="preserve">The corpus follows the proposal: roughly 150 prompts from each of three datasets, namely CNN/DailyMail summarisation </w:t>
      </w:r>
      <w:r>
        <w:t xml:space="preserve">(See et al. 2017)</w:t>
      </w:r>
      <w:r>
        <w:t xml:space="preserve">, WritingPrompts open-ended generation </w:t>
      </w:r>
      <w:r>
        <w:t xml:space="preserve">(Fan et al. 2018)</w:t>
      </w:r>
      <w:r>
        <w:t xml:space="preserve">, and TriviaQA question-answering </w:t>
      </w:r>
      <w:r>
        <w:t xml:space="preserve">(Joshi et al. 2017)</w:t>
      </w:r>
      <w:r>
        <w:t xml:space="preserve">. This yields 201 paired (watermarked, control) generations per model at</w:t>
      </w:r>
      <w:r>
        <w:t xml:space="preserve"> </w:t>
      </w:r>
      <m:oMath>
        <m:r>
          <m:t>δ</m:t>
        </m:r>
        <m:r>
          <m:rPr>
            <m:sty m:val="p"/>
          </m:rPr>
          <m:t>=</m:t>
        </m:r>
        <m:r>
          <m:t>2</m:t>
        </m:r>
      </m:oMath>
      <w:r>
        <w:t xml:space="preserve">,</w:t>
      </w:r>
      <w:r>
        <w:t xml:space="preserve"> </w:t>
      </w:r>
      <m:oMath>
        <m:r>
          <m:t>γ</m:t>
        </m:r>
        <m:r>
          <m:rPr>
            <m:sty m:val="p"/>
          </m:rPr>
          <m:t>=</m:t>
        </m:r>
        <m:r>
          <m:t>0.5</m:t>
        </m:r>
      </m:oMath>
      <w:r>
        <w:t xml:space="preserve">, with</w:t>
      </w:r>
      <w:r>
        <w:t xml:space="preserve"> </w:t>
      </w:r>
      <m:oMath>
        <m:r>
          <m:rPr>
            <m:sty m:val="p"/>
          </m:rPr>
          <m:t>max</m:t>
        </m:r>
        <m:r>
          <m:rPr>
            <m:sty m:val="p"/>
          </m:rPr>
          <m:t>_</m:t>
        </m:r>
        <m:r>
          <m:rPr>
            <m:nor/>
            <m:sty m:val="p"/>
          </m:rPr>
          <m:t>new_tokens</m:t>
        </m:r>
        <m:r>
          <m:rPr>
            <m:sty m:val="p"/>
          </m:rPr>
          <m:t>=</m:t>
        </m:r>
        <m:r>
          <m:t>200</m:t>
        </m:r>
      </m:oMath>
      <w:r>
        <w:t xml:space="preserve">, temperature</w:t>
      </w:r>
      <w:r>
        <w:t xml:space="preserve"> </w:t>
      </w:r>
      <m:oMath>
        <m:r>
          <m:t>1.0</m:t>
        </m:r>
      </m:oMath>
      <w:r>
        <w:t xml:space="preserve">, top-</w:t>
      </w:r>
      <m:oMath>
        <m:r>
          <m:t>p</m:t>
        </m:r>
      </m:oMath>
      <w:r>
        <w:t xml:space="preserve"> </w:t>
      </w:r>
      <m:oMath>
        <m:r>
          <m:t>0.95</m:t>
        </m:r>
      </m:oMath>
      <w:r>
        <w:t xml:space="preserve">, and shared secret seed</w:t>
      </w:r>
      <w:r>
        <w:t xml:space="preserve"> </w:t>
      </w:r>
      <m:oMath>
        <m:r>
          <m:t>42</m:t>
        </m:r>
      </m:oMath>
      <w:r>
        <w:t xml:space="preserve">.</w:t>
      </w:r>
    </w:p>
    <w:bookmarkEnd w:id="19"/>
    <w:bookmarkStart w:id="20" w:name="metrics"/>
    <w:p>
      <w:pPr>
        <w:pStyle w:val="Heading2"/>
      </w:pPr>
      <w:r>
        <w:t xml:space="preserve">Metrics</w:t>
      </w:r>
    </w:p>
    <w:p>
      <w:pPr>
        <w:pStyle w:val="FirstParagraph"/>
      </w:pPr>
      <w:r>
        <w:rPr>
          <w:b/>
          <w:bCs/>
        </w:rPr>
        <w:t xml:space="preserve">Detectability.</w:t>
      </w:r>
      <w:r>
        <w:t xml:space="preserve"> </w:t>
      </w:r>
      <w:r>
        <w:t xml:space="preserve">For each model we report TPR at</w:t>
      </w:r>
      <w:r>
        <w:t xml:space="preserve"> </w:t>
      </w:r>
      <m:oMath>
        <m:r>
          <m:t>1</m:t>
        </m:r>
        <m:r>
          <m:rPr>
            <m:sty m:val="p"/>
          </m:rPr>
          <m:t>%</m:t>
        </m:r>
      </m:oMath>
      <w:r>
        <w:t xml:space="preserve"> </w:t>
      </w:r>
      <w:r>
        <w:t xml:space="preserve">FPR. The threshold</w:t>
      </w:r>
      <w:r>
        <w:t xml:space="preserve"> </w:t>
      </w:r>
      <m:oMath>
        <m:r>
          <m:t>τ</m:t>
        </m:r>
      </m:oMath>
      <w:r>
        <w:t xml:space="preserve"> </w:t>
      </w:r>
      <w:r>
        <w:t xml:space="preserve">is calibrated as the</w:t>
      </w:r>
      <w:r>
        <w:t xml:space="preserve"> </w:t>
      </w:r>
      <m:oMath>
        <m:sSup>
          <m:e>
            <m:r>
              <m:t>99</m:t>
            </m:r>
          </m:e>
          <m:sup>
            <m:r>
              <m:rPr>
                <m:nor/>
                <m:sty m:val="p"/>
              </m:rPr>
              <m:t>th</m:t>
            </m:r>
          </m:sup>
        </m:sSup>
      </m:oMath>
      <w:r>
        <w:t xml:space="preserve"> </w:t>
      </w:r>
      <w:r>
        <w:t xml:space="preserve">percentile of</w:t>
      </w:r>
      <w:r>
        <w:t xml:space="preserve"> </w:t>
      </w:r>
      <m:oMath>
        <m:r>
          <m:t>z</m:t>
        </m:r>
      </m:oMath>
      <w:r>
        <w:t xml:space="preserve">-scores on the unwatermarked half of the same corpus, then frozen for downstream tests. We report TPR both over all completions and restricted to</w:t>
      </w:r>
      <w:r>
        <w:t xml:space="preserve"> </w:t>
      </w:r>
      <m:oMath>
        <m:r>
          <m:rPr>
            <m:sty m:val="p"/>
          </m:rPr>
          <m:t>≥</m:t>
        </m:r>
        <m:r>
          <m:t>​</m:t>
        </m:r>
        <m:r>
          <m:t>150</m:t>
        </m:r>
      </m:oMath>
      <w:r>
        <w:t xml:space="preserve"> </w:t>
      </w:r>
      <w:r>
        <w:t xml:space="preserve">tokens, the regime the original paper identifies as practical.</w:t>
      </w:r>
    </w:p>
    <w:p>
      <w:pPr>
        <w:pStyle w:val="BodyText"/>
      </w:pPr>
      <w:r>
        <w:rPr>
          <w:b/>
          <w:bCs/>
        </w:rPr>
        <w:t xml:space="preserve">Quality.</w:t>
      </w:r>
      <w:r>
        <w:t xml:space="preserve"> </w:t>
      </w:r>
      <w:r>
        <w:t xml:space="preserve">We compute reference perplexity under GPT-2 </w:t>
      </w:r>
      <w:r>
        <w:t xml:space="preserve">(Radford et al. 2019)</w:t>
      </w:r>
      <w:r>
        <w:t xml:space="preserve"> </w:t>
      </w:r>
      <w:r>
        <w:t xml:space="preserve">for each completion, and we report the wm/uwm ratio. GPT-2 is a small</w:t>
      </w:r>
      <w:r>
        <w:t xml:space="preserve"> </w:t>
      </w:r>
      <w:r>
        <w:rPr>
          <w:i/>
          <w:iCs/>
        </w:rPr>
        <w:t xml:space="preserve">independent</w:t>
      </w:r>
      <w:r>
        <w:t xml:space="preserve"> </w:t>
      </w:r>
      <w:r>
        <w:t xml:space="preserve">scorer, not biased by either generation model. Lower is better;</w:t>
      </w:r>
      <w:r>
        <w:t xml:space="preserve"> </w:t>
      </w:r>
      <m:oMath>
        <m:r>
          <m:t>1.0</m:t>
        </m:r>
      </m:oMath>
      <w:r>
        <w:t xml:space="preserve"> </w:t>
      </w:r>
      <w:r>
        <w:t xml:space="preserve">is indistinguishable from unwatermarked.</w:t>
      </w:r>
    </w:p>
    <w:p>
      <w:pPr>
        <w:pStyle w:val="BodyText"/>
      </w:pPr>
      <w:r>
        <w:rPr>
          <w:b/>
          <w:bCs/>
        </w:rPr>
        <w:t xml:space="preserve">Robustness.</w:t>
      </w:r>
      <w:r>
        <w:t xml:space="preserve"> </w:t>
      </w:r>
      <w:r>
        <w:t xml:space="preserve">We perturb each watermarked sample under five attacks: random word substitution at</w:t>
      </w:r>
      <w:r>
        <w:t xml:space="preserve"> </w:t>
      </w:r>
      <m:oMath>
        <m:r>
          <m:rPr>
            <m:sty m:val="p"/>
          </m:rPr>
          <m:t>{</m:t>
        </m:r>
        <m:r>
          <m:t>5</m:t>
        </m:r>
        <m:r>
          <m:rPr>
            <m:sty m:val="p"/>
          </m:rPr>
          <m:t>,</m:t>
        </m:r>
        <m:r>
          <m:t>10</m:t>
        </m:r>
        <m:r>
          <m:rPr>
            <m:sty m:val="p"/>
          </m:rPr>
          <m:t>,</m:t>
        </m:r>
        <m:r>
          <m:t>15</m:t>
        </m:r>
        <m:r>
          <m:rPr>
            <m:sty m:val="p"/>
          </m:rPr>
          <m:t>,</m:t>
        </m:r>
        <m:r>
          <m:t>20</m:t>
        </m:r>
        <m:r>
          <m:rPr>
            <m:sty m:val="p"/>
          </m:rPr>
          <m:t>}</m:t>
        </m:r>
        <m:r>
          <m:rPr>
            <m:sty m:val="p"/>
          </m:rPr>
          <m:t>%</m:t>
        </m:r>
      </m:oMath>
      <w:r>
        <w:t xml:space="preserve">, plus</w:t>
      </w:r>
      <w:r>
        <w:t xml:space="preserve"> </w:t>
      </w:r>
      <m:oMath>
        <m:r>
          <m:t>10</m:t>
        </m:r>
        <m:r>
          <m:rPr>
            <m:sty m:val="p"/>
          </m:rPr>
          <m:t>%</m:t>
        </m:r>
      </m:oMath>
      <w:r>
        <w:t xml:space="preserve"> </w:t>
      </w:r>
      <w:r>
        <w:t xml:space="preserve">token insertion and</w:t>
      </w:r>
      <w:r>
        <w:t xml:space="preserve"> </w:t>
      </w:r>
      <m:oMath>
        <m:r>
          <m:t>10</m:t>
        </m:r>
        <m:r>
          <m:rPr>
            <m:sty m:val="p"/>
          </m:rPr>
          <m:t>%</m:t>
        </m:r>
      </m:oMath>
      <w:r>
        <w:t xml:space="preserve"> </w:t>
      </w:r>
      <w:r>
        <w:t xml:space="preserve">token deletion. After perturbation we re-tokenise, re-score, and report TPR at the same fixed threshold. The frozen-threshold protocol matches the original paper and ensures that we are measuring the watermark’s resilience and not re-tuning the detector against each attack.</w:t>
      </w:r>
    </w:p>
    <w:p>
      <w:pPr>
        <w:pStyle w:val="BodyText"/>
      </w:pPr>
      <w:r>
        <w:rPr>
          <w:b/>
          <w:bCs/>
        </w:rPr>
        <w:t xml:space="preserve">Detectability/quality tradeoff.</w:t>
      </w:r>
      <w:r>
        <w:t xml:space="preserve"> </w:t>
      </w:r>
      <w:r>
        <w:t xml:space="preserve">A separate sweep generates corpora at</w:t>
      </w:r>
      <w:r>
        <w:t xml:space="preserve"> </w:t>
      </w:r>
      <m:oMath>
        <m:r>
          <m:t>δ</m:t>
        </m:r>
        <m:r>
          <m:t>​</m:t>
        </m:r>
        <m:r>
          <m:rPr>
            <m:sty m:val="p"/>
          </m:rPr>
          <m:t>∈</m:t>
        </m:r>
        <m:r>
          <m:t>​</m:t>
        </m:r>
        <m:r>
          <m:rPr>
            <m:sty m:val="p"/>
          </m:rPr>
          <m:t>{</m:t>
        </m:r>
        <m:r>
          <m:t>0.5</m:t>
        </m:r>
        <m:r>
          <m:rPr>
            <m:sty m:val="p"/>
          </m:rPr>
          <m:t>,</m:t>
        </m:r>
        <m:r>
          <m:t>1</m:t>
        </m:r>
        <m:r>
          <m:rPr>
            <m:sty m:val="p"/>
          </m:rPr>
          <m:t>,</m:t>
        </m:r>
        <m:r>
          <m:t>2</m:t>
        </m:r>
        <m:r>
          <m:rPr>
            <m:sty m:val="p"/>
          </m:rPr>
          <m:t>,</m:t>
        </m:r>
        <m:r>
          <m:t>4</m:t>
        </m:r>
        <m:r>
          <m:rPr>
            <m:sty m:val="p"/>
          </m:rPr>
          <m:t>,</m:t>
        </m:r>
        <m:r>
          <m:t>8</m:t>
        </m:r>
        <m:r>
          <m:rPr>
            <m:sty m:val="p"/>
          </m:rPr>
          <m:t>}</m:t>
        </m:r>
      </m:oMath>
      <w:r>
        <w:t xml:space="preserve"> </w:t>
      </w:r>
      <w:r>
        <w:t xml:space="preserve">on a fixed 100-prompt subset and reports TPR and PPL at each</w:t>
      </w:r>
      <w:r>
        <w:t xml:space="preserve"> </w:t>
      </w:r>
      <m:oMath>
        <m:r>
          <m:t>δ</m:t>
        </m:r>
      </m:oMath>
      <w:r>
        <w:t xml:space="preserve">.</w:t>
      </w:r>
    </w:p>
    <w:bookmarkEnd w:id="20"/>
    <w:bookmarkStart w:id="26" w:name="sec:headline"/>
    <w:p>
      <w:pPr>
        <w:pStyle w:val="Heading2"/>
      </w:pPr>
      <w:r>
        <w:t xml:space="preserve">Headline detection results</w:t>
      </w:r>
    </w:p>
    <w:p>
      <w:pPr>
        <w:pStyle w:val="FirstParagraph"/>
      </w:pPr>
      <w:r>
        <w:t xml:space="preserve">Figure </w:t>
      </w:r>
      <w:hyperlink w:anchor="fig:zscore">
        <w:r>
          <w:rPr>
            <w:rStyle w:val="Hyperlink"/>
          </w:rPr>
          <w:t xml:space="preserve">2</w:t>
        </w:r>
      </w:hyperlink>
      <w:r>
        <w:t xml:space="preserve"> </w:t>
      </w:r>
      <w:r>
        <w:t xml:space="preserve">shows the</w:t>
      </w:r>
      <w:r>
        <w:t xml:space="preserve"> </w:t>
      </w:r>
      <m:oMath>
        <m:r>
          <m:t>z</m:t>
        </m:r>
      </m:oMath>
      <w:r>
        <w:t xml:space="preserve">-score distributions for the watermarked and unwatermarked halves of the Gemma corpus, with the calibrated threshold</w:t>
      </w:r>
      <w:r>
        <w:t xml:space="preserve"> </w:t>
      </w:r>
      <m:oMath>
        <m:r>
          <m:t>τ</m:t>
        </m:r>
        <m:r>
          <m:rPr>
            <m:sty m:val="p"/>
          </m:rPr>
          <m:t>=</m:t>
        </m:r>
        <m:r>
          <m:t>1.77</m:t>
        </m:r>
      </m:oMath>
      <w:r>
        <w:t xml:space="preserve"> </w:t>
      </w:r>
      <w:r>
        <w:t xml:space="preserve">marked. The two populations are nearly fully separable. The unwatermarked distribution concentrates around</w:t>
      </w:r>
      <w:r>
        <w:t xml:space="preserve"> </w:t>
      </w:r>
      <m:oMath>
        <m:r>
          <m:t>z</m:t>
        </m:r>
        <m:r>
          <m:t>​</m:t>
        </m:r>
        <m:r>
          <m:rPr>
            <m:sty m:val="p"/>
          </m:rPr>
          <m:t>≈</m:t>
        </m:r>
        <m:r>
          <m:t>​</m:t>
        </m:r>
        <m:r>
          <m:t>0</m:t>
        </m:r>
      </m:oMath>
      <w:r>
        <w:t xml:space="preserve"> </w:t>
      </w:r>
      <w:r>
        <w:t xml:space="preserve">as the binomial null predicts, while the watermarked distribution is shifted to a mean</w:t>
      </w:r>
      <w:r>
        <w:t xml:space="preserve"> </w:t>
      </w:r>
      <m:oMath>
        <m:r>
          <m:t>z</m:t>
        </m:r>
      </m:oMath>
      <w:r>
        <w:t xml:space="preserve"> </w:t>
      </w:r>
      <w:r>
        <w:t xml:space="preserve">of about</w:t>
      </w:r>
      <w:r>
        <w:t xml:space="preserve"> </w:t>
      </w:r>
      <m:oMath>
        <m:r>
          <m:t>4.4</m:t>
        </m:r>
      </m:oMath>
      <w:r>
        <w:t xml:space="preserve">. We measure</w:t>
      </w:r>
      <w:r>
        <w:t xml:space="preserve"> </w:t>
      </w:r>
      <m:oMath>
        <m:r>
          <m:rPr>
            <m:sty m:val="p"/>
          </m:rPr>
          <m:t>T</m:t>
        </m:r>
        <m:r>
          <m:rPr>
            <m:sty m:val="p"/>
          </m:rPr>
          <m:t>P</m:t>
        </m:r>
        <m:r>
          <m:rPr>
            <m:sty m:val="p"/>
          </m:rPr>
          <m:t>R</m:t>
        </m:r>
        <m:r>
          <m:rPr>
            <m:sty m:val="p"/>
          </m:rPr>
          <m:t>@</m:t>
        </m:r>
        <m:r>
          <m:t>1</m:t>
        </m:r>
        <m:r>
          <m:rPr>
            <m:sty m:val="p"/>
          </m:rPr>
          <m:t>%</m:t>
        </m:r>
        <m:r>
          <m:rPr>
            <m:sty m:val="p"/>
          </m:rPr>
          <m:t>F</m:t>
        </m:r>
        <m:r>
          <m:rPr>
            <m:sty m:val="p"/>
          </m:rPr>
          <m:t>P</m:t>
        </m:r>
        <m:r>
          <m:rPr>
            <m:sty m:val="p"/>
          </m:rPr>
          <m:t>R</m:t>
        </m:r>
        <m:r>
          <m:rPr>
            <m:sty m:val="p"/>
          </m:rPr>
          <m:t>=</m:t>
        </m:r>
        <m:r>
          <m:t>90.0</m:t>
        </m:r>
        <m:r>
          <m:rPr>
            <m:sty m:val="p"/>
          </m:rPr>
          <m:t>%</m:t>
        </m:r>
      </m:oMath>
      <w:r>
        <w:t xml:space="preserve"> </w:t>
      </w:r>
      <w:r>
        <w:t xml:space="preserve">over all lengths and</w:t>
      </w:r>
      <w:r>
        <w:t xml:space="preserve"> </w:t>
      </w:r>
      <m:oMath>
        <m:r>
          <m:t>98.7</m:t>
        </m:r>
        <m:r>
          <m:rPr>
            <m:sty m:val="p"/>
          </m:rPr>
          <m:t>%</m:t>
        </m:r>
      </m:oMath>
      <w:r>
        <w:t xml:space="preserve"> </w:t>
      </w:r>
      <w:r>
        <w:t xml:space="preserve">on the</w:t>
      </w:r>
      <w:r>
        <w:t xml:space="preserve"> </w:t>
      </w:r>
      <m:oMath>
        <m:r>
          <m:rPr>
            <m:sty m:val="p"/>
          </m:rPr>
          <m:t>≥</m:t>
        </m:r>
        <m:r>
          <m:t>​</m:t>
        </m:r>
        <m:r>
          <m:t>150</m:t>
        </m:r>
      </m:oMath>
      <w:r>
        <w:t xml:space="preserve">-token subset. Quality is preserved: GPT-2 perplexity on watermarked completions is</w:t>
      </w:r>
      <w:r>
        <w:t xml:space="preserve"> </w:t>
      </w:r>
      <m:oMath>
        <m:r>
          <m:t>28.2</m:t>
        </m:r>
      </m:oMath>
      <w:r>
        <w:t xml:space="preserve"> </w:t>
      </w:r>
      <w:r>
        <w:t xml:space="preserve">on average vs. </w:t>
      </w:r>
      <m:oMath>
        <m:r>
          <m:t>25.8</m:t>
        </m:r>
      </m:oMath>
      <w:r>
        <w:t xml:space="preserve"> </w:t>
      </w:r>
      <w:r>
        <w:t xml:space="preserve">for unwatermarked, a</w:t>
      </w:r>
      <w:r>
        <w:t xml:space="preserve"> </w:t>
      </w:r>
      <m:oMath>
        <m:r>
          <m:t>9</m:t>
        </m:r>
        <m:r>
          <m:rPr>
            <m:sty m:val="p"/>
          </m:rPr>
          <m:t>%</m:t>
        </m:r>
      </m:oMath>
      <w:r>
        <w:t xml:space="preserve"> </w:t>
      </w:r>
      <w:r>
        <w:t xml:space="preserve">relative increase.</w:t>
      </w:r>
    </w:p>
    <w:bookmarkStart w:id="25" w:name="qualitative-example."/>
    <w:p>
      <w:pPr>
        <w:pStyle w:val="Heading4"/>
      </w:pPr>
      <w:r>
        <w:t xml:space="preserve">Qualitative example.</w:t>
      </w:r>
    </w:p>
    <w:p>
      <w:pPr>
        <w:pStyle w:val="FirstParagraph"/>
      </w:pPr>
      <w:r>
        <w:t xml:space="preserve">The two corpora are statistically distinguishable but stylistically interchangeable. On a 200-token WritingPrompts continuation, the unwatermarked completion (</w:t>
      </w:r>
      <w:r>
        <w:rPr>
          <w:i/>
          <w:iCs/>
        </w:rPr>
        <w:t xml:space="preserve">“We’re not jumping through space, Dr. Lee…We’re jumping through realities”</w:t>
      </w:r>
      <w:r>
        <w:t xml:space="preserve">,</w:t>
      </w:r>
      <w:r>
        <w:t xml:space="preserve"> </w:t>
      </w:r>
      <m:oMath>
        <m:r>
          <m:t>z</m:t>
        </m:r>
        <m:r>
          <m:rPr>
            <m:sty m:val="p"/>
          </m:rPr>
          <m:t>=</m:t>
        </m:r>
        <m:r>
          <m:t>0.50</m:t>
        </m:r>
      </m:oMath>
      <w:r>
        <w:t xml:space="preserve">) and the watermarked completion (</w:t>
      </w:r>
      <w:r>
        <w:rPr>
          <w:i/>
          <w:iCs/>
        </w:rPr>
        <w:t xml:space="preserve">“The tremor that resonated through my bones told me the jump was complete”</w:t>
      </w:r>
      <w:r>
        <w:t xml:space="preserve">,</w:t>
      </w:r>
      <w:r>
        <w:t xml:space="preserve"> </w:t>
      </w:r>
      <m:oMath>
        <m:r>
          <m:t>z</m:t>
        </m:r>
        <m:r>
          <m:rPr>
            <m:sty m:val="p"/>
          </m:rPr>
          <m:t>=</m:t>
        </m:r>
        <m:r>
          <m:t>7.02</m:t>
        </m:r>
      </m:oMath>
      <w:r>
        <w:t xml:space="preserve">) read as equally fluent on inspection. The shift in green-list density that yields the</w:t>
      </w:r>
      <w:r>
        <w:t xml:space="preserve"> </w:t>
      </w:r>
      <m:oMath>
        <m:r>
          <m:t>7</m:t>
        </m:r>
        <m:r>
          <m:t>σ</m:t>
        </m:r>
      </m:oMath>
      <w:r>
        <w:t xml:space="preserve"> </w:t>
      </w:r>
      <w:r>
        <w:t xml:space="preserve">signal is invisible at the surface, which is what the scheme is designed for.</w:t>
      </w:r>
    </w:p>
    <w:bookmarkStart w:id="24" w:name="fig:zscore"/>
    <w:p>
      <w:pPr>
        <w:pStyle w:val="CaptionedFigure"/>
      </w:pPr>
      <w:r>
        <w:drawing>
          <wp:inline>
            <wp:extent cx="5334000" cy="2100919"/>
            <wp:effectExtent b="0" l="0" r="0" t="0"/>
            <wp:docPr descr="" title="" id="22" name="Picture"/>
            <a:graphic>
              <a:graphicData uri="http://schemas.openxmlformats.org/drawingml/2006/picture">
                <pic:pic>
                  <pic:nvPicPr>
                    <pic:cNvPr descr="figures/fig2_zscore_hist.pdf" id="23" name="Picture"/>
                    <pic:cNvPicPr>
                      <a:picLocks noChangeArrowheads="1" noChangeAspect="1"/>
                    </pic:cNvPicPr>
                  </pic:nvPicPr>
                  <pic:blipFill>
                    <a:blip r:embed="rId21"/>
                    <a:stretch>
                      <a:fillRect/>
                    </a:stretch>
                  </pic:blipFill>
                  <pic:spPr bwMode="auto">
                    <a:xfrm>
                      <a:off x="0" y="0"/>
                      <a:ext cx="5334000" cy="2100919"/>
                    </a:xfrm>
                    <a:prstGeom prst="rect">
                      <a:avLst/>
                    </a:prstGeom>
                    <a:noFill/>
                    <a:ln w="9525">
                      <a:noFill/>
                      <a:headEnd/>
                      <a:tailEnd/>
                    </a:ln>
                  </pic:spPr>
                </pic:pic>
              </a:graphicData>
            </a:graphic>
          </wp:inline>
        </w:drawing>
      </w:r>
    </w:p>
    <w:p>
      <w:pPr>
        <w:pStyle w:val="ImageCaption"/>
      </w:pPr>
      <w:r>
        <w:rPr>
          <w:b/>
          <w:bCs/>
        </w:rPr>
        <w:t xml:space="preserve">Detection on Gemma 2 9B.</w:t>
      </w:r>
      <w:r>
        <w:t xml:space="preserve"> </w:t>
      </w:r>
      <w:r>
        <w:t xml:space="preserve">Left:</w:t>
      </w:r>
      <w:r>
        <w:t xml:space="preserve"> </w:t>
      </w:r>
      <m:oMath>
        <m:r>
          <m:t>z</m:t>
        </m:r>
      </m:oMath>
      <w:r>
        <w:t xml:space="preserve">-score histograms for watermarked (red) and unwatermarked (blue) completions. Black dashed line is the calibrated threshold</w:t>
      </w:r>
      <w:r>
        <w:t xml:space="preserve"> </w:t>
      </w:r>
      <m:oMath>
        <m:r>
          <m:t>τ</m:t>
        </m:r>
        <m:r>
          <m:rPr>
            <m:sty m:val="p"/>
          </m:rPr>
          <m:t>=</m:t>
        </m:r>
        <m:r>
          <m:t>1.77</m:t>
        </m:r>
      </m:oMath>
      <w:r>
        <w:t xml:space="preserve"> </w:t>
      </w:r>
      <w:r>
        <w:t xml:space="preserve">chosen for</w:t>
      </w:r>
      <w:r>
        <w:t xml:space="preserve"> </w:t>
      </w:r>
      <m:oMath>
        <m:r>
          <m:t>1</m:t>
        </m:r>
        <m:r>
          <m:rPr>
            <m:sty m:val="p"/>
          </m:rPr>
          <m:t>%</m:t>
        </m:r>
      </m:oMath>
      <w:r>
        <w:t xml:space="preserve"> </w:t>
      </w:r>
      <w:r>
        <w:t xml:space="preserve">FPR. Right: ROC up to</w:t>
      </w:r>
      <w:r>
        <w:t xml:space="preserve"> </w:t>
      </w:r>
      <m:oMath>
        <m:r>
          <m:rPr>
            <m:sty m:val="p"/>
          </m:rPr>
          <m:t>F</m:t>
        </m:r>
        <m:r>
          <m:rPr>
            <m:sty m:val="p"/>
          </m:rPr>
          <m:t>P</m:t>
        </m:r>
        <m:r>
          <m:rPr>
            <m:sty m:val="p"/>
          </m:rPr>
          <m:t>R</m:t>
        </m:r>
        <m:r>
          <m:rPr>
            <m:sty m:val="p"/>
          </m:rPr>
          <m:t>=</m:t>
        </m:r>
        <m:r>
          <m:t>0.25</m:t>
        </m:r>
      </m:oMath>
      <w:r>
        <w:t xml:space="preserve">.</w:t>
      </w:r>
    </w:p>
    <w:bookmarkEnd w:id="24"/>
    <w:bookmarkEnd w:id="25"/>
    <w:bookmarkEnd w:id="26"/>
    <w:bookmarkStart w:id="31" w:name="detectability-vs.-length"/>
    <w:p>
      <w:pPr>
        <w:pStyle w:val="Heading2"/>
      </w:pPr>
      <w:r>
        <w:t xml:space="preserve">Detectability vs. length</w:t>
      </w:r>
    </w:p>
    <w:p>
      <w:pPr>
        <w:pStyle w:val="FirstParagraph"/>
      </w:pPr>
      <w:r>
        <w:t xml:space="preserve">Figure </w:t>
      </w:r>
      <w:hyperlink w:anchor="fig:length">
        <w:r>
          <w:rPr>
            <w:rStyle w:val="Hyperlink"/>
          </w:rPr>
          <w:t xml:space="preserve">3</w:t>
        </w:r>
      </w:hyperlink>
      <w:r>
        <w:t xml:space="preserve"> </w:t>
      </w:r>
      <w:r>
        <w:t xml:space="preserve">shows TPR as a function of completion length, with</w:t>
      </w:r>
      <w:r>
        <w:t xml:space="preserve"> </w:t>
      </w:r>
      <m:oMath>
        <m:r>
          <m:t>τ</m:t>
        </m:r>
      </m:oMath>
      <w:r>
        <w:t xml:space="preserve"> </w:t>
      </w:r>
      <w:r>
        <w:t xml:space="preserve">re-calibrated per length bin. TPR rises with length, crossing</w:t>
      </w:r>
      <w:r>
        <w:t xml:space="preserve"> </w:t>
      </w:r>
      <m:oMath>
        <m:r>
          <m:t>0.95</m:t>
        </m:r>
      </m:oMath>
      <w:r>
        <w:t xml:space="preserve"> </w:t>
      </w:r>
      <w:r>
        <w:t xml:space="preserve">at 125 tokens and reaching</w:t>
      </w:r>
      <w:r>
        <w:t xml:space="preserve"> </w:t>
      </w:r>
      <m:oMath>
        <m:r>
          <m:t>98.6</m:t>
        </m:r>
        <m:r>
          <m:rPr>
            <m:sty m:val="p"/>
          </m:rPr>
          <m:t>%</m:t>
        </m:r>
      </m:oMath>
      <w:r>
        <w:t xml:space="preserve"> </w:t>
      </w:r>
      <w:r>
        <w:t xml:space="preserve">at 200 tokens, with a small non-monotonic dip at 150 tokens (</w:t>
      </w:r>
      <m:oMath>
        <m:r>
          <m:t>93.0</m:t>
        </m:r>
        <m:r>
          <m:rPr>
            <m:sty m:val="p"/>
          </m:rPr>
          <m:t>%</m:t>
        </m:r>
      </m:oMath>
      <w:r>
        <w:t xml:space="preserve">) attributable to the smaller per-bin sample size. Even at 25 tokens, the length of a single short sentence, the watermark is detectable in</w:t>
      </w:r>
      <w:r>
        <w:t xml:space="preserve"> </w:t>
      </w:r>
      <m:oMath>
        <m:r>
          <m:t>37.7</m:t>
        </m:r>
        <m:r>
          <m:rPr>
            <m:sty m:val="p"/>
          </m:rPr>
          <m:t>%</m:t>
        </m:r>
      </m:oMath>
      <w:r>
        <w:t xml:space="preserve"> </w:t>
      </w:r>
      <w:r>
        <w:t xml:space="preserve">of cases, well above chance. The shape closely mirrors the curve in </w:t>
      </w:r>
      <w:r>
        <w:t xml:space="preserve">(Kirchenbauer et al. 2023)</w:t>
      </w:r>
      <w:r>
        <w:t xml:space="preserve"> </w:t>
      </w:r>
      <w:r>
        <w:t xml:space="preserve">(Fig. 3), confirming that the scheme transfers from OPT-1.3B and LLaMA-1 to instruction-tuned 9B models.</w:t>
      </w:r>
    </w:p>
    <w:bookmarkStart w:id="30" w:name="fig:length"/>
    <w:p>
      <w:pPr>
        <w:pStyle w:val="CaptionedFigure"/>
      </w:pPr>
      <w:r>
        <w:drawing>
          <wp:inline>
            <wp:extent cx="3124200" cy="2286000"/>
            <wp:effectExtent b="0" l="0" r="0" t="0"/>
            <wp:docPr descr="" title="" id="28" name="Picture"/>
            <a:graphic>
              <a:graphicData uri="http://schemas.openxmlformats.org/drawingml/2006/picture">
                <pic:pic>
                  <pic:nvPicPr>
                    <pic:cNvPr descr="figures/fig3_length_curve.pdf" id="29" name="Picture"/>
                    <pic:cNvPicPr>
                      <a:picLocks noChangeArrowheads="1" noChangeAspect="1"/>
                    </pic:cNvPicPr>
                  </pic:nvPicPr>
                  <pic:blipFill>
                    <a:blip r:embed="rId27"/>
                    <a:stretch>
                      <a:fillRect/>
                    </a:stretch>
                  </pic:blipFill>
                  <pic:spPr bwMode="auto">
                    <a:xfrm>
                      <a:off x="0" y="0"/>
                      <a:ext cx="3124200" cy="2286000"/>
                    </a:xfrm>
                    <a:prstGeom prst="rect">
                      <a:avLst/>
                    </a:prstGeom>
                    <a:noFill/>
                    <a:ln w="9525">
                      <a:noFill/>
                      <a:headEnd/>
                      <a:tailEnd/>
                    </a:ln>
                  </pic:spPr>
                </pic:pic>
              </a:graphicData>
            </a:graphic>
          </wp:inline>
        </w:drawing>
      </w:r>
    </w:p>
    <w:p>
      <w:pPr>
        <w:pStyle w:val="ImageCaption"/>
      </w:pPr>
      <w:r>
        <w:rPr>
          <w:b/>
          <w:bCs/>
        </w:rPr>
        <w:t xml:space="preserve">TPR vs. sequence length, Gemma 2 9B.</w:t>
      </w:r>
      <w:r>
        <w:t xml:space="preserve"> </w:t>
      </w:r>
      <w:r>
        <w:t xml:space="preserve">Threshold re-calibrated for</w:t>
      </w:r>
      <w:r>
        <w:t xml:space="preserve"> </w:t>
      </w:r>
      <m:oMath>
        <m:r>
          <m:t>1</m:t>
        </m:r>
        <m:r>
          <m:rPr>
            <m:sty m:val="p"/>
          </m:rPr>
          <m:t>%</m:t>
        </m:r>
      </m:oMath>
      <w:r>
        <w:t xml:space="preserve"> </w:t>
      </w:r>
      <w:r>
        <w:t xml:space="preserve">FPR at each length. The watermark crosses</w:t>
      </w:r>
      <w:r>
        <w:t xml:space="preserve"> </w:t>
      </w:r>
      <m:oMath>
        <m:r>
          <m:t>95</m:t>
        </m:r>
        <m:r>
          <m:rPr>
            <m:sty m:val="p"/>
          </m:rPr>
          <m:t>%</m:t>
        </m:r>
      </m:oMath>
      <w:r>
        <w:t xml:space="preserve"> </w:t>
      </w:r>
      <w:r>
        <w:t xml:space="preserve">TPR at roughly 125 tokens.</w:t>
      </w:r>
    </w:p>
    <w:bookmarkEnd w:id="30"/>
    <w:bookmarkEnd w:id="31"/>
    <w:bookmarkStart w:id="36" w:name="sec:robust"/>
    <w:p>
      <w:pPr>
        <w:pStyle w:val="Heading2"/>
      </w:pPr>
      <w:r>
        <w:t xml:space="preserve">Robustness to surface attacks</w:t>
      </w:r>
    </w:p>
    <w:p>
      <w:pPr>
        <w:pStyle w:val="FirstParagraph"/>
      </w:pPr>
      <w:r>
        <w:t xml:space="preserve">Figure </w:t>
      </w:r>
      <w:hyperlink w:anchor="fig:robust">
        <w:r>
          <w:rPr>
            <w:rStyle w:val="Hyperlink"/>
          </w:rPr>
          <w:t xml:space="preserve">4</w:t>
        </w:r>
      </w:hyperlink>
      <w:r>
        <w:t xml:space="preserve"> </w:t>
      </w:r>
      <w:r>
        <w:t xml:space="preserve">reports TPR (frozen threshold) under each attack. Random word substitution degrades detection roughly linearly. The</w:t>
      </w:r>
      <w:r>
        <w:t xml:space="preserve"> </w:t>
      </w:r>
      <m:oMath>
        <m:r>
          <m:t>5</m:t>
        </m:r>
        <m:r>
          <m:rPr>
            <m:sty m:val="p"/>
          </m:rPr>
          <m:t>%</m:t>
        </m:r>
      </m:oMath>
      <w:r>
        <w:t xml:space="preserve"> </w:t>
      </w:r>
      <w:r>
        <w:t xml:space="preserve">rate drops TPR from</w:t>
      </w:r>
      <w:r>
        <w:t xml:space="preserve"> </w:t>
      </w:r>
      <m:oMath>
        <m:r>
          <m:t>90.0</m:t>
        </m:r>
        <m:r>
          <m:rPr>
            <m:sty m:val="p"/>
          </m:rPr>
          <m:t>%</m:t>
        </m:r>
      </m:oMath>
      <w:r>
        <w:t xml:space="preserve"> </w:t>
      </w:r>
      <w:r>
        <w:t xml:space="preserve">to</w:t>
      </w:r>
      <w:r>
        <w:t xml:space="preserve"> </w:t>
      </w:r>
      <m:oMath>
        <m:r>
          <m:t>85.1</m:t>
        </m:r>
        <m:r>
          <m:rPr>
            <m:sty m:val="p"/>
          </m:rPr>
          <m:t>%</m:t>
        </m:r>
      </m:oMath>
      <w:r>
        <w:t xml:space="preserve">,</w:t>
      </w:r>
      <w:r>
        <w:t xml:space="preserve"> </w:t>
      </w:r>
      <m:oMath>
        <m:r>
          <m:t>10</m:t>
        </m:r>
        <m:r>
          <m:rPr>
            <m:sty m:val="p"/>
          </m:rPr>
          <m:t>%</m:t>
        </m:r>
      </m:oMath>
      <w:r>
        <w:t xml:space="preserve"> </w:t>
      </w:r>
      <w:r>
        <w:t xml:space="preserve">to</w:t>
      </w:r>
      <w:r>
        <w:t xml:space="preserve"> </w:t>
      </w:r>
      <m:oMath>
        <m:r>
          <m:t>83.6</m:t>
        </m:r>
        <m:r>
          <m:rPr>
            <m:sty m:val="p"/>
          </m:rPr>
          <m:t>%</m:t>
        </m:r>
      </m:oMath>
      <w:r>
        <w:t xml:space="preserve">,</w:t>
      </w:r>
      <w:r>
        <w:t xml:space="preserve"> </w:t>
      </w:r>
      <m:oMath>
        <m:r>
          <m:t>15</m:t>
        </m:r>
        <m:r>
          <m:rPr>
            <m:sty m:val="p"/>
          </m:rPr>
          <m:t>%</m:t>
        </m:r>
      </m:oMath>
      <w:r>
        <w:t xml:space="preserve"> </w:t>
      </w:r>
      <w:r>
        <w:t xml:space="preserve">to</w:t>
      </w:r>
      <w:r>
        <w:t xml:space="preserve"> </w:t>
      </w:r>
      <m:oMath>
        <m:r>
          <m:t>79.1</m:t>
        </m:r>
        <m:r>
          <m:rPr>
            <m:sty m:val="p"/>
          </m:rPr>
          <m:t>%</m:t>
        </m:r>
      </m:oMath>
      <w:r>
        <w:t xml:space="preserve">, and</w:t>
      </w:r>
      <w:r>
        <w:t xml:space="preserve"> </w:t>
      </w:r>
      <m:oMath>
        <m:r>
          <m:t>20</m:t>
        </m:r>
        <m:r>
          <m:rPr>
            <m:sty m:val="p"/>
          </m:rPr>
          <m:t>%</m:t>
        </m:r>
      </m:oMath>
      <w:r>
        <w:t xml:space="preserve"> </w:t>
      </w:r>
      <w:r>
        <w:t xml:space="preserve">to</w:t>
      </w:r>
      <w:r>
        <w:t xml:space="preserve"> </w:t>
      </w:r>
      <m:oMath>
        <m:r>
          <m:t>75.1</m:t>
        </m:r>
        <m:r>
          <m:rPr>
            <m:sty m:val="p"/>
          </m:rPr>
          <m:t>%</m:t>
        </m:r>
      </m:oMath>
      <w:r>
        <w:t xml:space="preserve">. Token-level insertion and deletion at</w:t>
      </w:r>
      <w:r>
        <w:t xml:space="preserve"> </w:t>
      </w:r>
      <m:oMath>
        <m:r>
          <m:t>10</m:t>
        </m:r>
        <m:r>
          <m:rPr>
            <m:sty m:val="p"/>
          </m:rPr>
          <m:t>%</m:t>
        </m:r>
      </m:oMath>
      <w:r>
        <w:t xml:space="preserve"> </w:t>
      </w:r>
      <w:r>
        <w:t xml:space="preserve">are gentler (</w:t>
      </w:r>
      <m:oMath>
        <m:r>
          <m:t>86.1</m:t>
        </m:r>
        <m:r>
          <m:rPr>
            <m:sty m:val="p"/>
          </m:rPr>
          <m:t>%</m:t>
        </m:r>
      </m:oMath>
      <w:r>
        <w:t xml:space="preserve"> </w:t>
      </w:r>
      <w:r>
        <w:t xml:space="preserve">each), because they shift the indexing of the green-list lookup but do not corrupt token identity. None of these attacks bring the watermark below the chance line. An adversary would need to substantially rewrite the text rather than just edit it to evade detection. This matches the qualitative claim in </w:t>
      </w:r>
      <w:r>
        <w:t xml:space="preserve">(Kirchenbauer et al. 2024)</w:t>
      </w:r>
      <w:r>
        <w:t xml:space="preserve"> </w:t>
      </w:r>
      <w:r>
        <w:t xml:space="preserve">that the watermark is robust to mild paraphrase but vulnerable to deliberate rewriting. We measure full LLM-paraphrase robustness separately on LLaMA in §</w:t>
      </w:r>
      <w:hyperlink w:anchor="sec:cross">
        <w:r>
          <w:rPr>
            <w:rStyle w:val="Hyperlink"/>
          </w:rPr>
          <w:t xml:space="preserve">3.7</w:t>
        </w:r>
      </w:hyperlink>
      <w:r>
        <w:t xml:space="preserve">.</w:t>
      </w:r>
    </w:p>
    <w:bookmarkStart w:id="35" w:name="fig:robust"/>
    <w:p>
      <w:pPr>
        <w:pStyle w:val="CaptionedFigure"/>
      </w:pPr>
      <w:r>
        <w:drawing>
          <wp:inline>
            <wp:extent cx="4953000" cy="2489200"/>
            <wp:effectExtent b="0" l="0" r="0" t="0"/>
            <wp:docPr descr="" title="" id="33" name="Picture"/>
            <a:graphic>
              <a:graphicData uri="http://schemas.openxmlformats.org/drawingml/2006/picture">
                <pic:pic>
                  <pic:nvPicPr>
                    <pic:cNvPr descr="figures/fig4_robustness.pdf" id="34" name="Picture"/>
                    <pic:cNvPicPr>
                      <a:picLocks noChangeArrowheads="1" noChangeAspect="1"/>
                    </pic:cNvPicPr>
                  </pic:nvPicPr>
                  <pic:blipFill>
                    <a:blip r:embed="rId32"/>
                    <a:stretch>
                      <a:fillRect/>
                    </a:stretch>
                  </pic:blipFill>
                  <pic:spPr bwMode="auto">
                    <a:xfrm>
                      <a:off x="0" y="0"/>
                      <a:ext cx="4953000" cy="2489200"/>
                    </a:xfrm>
                    <a:prstGeom prst="rect">
                      <a:avLst/>
                    </a:prstGeom>
                    <a:noFill/>
                    <a:ln w="9525">
                      <a:noFill/>
                      <a:headEnd/>
                      <a:tailEnd/>
                    </a:ln>
                  </pic:spPr>
                </pic:pic>
              </a:graphicData>
            </a:graphic>
          </wp:inline>
        </w:drawing>
      </w:r>
    </w:p>
    <w:p>
      <w:pPr>
        <w:pStyle w:val="ImageCaption"/>
      </w:pPr>
      <w:r>
        <w:rPr>
          <w:b/>
          <w:bCs/>
        </w:rPr>
        <w:t xml:space="preserve">Robustness sweep, Gemma 2 9B.</w:t>
      </w:r>
      <w:r>
        <w:t xml:space="preserve"> </w:t>
      </w:r>
      <w:r>
        <w:t xml:space="preserve">TPR at frozen threshold</w:t>
      </w:r>
      <w:r>
        <w:t xml:space="preserve"> </w:t>
      </w:r>
      <m:oMath>
        <m:r>
          <m:t>τ</m:t>
        </m:r>
        <m:r>
          <m:rPr>
            <m:sty m:val="p"/>
          </m:rPr>
          <m:t>=</m:t>
        </m:r>
        <m:r>
          <m:t>1.77</m:t>
        </m:r>
      </m:oMath>
      <w:r>
        <w:t xml:space="preserve"> </w:t>
      </w:r>
      <w:r>
        <w:t xml:space="preserve">under random word substitution and</w:t>
      </w:r>
      <w:r>
        <w:t xml:space="preserve"> </w:t>
      </w:r>
      <m:oMath>
        <m:r>
          <m:t>10</m:t>
        </m:r>
        <m:r>
          <m:rPr>
            <m:sty m:val="p"/>
          </m:rPr>
          <m:t>%</m:t>
        </m:r>
      </m:oMath>
      <w:r>
        <w:t xml:space="preserve"> </w:t>
      </w:r>
      <w:r>
        <w:t xml:space="preserve">token insertion or deletion. Black dashed line marks</w:t>
      </w:r>
      <w:r>
        <w:t xml:space="preserve"> </w:t>
      </w:r>
      <m:oMath>
        <m:r>
          <m:t>0.95</m:t>
        </m:r>
      </m:oMath>
      <w:r>
        <w:t xml:space="preserve">. Even at</w:t>
      </w:r>
      <w:r>
        <w:t xml:space="preserve"> </w:t>
      </w:r>
      <m:oMath>
        <m:r>
          <m:t>20</m:t>
        </m:r>
        <m:r>
          <m:rPr>
            <m:sty m:val="p"/>
          </m:rPr>
          <m:t>%</m:t>
        </m:r>
      </m:oMath>
      <w:r>
        <w:t xml:space="preserve"> </w:t>
      </w:r>
      <w:r>
        <w:t xml:space="preserve">word substitution, TPR remains</w:t>
      </w:r>
      <w:r>
        <w:t xml:space="preserve"> </w:t>
      </w:r>
      <m:oMath>
        <m:r>
          <m:rPr>
            <m:sty m:val="p"/>
          </m:rPr>
          <m:t>≥</m:t>
        </m:r>
        <m:r>
          <m:t>​</m:t>
        </m:r>
        <m:r>
          <m:t>75</m:t>
        </m:r>
        <m:r>
          <m:rPr>
            <m:sty m:val="p"/>
          </m:rPr>
          <m:t>%</m:t>
        </m:r>
      </m:oMath>
      <w:r>
        <w:t xml:space="preserve">.</w:t>
      </w:r>
    </w:p>
    <w:bookmarkEnd w:id="35"/>
    <w:bookmarkEnd w:id="36"/>
    <w:bookmarkStart w:id="41" w:name="sec:delta"/>
    <w:p>
      <w:pPr>
        <w:pStyle w:val="Heading2"/>
      </w:pPr>
      <w:r>
        <w:t xml:space="preserve">Detectability/quality tradeoff in</w:t>
      </w:r>
      <w:r>
        <w:t xml:space="preserve"> </w:t>
      </w:r>
      <m:oMath>
        <m:r>
          <m:t>δ</m:t>
        </m:r>
      </m:oMath>
    </w:p>
    <w:p>
      <w:pPr>
        <w:pStyle w:val="FirstParagraph"/>
      </w:pPr>
      <w:r>
        <w:t xml:space="preserve">Figure </w:t>
      </w:r>
      <w:hyperlink w:anchor="fig:delta">
        <w:r>
          <w:rPr>
            <w:rStyle w:val="Hyperlink"/>
          </w:rPr>
          <w:t xml:space="preserve">5</w:t>
        </w:r>
      </w:hyperlink>
      <w:r>
        <w:t xml:space="preserve"> </w:t>
      </w:r>
      <w:r>
        <w:t xml:space="preserve">traces the frontier on Gemma. At</w:t>
      </w:r>
      <w:r>
        <w:t xml:space="preserve"> </w:t>
      </w:r>
      <m:oMath>
        <m:r>
          <m:t>δ</m:t>
        </m:r>
        <m:r>
          <m:rPr>
            <m:sty m:val="p"/>
          </m:rPr>
          <m:t>=</m:t>
        </m:r>
        <m:r>
          <m:t>0.5</m:t>
        </m:r>
      </m:oMath>
      <w:r>
        <w:t xml:space="preserve"> </w:t>
      </w:r>
      <w:r>
        <w:t xml:space="preserve">the bias is too small to be detected reliably (</w:t>
      </w:r>
      <m:oMath>
        <m:r>
          <m:rPr>
            <m:sty m:val="p"/>
          </m:rPr>
          <m:t>T</m:t>
        </m:r>
        <m:r>
          <m:rPr>
            <m:sty m:val="p"/>
          </m:rPr>
          <m:t>P</m:t>
        </m:r>
        <m:r>
          <m:rPr>
            <m:sty m:val="p"/>
          </m:rPr>
          <m:t>R</m:t>
        </m:r>
        <m:r>
          <m:rPr>
            <m:sty m:val="p"/>
          </m:rPr>
          <m:t>=</m:t>
        </m:r>
        <m:r>
          <m:t>22.9</m:t>
        </m:r>
        <m:r>
          <m:rPr>
            <m:sty m:val="p"/>
          </m:rPr>
          <m:t>%</m:t>
        </m:r>
      </m:oMath>
      <w:r>
        <w:t xml:space="preserve">). At</w:t>
      </w:r>
      <w:r>
        <w:t xml:space="preserve"> </w:t>
      </w:r>
      <m:oMath>
        <m:r>
          <m:t>δ</m:t>
        </m:r>
        <m:r>
          <m:rPr>
            <m:sty m:val="p"/>
          </m:rPr>
          <m:t>=</m:t>
        </m:r>
        <m:r>
          <m:t>1</m:t>
        </m:r>
      </m:oMath>
      <w:r>
        <w:t xml:space="preserve"> </w:t>
      </w:r>
      <w:r>
        <w:t xml:space="preserve">TPR jumps to</w:t>
      </w:r>
      <w:r>
        <w:t xml:space="preserve"> </w:t>
      </w:r>
      <m:oMath>
        <m:r>
          <m:t>60.2</m:t>
        </m:r>
        <m:r>
          <m:rPr>
            <m:sty m:val="p"/>
          </m:rPr>
          <m:t>%</m:t>
        </m:r>
      </m:oMath>
      <w:r>
        <w:t xml:space="preserve"> </w:t>
      </w:r>
      <w:r>
        <w:t xml:space="preserve">but quality is still close to baseline (PPL ratio</w:t>
      </w:r>
      <w:r>
        <w:t xml:space="preserve"> </w:t>
      </w:r>
      <m:oMath>
        <m:r>
          <m:t>1.12</m:t>
        </m:r>
      </m:oMath>
      <w:r>
        <w:t xml:space="preserve">). At</w:t>
      </w:r>
      <w:r>
        <w:t xml:space="preserve"> </w:t>
      </w:r>
      <m:oMath>
        <m:r>
          <m:t>δ</m:t>
        </m:r>
        <m:r>
          <m:rPr>
            <m:sty m:val="p"/>
          </m:rPr>
          <m:t>=</m:t>
        </m:r>
        <m:r>
          <m:t>2</m:t>
        </m:r>
      </m:oMath>
      <w:r>
        <w:t xml:space="preserve">, our headline operating point, TPR is</w:t>
      </w:r>
      <w:r>
        <w:t xml:space="preserve"> </w:t>
      </w:r>
      <m:oMath>
        <m:r>
          <m:t>90.0</m:t>
        </m:r>
        <m:r>
          <m:rPr>
            <m:sty m:val="p"/>
          </m:rPr>
          <m:t>%</m:t>
        </m:r>
      </m:oMath>
      <w:r>
        <w:t xml:space="preserve"> </w:t>
      </w:r>
      <w:r>
        <w:t xml:space="preserve">at PPL ratio</w:t>
      </w:r>
      <w:r>
        <w:t xml:space="preserve"> </w:t>
      </w:r>
      <m:oMath>
        <m:r>
          <m:t>1.14</m:t>
        </m:r>
      </m:oMath>
      <w:r>
        <w:t xml:space="preserve">. Pushing</w:t>
      </w:r>
      <w:r>
        <w:t xml:space="preserve"> </w:t>
      </w:r>
      <m:oMath>
        <m:r>
          <m:t>δ</m:t>
        </m:r>
      </m:oMath>
      <w:r>
        <w:t xml:space="preserve"> </w:t>
      </w:r>
      <w:r>
        <w:t xml:space="preserve">to</w:t>
      </w:r>
      <w:r>
        <w:t xml:space="preserve"> </w:t>
      </w:r>
      <m:oMath>
        <m:r>
          <m:t>4</m:t>
        </m:r>
      </m:oMath>
      <w:r>
        <w:t xml:space="preserve"> </w:t>
      </w:r>
      <w:r>
        <w:t xml:space="preserve">reaches</w:t>
      </w:r>
      <w:r>
        <w:t xml:space="preserve"> </w:t>
      </w:r>
      <m:oMath>
        <m:r>
          <m:t>99.5</m:t>
        </m:r>
        <m:r>
          <m:rPr>
            <m:sty m:val="p"/>
          </m:rPr>
          <m:t>%</m:t>
        </m:r>
      </m:oMath>
      <w:r>
        <w:t xml:space="preserve"> </w:t>
      </w:r>
      <w:r>
        <w:t xml:space="preserve">TPR but blows up perplexity (ratio</w:t>
      </w:r>
      <w:r>
        <w:t xml:space="preserve"> </w:t>
      </w:r>
      <m:oMath>
        <m:r>
          <m:t>1.45</m:t>
        </m:r>
      </m:oMath>
      <w:r>
        <w:t xml:space="preserve">). At</w:t>
      </w:r>
      <w:r>
        <w:t xml:space="preserve"> </w:t>
      </w:r>
      <m:oMath>
        <m:r>
          <m:t>δ</m:t>
        </m:r>
        <m:r>
          <m:rPr>
            <m:sty m:val="p"/>
          </m:rPr>
          <m:t>=</m:t>
        </m:r>
        <m:r>
          <m:t>8</m:t>
        </m:r>
      </m:oMath>
      <w:r>
        <w:t xml:space="preserve"> </w:t>
      </w:r>
      <w:r>
        <w:t xml:space="preserve">TPR saturates at</w:t>
      </w:r>
      <w:r>
        <w:t xml:space="preserve"> </w:t>
      </w:r>
      <m:oMath>
        <m:r>
          <m:t>100</m:t>
        </m:r>
        <m:r>
          <m:rPr>
            <m:sty m:val="p"/>
          </m:rPr>
          <m:t>%</m:t>
        </m:r>
      </m:oMath>
      <w:r>
        <w:t xml:space="preserve"> </w:t>
      </w:r>
      <w:r>
        <w:t xml:space="preserve">at the cost of a</w:t>
      </w:r>
      <w:r>
        <w:t xml:space="preserve"> </w:t>
      </w:r>
      <m:oMath>
        <m:r>
          <m:t>2.3</m:t>
        </m:r>
        <m:r>
          <m:rPr>
            <m:sty m:val="p"/>
          </m:rPr>
          <m:t>×</m:t>
        </m:r>
      </m:oMath>
      <w:r>
        <w:t xml:space="preserve"> </w:t>
      </w:r>
      <w:r>
        <w:t xml:space="preserve">perplexity ratio, with visibly degraded text. The empirical knee at</w:t>
      </w:r>
      <w:r>
        <w:t xml:space="preserve"> </w:t>
      </w:r>
      <m:oMath>
        <m:r>
          <m:t>δ</m:t>
        </m:r>
        <m:r>
          <m:t>​</m:t>
        </m:r>
        <m:r>
          <m:rPr>
            <m:sty m:val="p"/>
          </m:rPr>
          <m:t>≈</m:t>
        </m:r>
        <m:r>
          <m:t>​</m:t>
        </m:r>
        <m:r>
          <m:t>2</m:t>
        </m:r>
      </m:oMath>
      <w:r>
        <w:t xml:space="preserve"> </w:t>
      </w:r>
      <w:r>
        <w:t xml:space="preserve">matches the theoretical optimum derived in </w:t>
      </w:r>
      <w:r>
        <w:t xml:space="preserve">(Kirchenbauer et al. 2023)</w:t>
      </w:r>
      <w:r>
        <w:t xml:space="preserve"> </w:t>
      </w:r>
      <w:r>
        <w:t xml:space="preserve">and is what we recommend as the default.</w:t>
      </w:r>
    </w:p>
    <w:bookmarkStart w:id="40" w:name="fig:delta"/>
    <w:p>
      <w:pPr>
        <w:pStyle w:val="CaptionedFigure"/>
      </w:pPr>
      <w:r>
        <w:drawing>
          <wp:inline>
            <wp:extent cx="3581400" cy="2476500"/>
            <wp:effectExtent b="0" l="0" r="0" t="0"/>
            <wp:docPr descr="" title="" id="38" name="Picture"/>
            <a:graphic>
              <a:graphicData uri="http://schemas.openxmlformats.org/drawingml/2006/picture">
                <pic:pic>
                  <pic:nvPicPr>
                    <pic:cNvPr descr="figures/fig5_delta_tradeoff.pdf" id="39" name="Picture"/>
                    <pic:cNvPicPr>
                      <a:picLocks noChangeArrowheads="1" noChangeAspect="1"/>
                    </pic:cNvPicPr>
                  </pic:nvPicPr>
                  <pic:blipFill>
                    <a:blip r:embed="rId37"/>
                    <a:stretch>
                      <a:fillRect/>
                    </a:stretch>
                  </pic:blipFill>
                  <pic:spPr bwMode="auto">
                    <a:xfrm>
                      <a:off x="0" y="0"/>
                      <a:ext cx="3581400" cy="2476500"/>
                    </a:xfrm>
                    <a:prstGeom prst="rect">
                      <a:avLst/>
                    </a:prstGeom>
                    <a:noFill/>
                    <a:ln w="9525">
                      <a:noFill/>
                      <a:headEnd/>
                      <a:tailEnd/>
                    </a:ln>
                  </pic:spPr>
                </pic:pic>
              </a:graphicData>
            </a:graphic>
          </wp:inline>
        </w:drawing>
      </w:r>
    </w:p>
    <w:p>
      <w:pPr>
        <w:pStyle w:val="ImageCaption"/>
      </w:pPr>
      <w:r>
        <w:rPr>
          <w:b/>
          <w:bCs/>
        </w:rPr>
        <w:t xml:space="preserve">Detectability/quality tradeoff in</w:t>
      </w:r>
      <w:r>
        <w:rPr>
          <w:b/>
          <w:bCs/>
        </w:rPr>
        <w:t xml:space="preserve"> </w:t>
      </w:r>
      <m:oMath>
        <m:r>
          <m:t>δ</m:t>
        </m:r>
      </m:oMath>
      <w:r>
        <w:rPr>
          <w:b/>
          <w:bCs/>
        </w:rPr>
        <w:t xml:space="preserve">, Gemma 2 9B.</w:t>
      </w:r>
      <w:r>
        <w:t xml:space="preserve"> </w:t>
      </w:r>
      <w:r>
        <w:t xml:space="preserve">Red: TPR at</w:t>
      </w:r>
      <w:r>
        <w:t xml:space="preserve"> </w:t>
      </w:r>
      <m:oMath>
        <m:r>
          <m:t>1</m:t>
        </m:r>
        <m:r>
          <m:rPr>
            <m:sty m:val="p"/>
          </m:rPr>
          <m:t>%</m:t>
        </m:r>
      </m:oMath>
      <w:r>
        <w:t xml:space="preserve"> </w:t>
      </w:r>
      <w:r>
        <w:t xml:space="preserve">FPR (frozen threshold from</w:t>
      </w:r>
      <w:r>
        <w:t xml:space="preserve"> </w:t>
      </w:r>
      <m:oMath>
        <m:r>
          <m:t>δ</m:t>
        </m:r>
        <m:r>
          <m:rPr>
            <m:sty m:val="p"/>
          </m:rPr>
          <m:t>=</m:t>
        </m:r>
        <m:r>
          <m:t>2</m:t>
        </m:r>
      </m:oMath>
      <w:r>
        <w:t xml:space="preserve"> </w:t>
      </w:r>
      <w:r>
        <w:t xml:space="preserve">unwatermarked). Blue: GPT-2 perplexity ratio of watermarked over unwatermarked completions on the same prompt subset. Knee at</w:t>
      </w:r>
      <w:r>
        <w:t xml:space="preserve"> </w:t>
      </w:r>
      <m:oMath>
        <m:r>
          <m:t>δ</m:t>
        </m:r>
        <m:r>
          <m:rPr>
            <m:sty m:val="p"/>
          </m:rPr>
          <m:t>=</m:t>
        </m:r>
        <m:r>
          <m:t>2</m:t>
        </m:r>
      </m:oMath>
      <w:r>
        <w:t xml:space="preserve">.</w:t>
      </w:r>
    </w:p>
    <w:bookmarkEnd w:id="40"/>
    <w:bookmarkEnd w:id="41"/>
    <w:bookmarkStart w:id="46" w:name="sec:cross"/>
    <w:p>
      <w:pPr>
        <w:pStyle w:val="Heading2"/>
      </w:pPr>
      <w:r>
        <w:t xml:space="preserve">Cross-architecture check on LLaMA 3.1 8B</w:t>
      </w:r>
    </w:p>
    <w:p>
      <w:pPr>
        <w:pStyle w:val="FirstParagraph"/>
      </w:pPr>
      <w:r>
        <w:t xml:space="preserve">The same code path, with only the model identifier changed, was applied to LLaMA 3.1 8B Instruct. We generated 197 completions (</w:t>
      </w:r>
      <m:oMath>
        <m:r>
          <m:t>99</m:t>
        </m:r>
      </m:oMath>
      <w:r>
        <w:t xml:space="preserve"> </w:t>
      </w:r>
      <w:r>
        <w:t xml:space="preserve">watermarked,</w:t>
      </w:r>
      <w:r>
        <w:t xml:space="preserve"> </w:t>
      </w:r>
      <m:oMath>
        <m:r>
          <m:t>98</m:t>
        </m:r>
      </m:oMath>
      <w:r>
        <w:t xml:space="preserve"> </w:t>
      </w:r>
      <w:r>
        <w:t xml:space="preserve">control) at</w:t>
      </w:r>
      <w:r>
        <w:t xml:space="preserve"> </w:t>
      </w:r>
      <m:oMath>
        <m:r>
          <m:t>δ</m:t>
        </m:r>
        <m:r>
          <m:rPr>
            <m:sty m:val="p"/>
          </m:rPr>
          <m:t>=</m:t>
        </m:r>
        <m:r>
          <m:t>2</m:t>
        </m:r>
      </m:oMath>
      <w:r>
        <w:t xml:space="preserve"> </w:t>
      </w:r>
      <w:r>
        <w:t xml:space="preserve">and ran the identical detection eval. Detection is in fact stronger on LLaMA than on Gemma:</w:t>
      </w:r>
      <w:r>
        <w:t xml:space="preserve"> </w:t>
      </w:r>
      <m:oMath>
        <m:r>
          <m:rPr>
            <m:sty m:val="p"/>
          </m:rPr>
          <m:t>T</m:t>
        </m:r>
        <m:r>
          <m:rPr>
            <m:sty m:val="p"/>
          </m:rPr>
          <m:t>P</m:t>
        </m:r>
        <m:r>
          <m:rPr>
            <m:sty m:val="p"/>
          </m:rPr>
          <m:t>R</m:t>
        </m:r>
        <m:r>
          <m:rPr>
            <m:sty m:val="p"/>
          </m:rPr>
          <m:t>@</m:t>
        </m:r>
        <m:r>
          <m:t>1</m:t>
        </m:r>
        <m:r>
          <m:rPr>
            <m:sty m:val="p"/>
          </m:rPr>
          <m:t>%</m:t>
        </m:r>
        <m:r>
          <m:rPr>
            <m:sty m:val="p"/>
          </m:rPr>
          <m:t>F</m:t>
        </m:r>
        <m:r>
          <m:rPr>
            <m:sty m:val="p"/>
          </m:rPr>
          <m:t>P</m:t>
        </m:r>
        <m:r>
          <m:rPr>
            <m:sty m:val="p"/>
          </m:rPr>
          <m:t>R</m:t>
        </m:r>
        <m:r>
          <m:rPr>
            <m:sty m:val="p"/>
          </m:rPr>
          <m:t>=</m:t>
        </m:r>
        <m:r>
          <m:t>98.0</m:t>
        </m:r>
        <m:r>
          <m:rPr>
            <m:sty m:val="p"/>
          </m:rPr>
          <m:t>%</m:t>
        </m:r>
      </m:oMath>
      <w:r>
        <w:t xml:space="preserve"> </w:t>
      </w:r>
      <w:r>
        <w:t xml:space="preserve">on the full corpus (threshold</w:t>
      </w:r>
      <w:r>
        <w:t xml:space="preserve"> </w:t>
      </w:r>
      <m:oMath>
        <m:r>
          <m:t>τ</m:t>
        </m:r>
        <m:r>
          <m:rPr>
            <m:sty m:val="p"/>
          </m:rPr>
          <m:t>=</m:t>
        </m:r>
        <m:r>
          <m:t>2.20</m:t>
        </m:r>
      </m:oMath>
      <w:r>
        <w:t xml:space="preserve"> </w:t>
      </w:r>
      <w:r>
        <w:t xml:space="preserve">calibrated on</w:t>
      </w:r>
      <w:r>
        <w:t xml:space="preserve"> </w:t>
      </w:r>
      <m:oMath>
        <m:sSub>
          <m:e>
            <m:r>
              <m:t>n</m:t>
            </m:r>
          </m:e>
          <m:sub>
            <m:r>
              <m:rPr>
                <m:nor/>
                <m:sty m:val="p"/>
              </m:rPr>
              <m:t>uwm</m:t>
            </m:r>
          </m:sub>
        </m:sSub>
        <m:r>
          <m:rPr>
            <m:sty m:val="p"/>
          </m:rPr>
          <m:t>=</m:t>
        </m:r>
        <m:r>
          <m:t>98</m:t>
        </m:r>
      </m:oMath>
      <w:r>
        <w:t xml:space="preserve">, with measured FPR</w:t>
      </w:r>
      <w:r>
        <w:t xml:space="preserve"> </w:t>
      </w:r>
      <m:oMath>
        <m:r>
          <m:t>0</m:t>
        </m:r>
        <m:r>
          <m:rPr>
            <m:sty m:val="p"/>
          </m:rPr>
          <m:t>/</m:t>
        </m:r>
        <m:r>
          <m:t>98</m:t>
        </m:r>
      </m:oMath>
      <w:r>
        <w:t xml:space="preserve">), and the GPT-2 perplexity ratio is</w:t>
      </w:r>
      <w:r>
        <w:t xml:space="preserve"> </w:t>
      </w:r>
      <m:oMath>
        <m:r>
          <m:t>1.01</m:t>
        </m:r>
      </m:oMath>
      <w:r>
        <w:t xml:space="preserve">, so watermarked and unwatermarked are statistically indistinguishable on quality. Robustness is also stronger:</w:t>
      </w:r>
      <w:r>
        <w:t xml:space="preserve"> </w:t>
      </w:r>
      <m:oMath>
        <m:r>
          <m:t>96</m:t>
        </m:r>
        <m:r>
          <m:rPr>
            <m:sty m:val="p"/>
          </m:rPr>
          <m:t>%</m:t>
        </m:r>
      </m:oMath>
      <w:r>
        <w:t xml:space="preserve"> </w:t>
      </w:r>
      <w:r>
        <w:t xml:space="preserve">TPR survives</w:t>
      </w:r>
      <w:r>
        <w:t xml:space="preserve"> </w:t>
      </w:r>
      <m:oMath>
        <m:r>
          <m:t>10</m:t>
        </m:r>
        <m:r>
          <m:rPr>
            <m:sty m:val="p"/>
          </m:rPr>
          <m:t>%</m:t>
        </m:r>
      </m:oMath>
      <w:r>
        <w:t xml:space="preserve"> </w:t>
      </w:r>
      <w:r>
        <w:t xml:space="preserve">word substitution and</w:t>
      </w:r>
      <w:r>
        <w:t xml:space="preserve"> </w:t>
      </w:r>
      <m:oMath>
        <m:r>
          <m:t>91</m:t>
        </m:r>
        <m:r>
          <m:rPr>
            <m:sty m:val="p"/>
          </m:rPr>
          <m:t>%</m:t>
        </m:r>
      </m:oMath>
      <w:r>
        <w:t xml:space="preserve"> </w:t>
      </w:r>
      <w:r>
        <w:t xml:space="preserve">survives</w:t>
      </w:r>
      <w:r>
        <w:t xml:space="preserve"> </w:t>
      </w:r>
      <m:oMath>
        <m:r>
          <m:t>20</m:t>
        </m:r>
        <m:r>
          <m:rPr>
            <m:sty m:val="p"/>
          </m:rPr>
          <m:t>%</m:t>
        </m:r>
      </m:oMath>
      <w:r>
        <w:t xml:space="preserve"> </w:t>
      </w:r>
      <w:r>
        <w:t xml:space="preserve">substitution, versus</w:t>
      </w:r>
      <w:r>
        <w:t xml:space="preserve"> </w:t>
      </w:r>
      <m:oMath>
        <m:r>
          <m:t>84</m:t>
        </m:r>
        <m:r>
          <m:rPr>
            <m:sty m:val="p"/>
          </m:rPr>
          <m:t>%</m:t>
        </m:r>
      </m:oMath>
      <w:r>
        <w:t xml:space="preserve"> </w:t>
      </w:r>
      <w:r>
        <w:t xml:space="preserve">and</w:t>
      </w:r>
      <w:r>
        <w:t xml:space="preserve"> </w:t>
      </w:r>
      <m:oMath>
        <m:r>
          <m:t>75</m:t>
        </m:r>
        <m:r>
          <m:rPr>
            <m:sty m:val="p"/>
          </m:rPr>
          <m:t>%</m:t>
        </m:r>
      </m:oMath>
      <w:r>
        <w:t xml:space="preserve"> </w:t>
      </w:r>
      <w:r>
        <w:t xml:space="preserve">on Gemma. Under a full LLM-paraphrase attack in which LLaMA itself rewrites each watermarked completion (no logit processor active), TPR collapses to</w:t>
      </w:r>
      <w:r>
        <w:t xml:space="preserve"> </w:t>
      </w:r>
      <m:oMath>
        <m:r>
          <m:t>27.3</m:t>
        </m:r>
        <m:r>
          <m:rPr>
            <m:sty m:val="p"/>
          </m:rPr>
          <m:t>%</m:t>
        </m:r>
      </m:oMath>
      <w:r>
        <w:t xml:space="preserve"> </w:t>
      </w:r>
      <w:r>
        <w:t xml:space="preserve">(mean</w:t>
      </w:r>
      <w:r>
        <w:t xml:space="preserve"> </w:t>
      </w:r>
      <m:oMath>
        <m:r>
          <m:t>z</m:t>
        </m:r>
        <m:r>
          <m:rPr>
            <m:sty m:val="p"/>
          </m:rPr>
          <m:t>=</m:t>
        </m:r>
        <m:r>
          <m:t>1.20</m:t>
        </m:r>
      </m:oMath>
      <w:r>
        <w:t xml:space="preserve">). The watermark therefore survives surface edits comfortably but is reliably evaded by a determined paraphraser, matching the qualitative claim of </w:t>
      </w:r>
      <w:r>
        <w:t xml:space="preserve">(Kirchenbauer et al. 2024)</w:t>
      </w:r>
      <w:r>
        <w:t xml:space="preserve"> </w:t>
      </w:r>
      <w:r>
        <w:t xml:space="preserve">and motivating the distortion-free and semantic-grouping variants we cite as future work. Figure </w:t>
      </w:r>
      <w:hyperlink w:anchor="fig:cross">
        <w:r>
          <w:rPr>
            <w:rStyle w:val="Hyperlink"/>
          </w:rPr>
          <w:t xml:space="preserve">6</w:t>
        </w:r>
      </w:hyperlink>
      <w:r>
        <w:t xml:space="preserve"> </w:t>
      </w:r>
      <w:r>
        <w:t xml:space="preserve">overlays the two length curves; LLaMA and Gemma track each other within a few percentage points across all length bins, with LLaMA slightly above. The tokenisers differ in size (</w:t>
      </w:r>
      <m:oMath>
        <m:r>
          <m:t>128</m:t>
        </m:r>
        <m:r>
          <m:t>k</m:t>
        </m:r>
      </m:oMath>
      <w:r>
        <w:t xml:space="preserve"> </w:t>
      </w:r>
      <w:r>
        <w:t xml:space="preserve">vs. </w:t>
      </w:r>
      <m:oMath>
        <m:r>
          <m:t>256</m:t>
        </m:r>
        <m:r>
          <m:t>k</m:t>
        </m:r>
      </m:oMath>
      <w:r>
        <w:t xml:space="preserve">) but</w:t>
      </w:r>
      <w:r>
        <w:t xml:space="preserve"> </w:t>
      </w:r>
      <m:oMath>
        <m:r>
          <m:t>γ</m:t>
        </m:r>
        <m:r>
          <m:rPr>
            <m:sty m:val="p"/>
          </m:rPr>
          <m:t>=</m:t>
        </m:r>
        <m:r>
          <m:t>0.5</m:t>
        </m:r>
      </m:oMath>
      <w:r>
        <w:t xml:space="preserve"> </w:t>
      </w:r>
      <w:r>
        <w:t xml:space="preserve">keeps the green-list density invariant, and the SHA-256 keying makes the partition independent of vocabulary identity. Generalisation across two distinct families (Google’s Gemma and Meta’s LLaMA) extends the original paper, which only evaluated on OPT and LLaMA-1.</w:t>
      </w:r>
    </w:p>
    <w:bookmarkStart w:id="45" w:name="fig:cross"/>
    <w:p>
      <w:pPr>
        <w:pStyle w:val="CaptionedFigure"/>
      </w:pPr>
      <w:r>
        <w:drawing>
          <wp:inline>
            <wp:extent cx="3581400" cy="2476500"/>
            <wp:effectExtent b="0" l="0" r="0" t="0"/>
            <wp:docPr descr="" title="" id="43" name="Picture"/>
            <a:graphic>
              <a:graphicData uri="http://schemas.openxmlformats.org/drawingml/2006/picture">
                <pic:pic>
                  <pic:nvPicPr>
                    <pic:cNvPr descr="figures/fig6_cross_model.pdf" id="44" name="Picture"/>
                    <pic:cNvPicPr>
                      <a:picLocks noChangeArrowheads="1" noChangeAspect="1"/>
                    </pic:cNvPicPr>
                  </pic:nvPicPr>
                  <pic:blipFill>
                    <a:blip r:embed="rId42"/>
                    <a:stretch>
                      <a:fillRect/>
                    </a:stretch>
                  </pic:blipFill>
                  <pic:spPr bwMode="auto">
                    <a:xfrm>
                      <a:off x="0" y="0"/>
                      <a:ext cx="3581400" cy="2476500"/>
                    </a:xfrm>
                    <a:prstGeom prst="rect">
                      <a:avLst/>
                    </a:prstGeom>
                    <a:noFill/>
                    <a:ln w="9525">
                      <a:noFill/>
                      <a:headEnd/>
                      <a:tailEnd/>
                    </a:ln>
                  </pic:spPr>
                </pic:pic>
              </a:graphicData>
            </a:graphic>
          </wp:inline>
        </w:drawing>
      </w:r>
    </w:p>
    <w:p>
      <w:pPr>
        <w:pStyle w:val="ImageCaption"/>
      </w:pPr>
      <w:r>
        <w:rPr>
          <w:b/>
          <w:bCs/>
        </w:rPr>
        <w:t xml:space="preserve">Cross-family TPR vs. length.</w:t>
      </w:r>
      <w:r>
        <w:t xml:space="preserve"> </w:t>
      </w:r>
      <w:r>
        <w:t xml:space="preserve">Same code path applied to LLaMA 3.1 8B (red) and Gemma 2 9B (blue). The two curves track each other within a few points across all length bins.</w:t>
      </w:r>
    </w:p>
    <w:bookmarkEnd w:id="45"/>
    <w:bookmarkEnd w:id="46"/>
    <w:bookmarkStart w:id="47" w:name="sec:gemma-failure"/>
    <w:p>
      <w:pPr>
        <w:pStyle w:val="Heading2"/>
      </w:pPr>
      <w:r>
        <w:t xml:space="preserve">Failure analysis: Gemma 3 multimodal loader</w:t>
      </w:r>
    </w:p>
    <w:p>
      <w:pPr>
        <w:pStyle w:val="FirstParagraph"/>
      </w:pPr>
      <w:r>
        <w:t xml:space="preserve">Our proposal targeted Gemma 3 4B as the second model. In the current public HuggingFace</w:t>
      </w:r>
      <w:r>
        <w:t xml:space="preserve"> </w:t>
      </w:r>
      <w:r>
        <w:rPr>
          <w:rStyle w:val="VerbatimChar"/>
        </w:rPr>
        <w:t xml:space="preserve">transformers</w:t>
      </w:r>
      <w:r>
        <w:t xml:space="preserve"> </w:t>
      </w:r>
      <w:r>
        <w:t xml:space="preserve">(4.45+), Gemma 3 is loaded as</w:t>
      </w:r>
      <w:r>
        <w:t xml:space="preserve"> </w:t>
      </w:r>
      <w:r>
        <w:rPr>
          <w:rStyle w:val="VerbatimChar"/>
        </w:rPr>
        <w:t xml:space="preserve">Gemma3ForConditionalGeneration</w:t>
      </w:r>
      <w:r>
        <w:t xml:space="preserve">, a vision/language class that expects image inputs. Text-only generation produces NaN logits at the first token, which propagate into a CUDA assert from</w:t>
      </w:r>
      <w:r>
        <w:t xml:space="preserve"> </w:t>
      </w:r>
      <w:r>
        <w:rPr>
          <w:rStyle w:val="VerbatimChar"/>
        </w:rPr>
        <w:t xml:space="preserve">torch.multinomial</w:t>
      </w:r>
      <w:r>
        <w:t xml:space="preserve">. We isolated the failure in three steps: (i) confirmed that exactly the same code path runs cleanly on Gemma 2 and LLaMA, ruling out a watermark bug; (ii) verified that the NaN appears</w:t>
      </w:r>
      <w:r>
        <w:t xml:space="preserve"> </w:t>
      </w:r>
      <w:r>
        <w:rPr>
          <w:i/>
          <w:iCs/>
        </w:rPr>
        <w:t xml:space="preserve">before</w:t>
      </w:r>
      <w:r>
        <w:t xml:space="preserve"> </w:t>
      </w:r>
      <w:r>
        <w:t xml:space="preserve">the logit processor is called, ruling out the green-list cap; (iii) traced it to the multimodal loader’s expectation of paired image inputs. Resolving this would have required either downgrading</w:t>
      </w:r>
      <w:r>
        <w:t xml:space="preserve"> </w:t>
      </w:r>
      <w:r>
        <w:rPr>
          <w:rStyle w:val="VerbatimChar"/>
        </w:rPr>
        <w:t xml:space="preserve">transformers</w:t>
      </w:r>
      <w:r>
        <w:t xml:space="preserve"> </w:t>
      </w:r>
      <w:r>
        <w:t xml:space="preserve">to a pre-multimodal release with uncertain compatibility, or constructing dummy image tensors. Both options fall outside the scope of this paper. We substituted Gemma 2 9B (a text-only loader, distinct from LLaMA’s tokeniser) and documented the failure here so that future replicators can avoid the same dead end. This is a load-time tooling issue, not a watermark issue.</w:t>
      </w:r>
    </w:p>
    <w:bookmarkEnd w:id="47"/>
    <w:bookmarkEnd w:id="48"/>
    <w:bookmarkStart w:id="60" w:name="sec:conclusion"/>
    <w:p>
      <w:pPr>
        <w:pStyle w:val="Heading1"/>
      </w:pPr>
      <w:r>
        <w:t xml:space="preserve">Conclusion</w:t>
      </w:r>
    </w:p>
    <w:p>
      <w:pPr>
        <w:pStyle w:val="FirstParagraph"/>
      </w:pPr>
      <w:r>
        <w:t xml:space="preserve">We re-implemented the Kirchenbauer et al. green-list logit-bias watermark from scratch, validated it on two recent instruction-tuned LLMs that did not exist when the original paper was published, and recovered its key empirical claims: roughly</w:t>
      </w:r>
      <w:r>
        <w:t xml:space="preserve"> </w:t>
      </w:r>
      <m:oMath>
        <m:r>
          <m:t>99</m:t>
        </m:r>
        <m:r>
          <m:rPr>
            <m:sty m:val="p"/>
          </m:rPr>
          <m:t>%</m:t>
        </m:r>
      </m:oMath>
      <w:r>
        <w:t xml:space="preserve"> </w:t>
      </w:r>
      <w:r>
        <w:t xml:space="preserve">TPR at</w:t>
      </w:r>
      <w:r>
        <w:t xml:space="preserve"> </w:t>
      </w:r>
      <m:oMath>
        <m:r>
          <m:t>1</m:t>
        </m:r>
        <m:r>
          <m:rPr>
            <m:sty m:val="p"/>
          </m:rPr>
          <m:t>%</m:t>
        </m:r>
      </m:oMath>
      <w:r>
        <w:t xml:space="preserve"> </w:t>
      </w:r>
      <w:r>
        <w:t xml:space="preserve">FPR for</w:t>
      </w:r>
      <w:r>
        <w:t xml:space="preserve"> </w:t>
      </w:r>
      <m:oMath>
        <m:r>
          <m:rPr>
            <m:sty m:val="p"/>
          </m:rPr>
          <m:t>≥</m:t>
        </m:r>
        <m:r>
          <m:t>​</m:t>
        </m:r>
        <m:r>
          <m:t>150</m:t>
        </m:r>
      </m:oMath>
      <w:r>
        <w:t xml:space="preserve">-token completions, less than</w:t>
      </w:r>
      <w:r>
        <w:t xml:space="preserve"> </w:t>
      </w:r>
      <m:oMath>
        <m:r>
          <m:t>10</m:t>
        </m:r>
        <m:r>
          <m:rPr>
            <m:sty m:val="p"/>
          </m:rPr>
          <m:t>%</m:t>
        </m:r>
      </m:oMath>
      <w:r>
        <w:t xml:space="preserve"> </w:t>
      </w:r>
      <w:r>
        <w:t xml:space="preserve">relative perplexity overhead at</w:t>
      </w:r>
      <w:r>
        <w:t xml:space="preserve"> </w:t>
      </w:r>
      <m:oMath>
        <m:r>
          <m:t>δ</m:t>
        </m:r>
        <m:r>
          <m:rPr>
            <m:sty m:val="p"/>
          </m:rPr>
          <m:t>=</m:t>
        </m:r>
        <m:r>
          <m:t>2</m:t>
        </m:r>
      </m:oMath>
      <w:r>
        <w:t xml:space="preserve">, and graceful degradation under word-level edits. Our cross-architecture results on Gemma 2 9B and LLaMA 3.1 8B suggest the scheme is genuinely tokeniser-agnostic. We also surfaced a real-world deployment caveat that the original paper could not have anticipated: loader quirks in modern multimodal-by-default model classes can break watermark replication even when the math is correct, an issue worth flagging for anyone applying the scheme to next-generation models. The take-away is that a 30-line logit processor and a one-sided</w:t>
      </w:r>
      <w:r>
        <w:t xml:space="preserve"> </w:t>
      </w:r>
      <m:oMath>
        <m:r>
          <m:t>z</m:t>
        </m:r>
      </m:oMath>
      <w:r>
        <w:t xml:space="preserve">-test, with no model retraining and no API changes, still buys provenance attribution that survives realistic surface edits. For higher-stakes deployments where adversaries can fully paraphrase the text, which in our LLaMA evaluation drops detection to</w:t>
      </w:r>
      <w:r>
        <w:t xml:space="preserve"> </w:t>
      </w:r>
      <m:oMath>
        <m:r>
          <m:t>27.3</m:t>
        </m:r>
        <m:r>
          <m:rPr>
            <m:sty m:val="p"/>
          </m:rPr>
          <m:t>%</m:t>
        </m:r>
      </m:oMath>
      <w:r>
        <w:t xml:space="preserve"> </w:t>
      </w:r>
      <w:r>
        <w:t xml:space="preserve">TPR, this baseline should be combined with a distortion-free or semantic-grouping variant </w:t>
      </w:r>
      <w:r>
        <w:t xml:space="preserve">(Kuditipudi et al. 2024; Christ et al. 2024)</w:t>
      </w:r>
      <w:r>
        <w:t xml:space="preserve">.</w:t>
      </w:r>
    </w:p>
    <w:bookmarkStart w:id="59" w:name="refs"/>
    <w:bookmarkStart w:id="49" w:name="ref-christ2024undetectable"/>
    <w:p>
      <w:pPr>
        <w:pStyle w:val="Bibliography"/>
      </w:pPr>
      <w:r>
        <w:t xml:space="preserve">Christ, Miranda, Sam Gunn, and Or Zamir. 2024.</w:t>
      </w:r>
      <w:r>
        <w:t xml:space="preserve"> </w:t>
      </w:r>
      <w:r>
        <w:t xml:space="preserve">“Undetectable Watermarks for Language Models.”</w:t>
      </w:r>
      <w:r>
        <w:t xml:space="preserve"> </w:t>
      </w:r>
      <w:r>
        <w:rPr>
          <w:i/>
          <w:iCs/>
        </w:rPr>
        <w:t xml:space="preserve">Conference on Learning Theory (COLT)</w:t>
      </w:r>
      <w:r>
        <w:t xml:space="preserve">.</w:t>
      </w:r>
    </w:p>
    <w:bookmarkEnd w:id="49"/>
    <w:bookmarkStart w:id="50" w:name="ref-fan2018hierarchical"/>
    <w:p>
      <w:pPr>
        <w:pStyle w:val="Bibliography"/>
      </w:pPr>
      <w:r>
        <w:t xml:space="preserve">Fan, Angela, Mike Lewis, and Yann Dauphin. 2018.</w:t>
      </w:r>
      <w:r>
        <w:t xml:space="preserve"> </w:t>
      </w:r>
      <w:r>
        <w:t xml:space="preserve">“Hierarchical Neural Story Generation.”</w:t>
      </w:r>
      <w:r>
        <w:t xml:space="preserve"> </w:t>
      </w:r>
      <w:r>
        <w:rPr>
          <w:i/>
          <w:iCs/>
        </w:rPr>
        <w:t xml:space="preserve">Proceedings of the 56th Annual Meeting of the Association for Computational Linguistics (ACL)</w:t>
      </w:r>
      <w:r>
        <w:t xml:space="preserve">.</w:t>
      </w:r>
    </w:p>
    <w:bookmarkEnd w:id="50"/>
    <w:bookmarkStart w:id="51" w:name="ref-gemma2report"/>
    <w:p>
      <w:pPr>
        <w:pStyle w:val="Bibliography"/>
      </w:pPr>
      <w:r>
        <w:t xml:space="preserve">Gemma Team, Google DeepMind. 2024.</w:t>
      </w:r>
      <w:r>
        <w:t xml:space="preserve"> </w:t>
      </w:r>
      <w:r>
        <w:rPr>
          <w:i/>
          <w:iCs/>
        </w:rPr>
        <w:t xml:space="preserve">Gemma 2</w:t>
      </w:r>
      <w:r>
        <w:rPr>
          <w:i/>
          <w:iCs/>
        </w:rPr>
        <w:t xml:space="preserve">: Improving Open Language Models at a Practical Size</w:t>
      </w:r>
      <w:r>
        <w:t xml:space="preserve">. Google DeepMind.</w:t>
      </w:r>
    </w:p>
    <w:bookmarkEnd w:id="51"/>
    <w:bookmarkStart w:id="52" w:name="ref-joshi2017triviaqa"/>
    <w:p>
      <w:pPr>
        <w:pStyle w:val="Bibliography"/>
      </w:pPr>
      <w:r>
        <w:t xml:space="preserve">Joshi, Mandar, Eunsol Choi, Daniel S. Weld, and Luke Zettlemoyer. 2017.</w:t>
      </w:r>
      <w:r>
        <w:t xml:space="preserve"> </w:t>
      </w:r>
      <w:r>
        <w:t xml:space="preserve">“</w:t>
      </w:r>
      <w:r>
        <w:t xml:space="preserve">TriviaQA</w:t>
      </w:r>
      <w:r>
        <w:t xml:space="preserve">: A Large Scale Distantly Supervised Challenge Dataset for Reading Comprehension.”</w:t>
      </w:r>
      <w:r>
        <w:t xml:space="preserve"> </w:t>
      </w:r>
      <w:r>
        <w:rPr>
          <w:i/>
          <w:iCs/>
        </w:rPr>
        <w:t xml:space="preserve">Proceedings of the 55th Annual Meeting of the Association for Computational Linguistics (ACL)</w:t>
      </w:r>
      <w:r>
        <w:t xml:space="preserve">.</w:t>
      </w:r>
    </w:p>
    <w:bookmarkEnd w:id="52"/>
    <w:bookmarkStart w:id="53" w:name="ref-kirchenbauer2024reliability"/>
    <w:p>
      <w:pPr>
        <w:pStyle w:val="Bibliography"/>
      </w:pPr>
      <w:r>
        <w:t xml:space="preserve">Kirchenbauer, John, Jonas Geiping, Yuxin Wen, et al. 2024.</w:t>
      </w:r>
      <w:r>
        <w:t xml:space="preserve"> </w:t>
      </w:r>
      <w:r>
        <w:t xml:space="preserve">“On the Reliability of Watermarks for Large Language Models.”</w:t>
      </w:r>
      <w:r>
        <w:t xml:space="preserve"> </w:t>
      </w:r>
      <w:r>
        <w:rPr>
          <w:i/>
          <w:iCs/>
        </w:rPr>
        <w:t xml:space="preserve">The Twelfth International Conference on Learning Representations (ICLR)</w:t>
      </w:r>
      <w:r>
        <w:t xml:space="preserve">.</w:t>
      </w:r>
    </w:p>
    <w:bookmarkEnd w:id="53"/>
    <w:bookmarkStart w:id="54" w:name="ref-kirchenbauer2023"/>
    <w:p>
      <w:pPr>
        <w:pStyle w:val="Bibliography"/>
      </w:pPr>
      <w:r>
        <w:t xml:space="preserve">Kirchenbauer, John, Jonas Geiping, Yuxin Wen, Jonathan Katz, Ian Miers, and Tom Goldstein. 2023.</w:t>
      </w:r>
      <w:r>
        <w:t xml:space="preserve"> </w:t>
      </w:r>
      <w:r>
        <w:t xml:space="preserve">“A Watermark for Large Language Models.”</w:t>
      </w:r>
      <w:r>
        <w:t xml:space="preserve"> </w:t>
      </w:r>
      <w:r>
        <w:rPr>
          <w:i/>
          <w:iCs/>
        </w:rPr>
        <w:t xml:space="preserve">Proceedings of the 40th International Conference on Machine Learning (ICML)</w:t>
      </w:r>
      <w:r>
        <w:t xml:space="preserve">.</w:t>
      </w:r>
    </w:p>
    <w:bookmarkEnd w:id="54"/>
    <w:bookmarkStart w:id="55" w:name="ref-kuditipudi2023robust"/>
    <w:p>
      <w:pPr>
        <w:pStyle w:val="Bibliography"/>
      </w:pPr>
      <w:r>
        <w:t xml:space="preserve">Kuditipudi, Rohith, John Thickstun, Tatsunori Hashimoto, and Percy Liang. 2024.</w:t>
      </w:r>
      <w:r>
        <w:t xml:space="preserve"> </w:t>
      </w:r>
      <w:r>
        <w:t xml:space="preserve">“Robust Distortion-Free Watermarks for Language Models.”</w:t>
      </w:r>
      <w:r>
        <w:t xml:space="preserve"> </w:t>
      </w:r>
      <w:r>
        <w:rPr>
          <w:i/>
          <w:iCs/>
        </w:rPr>
        <w:t xml:space="preserve">Transactions on Machine Learning Research (TMLR)</w:t>
      </w:r>
      <w:r>
        <w:t xml:space="preserve">.</w:t>
      </w:r>
    </w:p>
    <w:bookmarkEnd w:id="55"/>
    <w:bookmarkStart w:id="56" w:name="ref-llama3report"/>
    <w:p>
      <w:pPr>
        <w:pStyle w:val="Bibliography"/>
      </w:pPr>
      <w:r>
        <w:t xml:space="preserve">Meta AI. 2024.</w:t>
      </w:r>
      <w:r>
        <w:t xml:space="preserve"> </w:t>
      </w:r>
      <w:r>
        <w:rPr>
          <w:i/>
          <w:iCs/>
        </w:rPr>
        <w:t xml:space="preserve">The</w:t>
      </w:r>
      <w:r>
        <w:rPr>
          <w:i/>
          <w:iCs/>
        </w:rPr>
        <w:t xml:space="preserve"> </w:t>
      </w:r>
      <w:r>
        <w:rPr>
          <w:i/>
          <w:iCs/>
        </w:rPr>
        <w:t xml:space="preserve">Llama 3</w:t>
      </w:r>
      <w:r>
        <w:rPr>
          <w:i/>
          <w:iCs/>
        </w:rPr>
        <w:t xml:space="preserve"> </w:t>
      </w:r>
      <w:r>
        <w:rPr>
          <w:i/>
          <w:iCs/>
        </w:rPr>
        <w:t xml:space="preserve">Herd of Models</w:t>
      </w:r>
      <w:r>
        <w:t xml:space="preserve">. Meta.</w:t>
      </w:r>
    </w:p>
    <w:bookmarkEnd w:id="56"/>
    <w:bookmarkStart w:id="57" w:name="ref-gpt2"/>
    <w:p>
      <w:pPr>
        <w:pStyle w:val="Bibliography"/>
      </w:pPr>
      <w:r>
        <w:t xml:space="preserve">Radford, Alec, Jeffrey Wu, Rewon Child, David Luan, Dario Amodei, and Ilya Sutskever. 2019.</w:t>
      </w:r>
      <w:r>
        <w:t xml:space="preserve"> </w:t>
      </w:r>
      <w:r>
        <w:t xml:space="preserve">“Language Models Are Unsupervised Multitask Learners.”</w:t>
      </w:r>
      <w:r>
        <w:t xml:space="preserve"> </w:t>
      </w:r>
      <w:r>
        <w:rPr>
          <w:i/>
          <w:iCs/>
        </w:rPr>
        <w:t xml:space="preserve">OpenAI Technical Report</w:t>
      </w:r>
      <w:r>
        <w:t xml:space="preserve">.</w:t>
      </w:r>
    </w:p>
    <w:bookmarkEnd w:id="57"/>
    <w:bookmarkStart w:id="58" w:name="ref-cnndailymail"/>
    <w:p>
      <w:pPr>
        <w:pStyle w:val="Bibliography"/>
      </w:pPr>
      <w:r>
        <w:t xml:space="preserve">See, Abigail, Peter J. Liu, and Christopher D. Manning. 2017.</w:t>
      </w:r>
      <w:r>
        <w:t xml:space="preserve"> </w:t>
      </w:r>
      <w:r>
        <w:t xml:space="preserve">“Get to the Point: Summarization with Pointer-Generator Networks.”</w:t>
      </w:r>
      <w:r>
        <w:t xml:space="preserve"> </w:t>
      </w:r>
      <w:r>
        <w:rPr>
          <w:i/>
          <w:iCs/>
        </w:rPr>
        <w:t xml:space="preserve">Proceedings of the 55th Annual Meeting of the Association for Computational Linguistics (ACL)</w:t>
      </w:r>
      <w:r>
        <w:t xml:space="preserve">.</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1" Target="media/rId21.pdf" /><Relationship Type="http://schemas.openxmlformats.org/officeDocument/2006/relationships/image" Id="rId27" Target="media/rId27.pdf" /><Relationship Type="http://schemas.openxmlformats.org/officeDocument/2006/relationships/image" Id="rId32" Target="media/rId32.pdf" /><Relationship Type="http://schemas.openxmlformats.org/officeDocument/2006/relationships/image" Id="rId37" Target="media/rId37.pdf" /><Relationship Type="http://schemas.openxmlformats.org/officeDocument/2006/relationships/image" Id="rId42" Target="media/rId42.pdf" /><Relationship Type="http://schemas.openxmlformats.org/officeDocument/2006/relationships/hyperlink" Id="rId9" Target="https://github.com/AliHasan-786/llm-invisible-watermarking"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liHasan-786/llm-invisible-watermark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Watermarking for Large Language Models via Logit Manipulation</dc:title>
  <dc:creator>Ali Hasan Cornell University ah2434@cornell.edu; Ammar Syed Cornell University as4422@cornell.edu</dc:creator>
  <cp:keywords/>
  <dcterms:created xsi:type="dcterms:W3CDTF">2026-05-13T02:22:41Z</dcterms:created>
  <dcterms:modified xsi:type="dcterms:W3CDTF">2026-05-13T02:22:41Z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re-implement and evaluate the green-list logit-bias watermark of Kirchenbauer et al. (Kirchenbauer et al. 2023) on two recent instruction-tuned language models. At each decoding step a SHA-256 hash of the previous token deterministically partitions the vocabulary into a “green” subset of fraction \gamma{=}0.5, and a fixed bias \delta{=}2.0 is added to green-list logits before sampling. Detection re-derives the partition from a candidate text and applies a one-sided z-test on the count of green-list tokens. On Gemma 2 9B Instruct our implementation reaches 90.0\% TPR at 1\% FPR over all sequence lengths and 98.7\% TPR on completions of \geq\!150 tokens, while degrading GPT-2 reference perplexity by only 9\% (mean 28.2 vs. 25.8). The watermark survives 10\% random word substitution at 83.6\% TPR and is robust to 10\% token insertion or deletion (86.1\% TPR). A logit-bias sweep \delta\!\in\!\{0.5,1,2,4,8\} recovers the predicted detectability/quality knee at \delta\!\approx\!2. Applying the same code path unchanged to LLaMA 3.1 8B Instruct yields 98.0\% TPR at 1\% FPR and a perplexity ratio of 1.01, indicating tokeniser-agnostic generalisation; a full LLM-paraphrase attack on the watermarked text drops TPR to 27.3\%, exposing the known green-list weakness (Kirchenbauer et al. 2024). We also describe a Gemma 3 multimodal-loader compatibility failure that prompted the model substitution. Code, corpora, and trained thresholds are released at https://github.com/AliHasan-786/llm-invisible-watermarking.</vt:lpwstr>
  </property>
  <property fmtid="{D5CDD505-2E9C-101B-9397-08002B2CF9AE}" pid="3" name="bibliography">
    <vt:lpwstr>docs/references.bib</vt:lpwstr>
  </property>
</Properties>
</file>