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CIFAR-10 Robust Classification — Results Summary</w:t>
      </w:r>
    </w:p>
    <w:p>
      <w:pPr>
        <w:jc w:val="center"/>
      </w:pPr>
      <w:r>
        <w:rPr>
          <w:b/>
          <w:sz w:val="18"/>
        </w:rPr>
        <w:t>Deep Learning for Perception | Assignment 2 | Student: Ali Hassan</w:t>
      </w:r>
    </w:p>
    <w:p>
      <w:pPr>
        <w:pStyle w:val="Heading1"/>
      </w:pPr>
      <w:r>
        <w:t>Objective and setup</w:t>
      </w:r>
    </w:p>
    <w:p>
      <w:r>
        <w:t>The task evaluates image classification under limited training data and common image shifts. A stratified subset of 500 CIFAR-10 training images (50 per class) was split into 400 training and 100 validation images. The model was trained from scratch and contains 32,578 trainable parameters, below the 1,000,000-parameter limit. Fixed seeds were 42, 123, and 2026; training used a maximum of 60 epochs with early stopping.</w:t>
      </w:r>
    </w:p>
    <w:p>
      <w:pPr>
        <w:pStyle w:val="Heading1"/>
      </w:pPr>
      <w:r>
        <w:t>Final configuration</w:t>
      </w:r>
    </w:p>
    <w:p>
      <w:r>
        <w:t>The evaluated final configuration used on-the-fly geometric and photometric augmentation (random crop, horizontal flip, rotation and color jitter), Batch Normalization, Dropout (0.35), weight decay (0.0005), label smoothing (0.05), AdamW, learning-rate scheduling, and early stopping. The network includes an Inception-style block with parallel convolutional branches.</w:t>
      </w:r>
    </w:p>
    <w:p>
      <w:pPr>
        <w:pStyle w:val="Heading1"/>
      </w:pPr>
      <w:r>
        <w:t>Final test results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tcMar>
              <w:top w:w="40" w:type="dxa"/>
              <w:start w:w="70" w:type="dxa"/>
              <w:bottom w:w="40" w:type="dxa"/>
              <w:end w:w="70" w:type="dxa"/>
            </w:tcMar>
          </w:tcPr>
          <w:p>
            <w:r>
              <w:rPr>
                <w:b/>
                <w:sz w:val="17"/>
              </w:rPr>
              <w:t>Metric (3 seeds)</w:t>
            </w:r>
          </w:p>
        </w:tc>
        <w:tc>
          <w:tcPr>
            <w:tcW w:type="dxa" w:w="3485"/>
            <w:vAlign w:val="center"/>
            <w:tcMar>
              <w:top w:w="40" w:type="dxa"/>
              <w:start w:w="70" w:type="dxa"/>
              <w:bottom w:w="40" w:type="dxa"/>
              <w:end w:w="70" w:type="dxa"/>
            </w:tcMar>
          </w:tcPr>
          <w:p>
            <w:r>
              <w:rPr>
                <w:b/>
                <w:sz w:val="17"/>
              </w:rPr>
              <w:t>Mean accuracy</w:t>
            </w:r>
          </w:p>
        </w:tc>
        <w:tc>
          <w:tcPr>
            <w:tcW w:type="dxa" w:w="3485"/>
            <w:vAlign w:val="center"/>
            <w:tcMar>
              <w:top w:w="40" w:type="dxa"/>
              <w:start w:w="70" w:type="dxa"/>
              <w:bottom w:w="40" w:type="dxa"/>
              <w:end w:w="70" w:type="dxa"/>
            </w:tcMar>
          </w:tcPr>
          <w:p>
            <w:r>
              <w:rPr>
                <w:b/>
                <w:sz w:val="17"/>
              </w:rPr>
              <w:t>Standard deviation</w:t>
            </w:r>
          </w:p>
        </w:tc>
      </w:tr>
      <w:tr>
        <w:tc>
          <w:tcPr>
            <w:tcW w:type="dxa" w:w="3485"/>
            <w:vAlign w:val="center"/>
            <w:tcMar>
              <w:top w:w="40" w:type="dxa"/>
              <w:start w:w="70" w:type="dxa"/>
              <w:bottom w:w="40" w:type="dxa"/>
              <w:end w:w="70" w:type="dxa"/>
            </w:tcMar>
          </w:tcPr>
          <w:p>
            <w:pPr>
              <w:spacing w:after="0"/>
            </w:pPr>
            <w:r>
              <w:rPr>
                <w:sz w:val="17"/>
              </w:rPr>
              <w:t>Clean test accuracy</w:t>
            </w:r>
          </w:p>
        </w:tc>
        <w:tc>
          <w:tcPr>
            <w:tcW w:type="dxa" w:w="3485"/>
            <w:vAlign w:val="center"/>
            <w:tcMar>
              <w:top w:w="40" w:type="dxa"/>
              <w:start w:w="70" w:type="dxa"/>
              <w:bottom w:w="40" w:type="dxa"/>
              <w:end w:w="70" w:type="dxa"/>
            </w:tcMar>
          </w:tcPr>
          <w:p>
            <w:pPr>
              <w:spacing w:after="0"/>
            </w:pPr>
            <w:r>
              <w:rPr>
                <w:sz w:val="17"/>
              </w:rPr>
              <w:t>30.56%</w:t>
            </w:r>
          </w:p>
        </w:tc>
        <w:tc>
          <w:tcPr>
            <w:tcW w:type="dxa" w:w="3485"/>
            <w:vAlign w:val="center"/>
            <w:tcMar>
              <w:top w:w="40" w:type="dxa"/>
              <w:start w:w="70" w:type="dxa"/>
              <w:bottom w:w="40" w:type="dxa"/>
              <w:end w:w="70" w:type="dxa"/>
            </w:tcMar>
          </w:tcPr>
          <w:p>
            <w:pPr>
              <w:spacing w:after="0"/>
            </w:pPr>
            <w:r>
              <w:rPr>
                <w:sz w:val="17"/>
              </w:rPr>
              <w:t>1.85 percentage points</w:t>
            </w:r>
          </w:p>
        </w:tc>
      </w:tr>
      <w:tr>
        <w:tc>
          <w:tcPr>
            <w:tcW w:type="dxa" w:w="3485"/>
            <w:vAlign w:val="center"/>
            <w:tcMar>
              <w:top w:w="40" w:type="dxa"/>
              <w:start w:w="70" w:type="dxa"/>
              <w:bottom w:w="40" w:type="dxa"/>
              <w:end w:w="70" w:type="dxa"/>
            </w:tcMar>
          </w:tcPr>
          <w:p>
            <w:pPr>
              <w:spacing w:after="0"/>
            </w:pPr>
            <w:r>
              <w:rPr>
                <w:sz w:val="17"/>
              </w:rPr>
              <w:t>Known-corruption shifted accuracy</w:t>
            </w:r>
          </w:p>
        </w:tc>
        <w:tc>
          <w:tcPr>
            <w:tcW w:type="dxa" w:w="3485"/>
            <w:vAlign w:val="center"/>
            <w:tcMar>
              <w:top w:w="40" w:type="dxa"/>
              <w:start w:w="70" w:type="dxa"/>
              <w:bottom w:w="40" w:type="dxa"/>
              <w:end w:w="70" w:type="dxa"/>
            </w:tcMar>
          </w:tcPr>
          <w:p>
            <w:pPr>
              <w:spacing w:after="0"/>
            </w:pPr>
            <w:r>
              <w:rPr>
                <w:sz w:val="17"/>
              </w:rPr>
              <w:t>24.54%</w:t>
            </w:r>
          </w:p>
        </w:tc>
        <w:tc>
          <w:tcPr>
            <w:tcW w:type="dxa" w:w="3485"/>
            <w:vAlign w:val="center"/>
            <w:tcMar>
              <w:top w:w="40" w:type="dxa"/>
              <w:start w:w="70" w:type="dxa"/>
              <w:bottom w:w="40" w:type="dxa"/>
              <w:end w:w="70" w:type="dxa"/>
            </w:tcMar>
          </w:tcPr>
          <w:p>
            <w:pPr>
              <w:spacing w:after="0"/>
            </w:pPr>
            <w:r>
              <w:rPr>
                <w:sz w:val="17"/>
              </w:rPr>
              <w:t>1.33 percentage points</w:t>
            </w:r>
          </w:p>
        </w:tc>
      </w:tr>
      <w:tr>
        <w:tc>
          <w:tcPr>
            <w:tcW w:type="dxa" w:w="3485"/>
            <w:vAlign w:val="center"/>
            <w:tcMar>
              <w:top w:w="40" w:type="dxa"/>
              <w:start w:w="70" w:type="dxa"/>
              <w:bottom w:w="40" w:type="dxa"/>
              <w:end w:w="70" w:type="dxa"/>
            </w:tcMar>
          </w:tcPr>
          <w:p>
            <w:pPr>
              <w:spacing w:after="0"/>
            </w:pPr>
            <w:r>
              <w:rPr>
                <w:sz w:val="17"/>
              </w:rPr>
              <w:t>Validation accuracy</w:t>
            </w:r>
          </w:p>
        </w:tc>
        <w:tc>
          <w:tcPr>
            <w:tcW w:type="dxa" w:w="3485"/>
            <w:vAlign w:val="center"/>
            <w:tcMar>
              <w:top w:w="40" w:type="dxa"/>
              <w:start w:w="70" w:type="dxa"/>
              <w:bottom w:w="40" w:type="dxa"/>
              <w:end w:w="70" w:type="dxa"/>
            </w:tcMar>
          </w:tcPr>
          <w:p>
            <w:pPr>
              <w:spacing w:after="0"/>
            </w:pPr>
            <w:r>
              <w:rPr>
                <w:sz w:val="17"/>
              </w:rPr>
              <w:t>39.00%</w:t>
            </w:r>
          </w:p>
        </w:tc>
        <w:tc>
          <w:tcPr>
            <w:tcW w:type="dxa" w:w="3485"/>
            <w:vAlign w:val="center"/>
            <w:tcMar>
              <w:top w:w="40" w:type="dxa"/>
              <w:start w:w="70" w:type="dxa"/>
              <w:bottom w:w="40" w:type="dxa"/>
              <w:end w:w="70" w:type="dxa"/>
            </w:tcMar>
          </w:tcPr>
          <w:p>
            <w:pPr>
              <w:spacing w:after="0"/>
            </w:pPr>
            <w:r>
              <w:rPr>
                <w:sz w:val="17"/>
              </w:rPr>
              <w:t>4.36 percentage points</w:t>
            </w:r>
          </w:p>
        </w:tc>
      </w:tr>
    </w:tbl>
    <w:p>
      <w:pPr>
        <w:pStyle w:val="Heading1"/>
      </w:pPr>
      <w:r>
        <w:t>Findings</w:t>
      </w:r>
    </w:p>
    <w:p>
      <w:r>
        <w:t>The shifted-test mean was 6.02 percentage points below the clean-test mean, indicating that the known corruptions remain challenging despite augmentation. The model is small and trains with only 400 images, so limited data and distribution shift likely both contribute to errors. The final three-seed scores are reproducible from the saved notebook outputs.</w:t>
      </w:r>
    </w:p>
    <w:p>
      <w:pPr>
        <w:pStyle w:val="Heading1"/>
      </w:pPr>
      <w:r>
        <w:t>Ablation and limitations</w:t>
      </w:r>
    </w:p>
    <w:p>
      <w:r>
        <w:t>The current notebook’s mandatory seven-configuration ablation table contains missing (NaN) results, so the largest individual improvement cannot be reliably attributed to one augmentation or regularizer. The instructor has not supplied the additional hidden corruption; therefore, the reported shifted-test results cover only the known corruptions implemented in the notebook. No hidden-corruption score is claimed.</w:t>
      </w:r>
    </w:p>
    <w:p>
      <w:pPr>
        <w:pStyle w:val="Heading1"/>
      </w:pPr>
      <w:r>
        <w:t>GitHub repository</w:t>
      </w:r>
    </w:p>
    <w:p>
      <w:r>
        <w:rPr>
          <w:b/>
        </w:rPr>
        <w:t xml:space="preserve">Repository URL: </w:t>
      </w:r>
      <w:r>
        <w:t>[Paste your GitHub repository link here]</w:t>
      </w:r>
    </w:p>
    <w:p>
      <w:r>
        <w:rPr>
          <w:b/>
        </w:rPr>
        <w:t xml:space="preserve">Reproducibility: </w:t>
      </w:r>
      <w:r>
        <w:t>Run the notebook cells in order; seeds are 42, 123, and 2026.</w:t>
      </w:r>
    </w:p>
    <w:sectPr w:rsidR="00FC693F" w:rsidRPr="0006063C" w:rsidSect="00034616">
      <w:pgSz w:w="12240" w:h="15840"/>
      <w:pgMar w:top="648" w:right="893" w:bottom="648"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20"/>
      <w:outlineLvl w:val="0"/>
    </w:pPr>
    <w:rPr>
      <w:rFonts w:asciiTheme="majorHAnsi" w:eastAsiaTheme="majorEastAsia" w:hAnsiTheme="majorHAnsi" w:cstheme="majorBidi" w:ascii="Arial" w:hAnsi="Arial"/>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contextualSpacing/>
    </w:pPr>
    <w:rPr>
      <w:rFonts w:asciiTheme="majorHAnsi" w:eastAsiaTheme="majorEastAsia" w:hAnsiTheme="majorHAnsi" w:cstheme="majorBidi" w:ascii="Arial" w:hAnsi="Arial"/>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