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QuantumVault L1 Blockchain</w:t>
      </w:r>
    </w:p>
    <w:p>
      <w:pPr>
        <w:spacing w:after="600"/>
        <w:jc w:val="center"/>
      </w:pPr>
      <w:r>
        <w:rPr>
          <w:rFonts w:ascii="Arial" w:cs="Arial" w:eastAsia="Arial" w:hAnsi="Arial"/>
          <w:color w:val="2E86C1"/>
          <w:sz w:val="32"/>
          <w:szCs w:val="32"/>
        </w:rPr>
        <w:t xml:space="preserve">Teknoloji Seçimleri ve Karşılaştırmalı Analiz</w:t>
      </w:r>
    </w:p>
    <w:p>
      <w:pPr>
        <w:pBdr>
          <w:top w:val="single" w:color="1B4F72" w:sz="6" w:space="20"/>
        </w:pBdr>
        <w:spacing w:after="100"/>
        <w:jc w:val="center"/>
      </w:pPr>
    </w:p>
    <w:p>
      <w:pPr>
        <w:spacing w:after="100"/>
        <w:jc w:val="center"/>
      </w:pPr>
      <w:r>
        <w:rPr>
          <w:rFonts w:ascii="Arial" w:cs="Arial" w:eastAsia="Arial" w:hAnsi="Arial"/>
          <w:color w:val="7F8C8D"/>
          <w:sz w:val="24"/>
          <w:szCs w:val="24"/>
        </w:rPr>
        <w:t xml:space="preserve">Versiyon 2.0 (Rust)</w:t>
      </w:r>
    </w:p>
    <w:p>
      <w:pPr>
        <w:spacing w:after="100"/>
        <w:jc w:val="center"/>
      </w:pPr>
      <w:r>
        <w:rPr>
          <w:rFonts w:ascii="Arial" w:cs="Arial" w:eastAsia="Arial" w:hAnsi="Arial"/>
          <w:color w:val="7F8C8D"/>
          <w:sz w:val="24"/>
          <w:szCs w:val="24"/>
        </w:rPr>
        <w:t xml:space="preserve">Nisan 2026</w:t>
      </w:r>
    </w:p>
    <w:p>
      <w:pPr>
        <w:jc w:val="center"/>
      </w:pPr>
      <w:r>
        <w:rPr>
          <w:rFonts w:ascii="Arial" w:cs="Arial" w:eastAsia="Arial" w:hAnsi="Arial"/>
          <w:color w:val="7F8C8D"/>
          <w:sz w:val="22"/>
          <w:szCs w:val="22"/>
        </w:rPr>
        <w:t xml:space="preserve">Hazırlayan: QuantumVault Geliştirme Ekibi</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Giriş</w:t>
      </w:r>
    </w:p>
    <w:p>
      <w:pPr>
        <w:spacing w:after="160" w:line="300"/>
      </w:pPr>
      <w:r>
        <w:rPr>
          <w:rFonts w:ascii="Arial" w:cs="Arial" w:eastAsia="Arial" w:hAnsi="Arial"/>
          <w:sz w:val="22"/>
          <w:szCs w:val="22"/>
        </w:rPr>
        <w:t xml:space="preserve">QuantumVault, kuantum bilgisayarlarının mevcut kriptografik altyapıları tehdit ettiği bir gelecekte güvenli kalabilecek şekilde tasarlanmış bir Katman 1 (Layer 1) blokzincir projesidir. Proje UTXO tabanlı durum modeli, istemci tarafı doğrulama ve post-kuantum kriptografi üzerine inşa edilmiştir.</w:t>
      </w:r>
    </w:p>
    <w:p>
      <w:pPr>
        <w:spacing w:after="160" w:line="300"/>
      </w:pPr>
      <w:r>
        <w:rPr>
          <w:rFonts w:ascii="Arial" w:cs="Arial" w:eastAsia="Arial" w:hAnsi="Arial"/>
          <w:sz w:val="22"/>
          <w:szCs w:val="22"/>
        </w:rPr>
        <w:t xml:space="preserve">Bu doküman, projede kullanılan her bir temel teknoloji kararını açıklar; neden seçildiğini, hangi alternatiflerin değerlendirildiğini ve seçilmeme gerekçelerini karşılaştırmalı olarak sunar.</w:t>
      </w:r>
    </w:p>
    <w:p>
      <w:pPr>
        <w:pStyle w:val="Heading1"/>
        <w:spacing w:after="200" w:before="360"/>
      </w:pPr>
      <w:r>
        <w:rPr>
          <w:rFonts w:ascii="Arial" w:cs="Arial" w:eastAsia="Arial" w:hAnsi="Arial"/>
        </w:rPr>
        <w:t xml:space="preserve">2. Programlama Dili: Rust</w:t>
      </w:r>
    </w:p>
    <w:p>
      <w:pPr>
        <w:spacing w:after="160" w:line="300"/>
      </w:pPr>
      <w:r>
        <w:rPr>
          <w:rFonts w:ascii="Arial" w:cs="Arial" w:eastAsia="Arial" w:hAnsi="Arial"/>
          <w:sz w:val="22"/>
          <w:szCs w:val="22"/>
        </w:rPr>
        <w:t xml:space="preserve">Proje başlangıçta C++20 ile geliştiriliyordu (v1). 15 Nisan 2026 tarihinde Rust diline geçiş kararı alındı. Bu pivot kararının arkasındaki temel nedenler:</w:t>
      </w:r>
    </w:p>
    <w:p>
      <w:pPr>
        <w:spacing w:after="160" w:line="300"/>
      </w:pPr>
      <w:r>
        <w:rPr>
          <w:rFonts w:ascii="Arial" w:cs="Arial" w:eastAsia="Arial" w:hAnsi="Arial"/>
          <w:sz w:val="22"/>
          <w:szCs w:val="22"/>
        </w:rPr>
        <w:t xml:space="preserve">Rust, derleme zamanında bellek güvenliği (ownership + borrow checker) sağlar. Blokzincir yazılımında bir use-after-free veya buffer overflow, milyonlarca dolarlık fon kaybına yol açabilir. Rust’ın sıfır maliyetli soyutlamaları (zero-cost abstractions) C++ performansına yakın sonuçlar verirken, unsafe kod blokları olmadan bellek hatalarını ortadan kaldırır.</w:t>
      </w:r>
    </w:p>
    <w:p>
      <w:pPr>
        <w:spacing w:after="160" w:line="300"/>
      </w:pPr>
      <w:r>
        <w:rPr>
          <w:rFonts w:ascii="Arial" w:cs="Arial" w:eastAsia="Arial" w:hAnsi="Arial"/>
          <w:sz w:val="22"/>
          <w:szCs w:val="22"/>
        </w:rPr>
        <w:t xml:space="preserve">Cargo ekosistemi (workspace, crate, dependency yönetimi) C++’ın CMake/Conan karışıklığına kıyasla çok daha tutarlıdır. Ayrıca Rust’ın libp2p, serde, tokio gibi blokzincir ekosisteminde olgun kütüphaneleri vardır.</w:t>
      </w:r>
    </w:p>
    <w:p>
      <w:pPr>
        <w:pStyle w:val="Heading2"/>
        <w:spacing w:after="160" w:before="280"/>
      </w:pPr>
      <w:r>
        <w:rPr>
          <w:rFonts w:ascii="Arial" w:cs="Arial" w:eastAsia="Arial" w:hAnsi="Arial"/>
        </w:rPr>
        <w:t xml:space="preserve">2.1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Bellek güvenliği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(derleme zamanı)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Runtime hata riski; sanitizer’lar tam kapsam sağlamaz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Bellek güvenliği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(GC)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Garbage collector deterministik değil; konsensüs için uygunsuz</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Performans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 (≈C++)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Java/C#</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JIT sıcak yol dışında tahmin edilemez; GC duraklamaları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Ekosistem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Cargo + crates.io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CMake + Conan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Karmaşık build zinciri, tutarsız bağımlılık yönetimi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Async runtime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Tokio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 asio</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Standart değil; derleyiciye göre farklılık gösterir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(Send/Sync)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(goroutine)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race korunması derleyici düzeyinde değil</w:t>
            </w:r>
          </w:p>
        </w:tc>
      </w:tr>
    </w:tbl>
    <w:p>
      <w:r>
        <w:br w:type="page"/>
      </w:r>
    </w:p>
    <w:p>
      <w:pPr>
        <w:pStyle w:val="Heading1"/>
        <w:spacing w:after="200" w:before="360"/>
      </w:pPr>
      <w:r>
        <w:rPr>
          <w:rFonts w:ascii="Arial" w:cs="Arial" w:eastAsia="Arial" w:hAnsi="Arial"/>
        </w:rPr>
        <w:t xml:space="preserve">3. Durum Modeli: UTXO + eUTXO</w:t>
      </w:r>
    </w:p>
    <w:p>
      <w:pPr>
        <w:spacing w:after="160" w:line="300"/>
      </w:pPr>
      <w:r>
        <w:rPr>
          <w:rFonts w:ascii="Arial" w:cs="Arial" w:eastAsia="Arial" w:hAnsi="Arial"/>
          <w:sz w:val="22"/>
          <w:szCs w:val="22"/>
        </w:rPr>
        <w:t xml:space="preserve">QuantumVault, Bitcoin’in UTXO modelini Cardano’nun genişletilmiş UTXO (eUTXO) yaklaşımıyla birleştirir. Her UTXO; değer (value), kilitleme betiği (locking_script), opsiyonel datum (ek veri) ve opsiyonel stealth_info taşır.</w:t>
      </w:r>
    </w:p>
    <w:p>
      <w:pPr>
        <w:spacing w:after="160" w:line="300"/>
      </w:pPr>
      <w:r>
        <w:rPr>
          <w:rFonts w:ascii="Arial" w:cs="Arial" w:eastAsia="Arial" w:hAnsi="Arial"/>
          <w:sz w:val="22"/>
          <w:szCs w:val="22"/>
        </w:rPr>
        <w:t xml:space="preserve">Bu model seçildi çünkü UTXO’lar doğası gereği birbirinden bağımsızdır — işlemler paralel doğrulanabilir. Ayrıca her işlem girdileri ve çıktıları açıkça belirtir, bu da istemci tarafı doğrulamayı (client-side validation) mümkün kılar. Gizlilik katı da UTXO modeliyle çok daha doğal entegre olur (stealth address’ler her UTXO’ya bağlanır).</w:t>
      </w:r>
    </w:p>
    <w:p>
      <w:pPr>
        <w:pStyle w:val="Heading2"/>
        <w:spacing w:after="160" w:before="280"/>
      </w:pPr>
      <w:r>
        <w:rPr>
          <w:rFonts w:ascii="Arial" w:cs="Arial" w:eastAsia="Arial" w:hAnsi="Arial"/>
        </w:rPr>
        <w:t xml:space="preserve">3.1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Paralellik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UTXO (doğal)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(Ethereum)</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Global state paylaşımı işlemleri sıraya sokar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Gizlilik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UTXO (stealth-uyumlu)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Hesap bakiyesi herkese açık; gizleme zor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DeFi uyumu</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eUTXO + Shared UTXO</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(native)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Shared UTXO Pattern ile AMM/lending mümkün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Determinizm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UTXO (tam)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(nonce)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Nonce çakışmaları kullanıcı deneyimini bozar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Karmaşıklık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eUTXO (orta)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(basit)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Account modeli geliştirici için daha sezgisel, ancak trade-off’lar ağır</w:t>
            </w:r>
          </w:p>
        </w:tc>
      </w:tr>
    </w:tbl>
    <w:p>
      <w:pPr>
        <w:pStyle w:val="Heading1"/>
        <w:spacing w:after="200" w:before="360"/>
      </w:pPr>
      <w:r>
        <w:rPr>
          <w:rFonts w:ascii="Arial" w:cs="Arial" w:eastAsia="Arial" w:hAnsi="Arial"/>
        </w:rPr>
        <w:t xml:space="preserve">4. Konsensüs Mekanizması: Ouroboros Praos</w:t>
      </w:r>
    </w:p>
    <w:p>
      <w:pPr>
        <w:spacing w:after="160" w:line="300"/>
      </w:pPr>
      <w:r>
        <w:rPr>
          <w:rFonts w:ascii="Arial" w:cs="Arial" w:eastAsia="Arial" w:hAnsi="Arial"/>
          <w:sz w:val="22"/>
          <w:szCs w:val="22"/>
        </w:rPr>
        <w:t xml:space="preserve">QuantumVault, Ouroboros Praos protokolünü kullanır: VRF (Verifiable Random Function) ile stake-orantılı slot lider seçimi, 2 saniyelik slot süresi, 12 saatlik epoch ve k=50 blok derinliğinde finalite. Bu saf Proof-of-Stake (Nakamoto-tarzı PoS) modeli, DeFi uygulamaları için gereken düşük gecikme ve hızlı finaliteyi sağlar.</w:t>
      </w:r>
    </w:p>
    <w:p>
      <w:pPr>
        <w:spacing w:after="160" w:line="300"/>
      </w:pPr>
      <w:r>
        <w:rPr>
          <w:rFonts w:ascii="Arial" w:cs="Arial" w:eastAsia="Arial" w:hAnsi="Arial"/>
          <w:sz w:val="22"/>
          <w:szCs w:val="22"/>
        </w:rPr>
        <w:t xml:space="preserve">Başlangıçta hibrit PoW+PoS değerlendirilmişti ancak terk edildi. PoW bileşeni enerji tüketimi, madencilik donanımı merkezileşmesi ve finalite gecikmesi sorunları yaratacaktı. Saf PoS ile 100 saniyede finalite elde edilirken, PoW’da bu süre dakikalarca uzayabilirdi.</w:t>
      </w:r>
    </w:p>
    <w:p>
      <w:pPr>
        <w:pStyle w:val="Heading2"/>
        <w:spacing w:after="160" w:before="280"/>
      </w:pPr>
      <w:r>
        <w:rPr>
          <w:rFonts w:ascii="Arial" w:cs="Arial" w:eastAsia="Arial" w:hAnsi="Arial"/>
        </w:rPr>
        <w:t xml:space="preserve">4.1 Karşılaştırma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Finalite hızı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Praos (~100sn)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PoW (Bitcoin)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 dakika (6 blok); DeFi için kabul edilemez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Enerji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(düşük)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Yüksek enerji tüketimi; çevresel kaygılar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Merkezileşme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Praos (stake dağılımı)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DPoS (EOS)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Az sayıda delege; sansür riski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Güvenlik kanıtı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Praos (matematiksel)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Tendermint (BFT)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çoğunluk; 1/3 düşmanca düğüm yeterli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Sybil direnci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Stake tabanlı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PoW</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ASIC üretim tekelciliği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Slot süresi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saniye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 (~0.4sn)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Aşırı hız güvenilirlik kaybına yol açar</w:t>
            </w:r>
          </w:p>
        </w:tc>
      </w:tr>
    </w:tbl>
    <w:p>
      <w:r>
        <w:br w:type="page"/>
      </w:r>
    </w:p>
    <w:p>
      <w:pPr>
        <w:pStyle w:val="Heading1"/>
        <w:spacing w:after="200" w:before="360"/>
      </w:pPr>
      <w:r>
        <w:rPr>
          <w:rFonts w:ascii="Arial" w:cs="Arial" w:eastAsia="Arial" w:hAnsi="Arial"/>
        </w:rPr>
        <w:t xml:space="preserve">5. Kriptografi: Hibrit Post-Kuantum Model</w:t>
      </w:r>
    </w:p>
    <w:p>
      <w:pPr>
        <w:spacing w:after="160" w:line="300"/>
      </w:pPr>
      <w:r>
        <w:rPr>
          <w:rFonts w:ascii="Arial" w:cs="Arial" w:eastAsia="Arial" w:hAnsi="Arial"/>
          <w:sz w:val="22"/>
          <w:szCs w:val="22"/>
        </w:rPr>
        <w:t xml:space="preserve">QuantumVault’un temel güvenlik felsefesi “hibritlik”dir: her kriptografik işlem hem klasik hem de post-kuantum (PQC) algoritmalarıyla korunur. Bir saldırganın her iki algoritmayı aynı anda kırması gerekir.</w:t>
      </w:r>
    </w:p>
    <w:p>
      <w:pPr>
        <w:pStyle w:val="Heading2"/>
        <w:spacing w:after="160" w:before="280"/>
      </w:pPr>
      <w:r>
        <w:rPr>
          <w:rFonts w:ascii="Arial" w:cs="Arial" w:eastAsia="Arial" w:hAnsi="Arial"/>
        </w:rPr>
        <w:t xml:space="preserve">5.1 Dijital İmzalar: Dilithium (ML-DSA)</w:t>
      </w:r>
    </w:p>
    <w:p>
      <w:pPr>
        <w:spacing w:after="160" w:line="300"/>
      </w:pPr>
      <w:r>
        <w:rPr>
          <w:rFonts w:ascii="Arial" w:cs="Arial" w:eastAsia="Arial" w:hAnsi="Arial"/>
          <w:sz w:val="22"/>
          <w:szCs w:val="22"/>
        </w:rPr>
        <w:t xml:space="preserve">NIST FIPS 204 standardı olan Dilithium (ML-DSA), latis tabanlı bir post-kuantum imza şemasıdır. Varsayılan güvenlik seviyesi Level 3’tür (192-bit post-kuantum güvenlik).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Standartlaşma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Dilithium (NIST)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SPHINCS+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NIST onaylı ancak imza boyutu ~8-40 KB; ağ yükü</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Dilithium (hızlı)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Falcon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FFT bağımlı; sabit zamanlı impl. zor; patent kaygıları</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İmza boyutu</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Dilithium (~3.3 KB)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SPHINCS+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Hash-tabanlı = büyük; blok boyutunu şişirir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Olgunluk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Dilithium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önceki imza takibi gerekir; kullanıcı hatasına açık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Klasik eşdeğer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Dilithium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Ed25519</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Kuantum bilgisayarlara karşı savunmasız</w:t>
            </w:r>
          </w:p>
        </w:tc>
      </w:tr>
    </w:tbl>
    <w:p>
      <w:pPr>
        <w:pStyle w:val="Heading2"/>
        <w:spacing w:after="160" w:before="280"/>
      </w:pPr>
      <w:r>
        <w:rPr>
          <w:rFonts w:ascii="Arial" w:cs="Arial" w:eastAsia="Arial" w:hAnsi="Arial"/>
        </w:rPr>
        <w:t xml:space="preserve">5.2 Anahtar Kapsülleme: X25519 + Kyber Hibrit KEM</w:t>
      </w:r>
    </w:p>
    <w:p>
      <w:pPr>
        <w:spacing w:after="160" w:line="300"/>
      </w:pPr>
      <w:r>
        <w:rPr>
          <w:rFonts w:ascii="Arial" w:cs="Arial" w:eastAsia="Arial" w:hAnsi="Arial"/>
          <w:sz w:val="22"/>
          <w:szCs w:val="22"/>
        </w:rPr>
        <w:t xml:space="preserve">P2P tünelleme ve stealth address mekanizması için X25519 (klasik ECDH) ile Kyber/ML-KEM (PQC) birlikte kullanılır. Paylaşılan sır, her iki KEM’in çıktısı ve bir transcript-bound KDF (SHA3-256) ile türetiIir. Böylece PQC-only backdoor riski klasik kriptografi ile sigortalanmış olur.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PQC güvenliği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Kyber (NIST)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NTRU</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Daha eski; patent geçmişi karmaşık; Kyber NIST tercihi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Hibrit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X25519 + Kyber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Kyber tek başına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PQC-only backdoor riski; henüz tam güvenilirlik yok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Performans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Kyber (hızlı)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SIKE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SIKE kırıldı (2022); artık güvenli değil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Klasik KEM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X25519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RSA-2048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Daha yavaş; anahtar boyutu çok büyük</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KDF</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SHA3-256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HKDF-SHA256</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SHA3 kuantum direnci daha yüksek (Keccak sponge)</w:t>
            </w:r>
          </w:p>
        </w:tc>
      </w:tr>
    </w:tbl>
    <w:p>
      <w:pPr>
        <w:pStyle w:val="Heading2"/>
        <w:spacing w:after="160" w:before="280"/>
      </w:pPr>
      <w:r>
        <w:rPr>
          <w:rFonts w:ascii="Arial" w:cs="Arial" w:eastAsia="Arial" w:hAnsi="Arial"/>
        </w:rPr>
        <w:t xml:space="preserve">5.3 Hash Fonksiyonları: SHA3-256 + BLAKE3</w:t>
      </w:r>
    </w:p>
    <w:p>
      <w:pPr>
        <w:spacing w:after="160" w:line="300"/>
      </w:pPr>
      <w:r>
        <w:rPr>
          <w:rFonts w:ascii="Arial" w:cs="Arial" w:eastAsia="Arial" w:hAnsi="Arial"/>
          <w:sz w:val="22"/>
          <w:szCs w:val="22"/>
        </w:rPr>
        <w:t xml:space="preserve">Temel hash fonksiyonu olarak SHA3-256 (Keccak) kullanılır. SHA3’ün sponge yapısı, SHA2’ye kıyasla kuantum saldırılara karşı daha güçlü dirence sahiptir. BLAKE3 ise yüksek hız gerektiren paralel hesaplamalar için alternatif olarak mevcuttur.</w:t>
      </w:r>
    </w:p>
    <w:p>
      <w:r>
        <w:br w:type="page"/>
      </w:r>
    </w:p>
    <w:p>
      <w:pPr>
        <w:pStyle w:val="Heading1"/>
        <w:spacing w:after="200" w:before="360"/>
      </w:pPr>
      <w:r>
        <w:rPr>
          <w:rFonts w:ascii="Arial" w:cs="Arial" w:eastAsia="Arial" w:hAnsi="Arial"/>
        </w:rPr>
        <w:t xml:space="preserve">6. Gizlilik Katmanı</w:t>
      </w:r>
    </w:p>
    <w:p>
      <w:pPr>
        <w:pStyle w:val="Heading2"/>
        <w:spacing w:after="160" w:before="280"/>
      </w:pPr>
      <w:r>
        <w:rPr>
          <w:rFonts w:ascii="Arial" w:cs="Arial" w:eastAsia="Arial" w:hAnsi="Arial"/>
        </w:rPr>
        <w:t xml:space="preserve">6.1 Stealth Addresses (Varsayılan)</w:t>
      </w:r>
    </w:p>
    <w:p>
      <w:pPr>
        <w:spacing w:after="160" w:line="300"/>
      </w:pPr>
      <w:r>
        <w:rPr>
          <w:rFonts w:ascii="Arial" w:cs="Arial" w:eastAsia="Arial" w:hAnsi="Arial"/>
          <w:sz w:val="22"/>
          <w:szCs w:val="22"/>
        </w:rPr>
        <w:t xml:space="preserve">Her işlem çıktısı varsayılan olarak stealth address kullanır. Gönderen, alıcının Kyber view key’ine karşı KEM encapsulate yaparak tek kullanımlık bir adres türetiIir. Alıcı view key ile tarar, spend key ile harcar.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Gizlilik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Stealth (UTXO başına)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Ring Signatures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Blok boyutunu şişirir; ölçeklenme sorunu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PQC uyumu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Kyber + Dilithium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Monero (Ed25519)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Kuantum güvensiz; migration zor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Hesaplama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Stealth (hafif)</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ZK-SNARK</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Prover süresi saniyeler; kullanıcı deneyimi kötü</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Denetim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key paylaşımı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Zcash (sapling)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Seçici ifşa mekanizması sınırlı</w:t>
            </w:r>
          </w:p>
        </w:tc>
      </w:tr>
    </w:tbl>
    <w:p>
      <w:pPr>
        <w:pStyle w:val="Heading2"/>
        <w:spacing w:after="160" w:before="280"/>
      </w:pPr>
      <w:r>
        <w:rPr>
          <w:rFonts w:ascii="Arial" w:cs="Arial" w:eastAsia="Arial" w:hAnsi="Arial"/>
        </w:rPr>
        <w:t xml:space="preserve">6.2 Confidential Amounts (Opsiyonel)</w:t>
      </w:r>
    </w:p>
    <w:p>
      <w:pPr>
        <w:spacing w:after="160" w:line="300"/>
      </w:pPr>
      <w:r>
        <w:rPr>
          <w:rFonts w:ascii="Arial" w:cs="Arial" w:eastAsia="Arial" w:hAnsi="Arial"/>
          <w:sz w:val="22"/>
          <w:szCs w:val="22"/>
        </w:rPr>
        <w:t xml:space="preserve">Kullanıcılar istediklerinde miktar gizliliğini aktif edebilir. Pedersen commitment (Curve25519) ve Bulletproofs range proof kullanılır. Bu bileşen bilinçli olarak klasik kriptografidir — PQC değildir. STARK range proof’a geçiş gelecek sürüm için planlanmıştır.</w:t>
      </w:r>
    </w:p>
    <w:p>
      <w:pPr>
        <w:pBdr>
          <w:left w:val="single" w:color="E74C3C" w:sz="12" w:space="8"/>
        </w:pBdr>
        <w:spacing w:after="160" w:line="300"/>
        <w:ind w:left="200"/>
      </w:pPr>
      <w:r>
        <w:rPr>
          <w:rFonts w:ascii="Arial" w:cs="Arial" w:eastAsia="Arial" w:hAnsi="Arial"/>
          <w:i/>
          <w:iCs/>
          <w:color w:val="C0392B"/>
          <w:sz w:val="22"/>
          <w:szCs w:val="22"/>
        </w:rPr>
        <w:t xml:space="preserve">Önemli: Bulletproofs klasik Curve25519 kullanır ve post-kuantum güvenli değildir. Kullanıcılar bu trade-off’u bilerek tercih eder.</w:t>
      </w:r>
    </w:p>
    <w:p>
      <w:pPr>
        <w:pStyle w:val="Heading1"/>
        <w:spacing w:after="200" w:before="360"/>
      </w:pPr>
      <w:r>
        <w:rPr>
          <w:rFonts w:ascii="Arial" w:cs="Arial" w:eastAsia="Arial" w:hAnsi="Arial"/>
        </w:rPr>
        <w:t xml:space="preserve">7. MEV Stratejisi: Encrypted Mempool</w:t>
      </w:r>
    </w:p>
    <w:p>
      <w:pPr>
        <w:spacing w:after="160" w:line="300"/>
      </w:pPr>
      <w:r>
        <w:rPr>
          <w:rFonts w:ascii="Arial" w:cs="Arial" w:eastAsia="Arial" w:hAnsi="Arial"/>
          <w:sz w:val="22"/>
          <w:szCs w:val="22"/>
        </w:rPr>
        <w:t xml:space="preserve">İşlemler mempool’a threshold Kyber ile şifreli olarak girer. Slot lideri ve validatör komitesi (t-of-n) blok önerirken topluca çözer. Deterministik batch sıralama uygulandıktan sonra MEV fırsatı ortadan kalkar.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MEV koruması</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Encrypted mempool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Flashbots (MEV-Boost)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MEV’i yeniden dağıtır ama ortadan kaldırmaz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PQC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Kyber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Commit-reveal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Klasik; ayrıca iki turlu gecikme ekler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Adalet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Deterministik sıra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FIFO/PBS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Manipulasyona açık (latency avantajı)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Karmaşıklık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KEM (orta)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TEE (SGX)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Donanım güven modeli; yan kanal saldırıları</w:t>
            </w:r>
          </w:p>
        </w:tc>
      </w:tr>
    </w:tbl>
    <w:p>
      <w:r>
        <w:br w:type="page"/>
      </w:r>
    </w:p>
    <w:p>
      <w:pPr>
        <w:pStyle w:val="Heading1"/>
        <w:spacing w:after="200" w:before="360"/>
      </w:pPr>
      <w:r>
        <w:rPr>
          <w:rFonts w:ascii="Arial" w:cs="Arial" w:eastAsia="Arial" w:hAnsi="Arial"/>
        </w:rPr>
        <w:t xml:space="preserve">8. Script VM: Sadece Doğrulama</w:t>
      </w:r>
    </w:p>
    <w:p>
      <w:pPr>
        <w:spacing w:after="160" w:line="300"/>
      </w:pPr>
      <w:r>
        <w:rPr>
          <w:rFonts w:ascii="Arial" w:cs="Arial" w:eastAsia="Arial" w:hAnsi="Arial"/>
          <w:sz w:val="22"/>
          <w:szCs w:val="22"/>
        </w:rPr>
        <w:t xml:space="preserve">QuantumVault’un script motoru stack-tabanlı, deterministik ve gas-limitlidir. Kritik tasarım kararı: L1 çekirdeği akıllı kontrat çalıştırmaz, sadece UTXO’nun harcanabilir olup olmadığını doğrular (validation-only). Bu yaklaşım Cardano’nun Plutus modeline benzer.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Yaklaşım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Validation-only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Execution (EVM)</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Global state mutasyonu; paralellik kısıtlı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Determinizm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 (float yok)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 (tam)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EVM de deterministik, ancak state bağımlılığı var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Gas modeli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Script başına limit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Global gas limit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Gas savaşları; önceliklendirme sorunları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Yetenek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UTXO doğrulama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Turing-complete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Sonsuz döngü riski; daha geniş saldırı yüzeyi</w:t>
            </w:r>
          </w:p>
        </w:tc>
      </w:tr>
    </w:tbl>
    <w:p>
      <w:pPr>
        <w:pStyle w:val="Heading1"/>
        <w:spacing w:after="200" w:before="360"/>
      </w:pPr>
      <w:r>
        <w:rPr>
          <w:rFonts w:ascii="Arial" w:cs="Arial" w:eastAsia="Arial" w:hAnsi="Arial"/>
        </w:rPr>
        <w:t xml:space="preserve">9. Ağ Katmanı: libp2p</w:t>
      </w:r>
    </w:p>
    <w:p>
      <w:pPr>
        <w:spacing w:after="160" w:line="300"/>
      </w:pPr>
      <w:r>
        <w:rPr>
          <w:rFonts w:ascii="Arial" w:cs="Arial" w:eastAsia="Arial" w:hAnsi="Arial"/>
          <w:sz w:val="22"/>
          <w:szCs w:val="22"/>
        </w:rPr>
        <w:t xml:space="preserve">P2P iletişim için rust-libp2p 0.54+ kullanılır. Kademlia DHT ile keşif, GossipSub ile blok/işlem yayılımı, Noise XX ile şifreleme ve Yamux ile multiplexing sağlanır.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Modülerlik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libp2p (yüksek)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devp2p (Ethereum)</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Özelleştirilmiş; ekosistem dışında kullanılmaz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Rust desteği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libp2p (native)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Özel TCP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 şeyi sıfırdan yazmak gerekir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Gossip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GossipSub 1.1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Flood fill</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Ölçeklenme sorunu; bant genişliği israfı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Kademlia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Kademlia daha iyi test edilmiş; IPFS/Filecoin kullanıyor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Şifreleme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Noise XX</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TLS 1.3</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TLS sertifika yönetimi gerektir; P2P için ağır</w:t>
            </w:r>
          </w:p>
        </w:tc>
      </w:tr>
    </w:tbl>
    <w:p>
      <w:pPr>
        <w:pStyle w:val="Heading1"/>
        <w:spacing w:after="200" w:before="360"/>
      </w:pPr>
      <w:r>
        <w:rPr>
          <w:rFonts w:ascii="Arial" w:cs="Arial" w:eastAsia="Arial" w:hAnsi="Arial"/>
        </w:rPr>
        <w:t xml:space="preserve">10. Depolama: RocksDB + redb</w:t>
      </w:r>
    </w:p>
    <w:p>
      <w:pPr>
        <w:spacing w:after="160" w:line="300"/>
      </w:pPr>
      <w:r>
        <w:rPr>
          <w:rFonts w:ascii="Arial" w:cs="Arial" w:eastAsia="Arial" w:hAnsi="Arial"/>
          <w:sz w:val="22"/>
          <w:szCs w:val="22"/>
        </w:rPr>
        <w:t xml:space="preserve">Birincil depolama motoru RocksDB’dir (LSM-tree tabanlı, yüksek yazma performansı). Saf Rust alternatifi olarak redb (B+tree tabanlı) desteklenir. Her ikisi de KvStore trait’i arkasında soyutlanmıştır.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Üretim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RocksDB</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LevelDB</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RocksDB daha gelişmiş; sıkıştırma + bloom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Pure-Rust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redb (fallback)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sled bakımsız (unmaintained); veri kaybı raporları</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MemoryKvStore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SQLite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Bellek içi daha hızlı; test için yeterli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Soyutlama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KvStore trait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Doğrudan bağlama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 ile backend değiştirmek kolay</w:t>
            </w:r>
          </w:p>
        </w:tc>
      </w:tr>
    </w:tbl>
    <w:p>
      <w:r>
        <w:br w:type="page"/>
      </w:r>
    </w:p>
    <w:p>
      <w:pPr>
        <w:pStyle w:val="Heading1"/>
        <w:spacing w:after="200" w:before="360"/>
      </w:pPr>
      <w:r>
        <w:rPr>
          <w:rFonts w:ascii="Arial" w:cs="Arial" w:eastAsia="Arial" w:hAnsi="Arial"/>
        </w:rPr>
        <w:t xml:space="preserve">11. Rust Ekosistemi Bağımlılıkları</w:t>
      </w:r>
    </w:p>
    <w:p>
      <w:pPr>
        <w:spacing w:after="160" w:line="300"/>
      </w:pPr>
      <w:r>
        <w:rPr>
          <w:rFonts w:ascii="Arial" w:cs="Arial" w:eastAsia="Arial" w:hAnsi="Arial"/>
          <w:sz w:val="22"/>
          <w:szCs w:val="22"/>
        </w:rPr>
        <w:t xml:space="preserve">Projede kullanılan temel Rust crate’leri ve tercih gerekçeleri: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Crate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Kategöri</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Tercih Gerekçesi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serde + bincode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Serializasyon</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Deterministic binary encoding; blokzincir için gerekli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thiserror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yönetimi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 macro ile temiz hata enumları; anyhow’a göre tip-güvenli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tokio</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Async runtime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 olgun Rust async runtime; libp2p uyumlu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tracing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Loglama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Yapısal log; span/field desteği; log crate’e göre üstün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zeroize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Güvenlik</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Secret key’leri drop’ta sıfırlar; bellek sızıntısını önler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proptest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Property-based testing; edge case keşfi; fuzzing alternatifi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criterion</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Benchmark</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Mikro-benchmark; istatistiksel analiz</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dashmap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map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Lock-free okuma; RwLock’a göre hızlı</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parking_lot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Senkronizasyon</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std::sync’e göre daha hızlı mutex/rwlock</w:t>
            </w:r>
          </w:p>
        </w:tc>
      </w:tr>
    </w:tbl>
    <w:p>
      <w:pPr>
        <w:pStyle w:val="Heading1"/>
        <w:spacing w:after="200" w:before="360"/>
      </w:pPr>
      <w:r>
        <w:rPr>
          <w:rFonts w:ascii="Arial" w:cs="Arial" w:eastAsia="Arial" w:hAnsi="Arial"/>
        </w:rPr>
        <w:t xml:space="preserve">12. Build Sistemi: Nix + Cargo</w:t>
      </w:r>
    </w:p>
    <w:p>
      <w:pPr>
        <w:spacing w:after="160" w:line="300"/>
      </w:pPr>
      <w:r>
        <w:rPr>
          <w:rFonts w:ascii="Arial" w:cs="Arial" w:eastAsia="Arial" w:hAnsi="Arial"/>
          <w:sz w:val="22"/>
          <w:szCs w:val="22"/>
        </w:rPr>
        <w:t xml:space="preserve">Geliştirme ortamı Nix flake ile reproducible şekilde tanımlanmıştır. Cargo workspace 13 crate’i (10 library + 3 binary) tek bir derlemede yönetir. Görev koşucusu olarak just (Justfile) kullanılır.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Reproducibility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Nix flake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Docker</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Nix bit-identical; Docker katman bağımlı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Cargo workspace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Bazel Rust desteği olgunlaşmamış; Cargo native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Task runner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just sözdizimi daha temiz; cross-platform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Jenkins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native; Actions marketplace zengin</w:t>
            </w:r>
          </w:p>
        </w:tc>
      </w:tr>
    </w:tbl>
    <w:p>
      <w:pPr>
        <w:pStyle w:val="Heading1"/>
        <w:spacing w:after="200" w:before="360"/>
      </w:pPr>
      <w:r>
        <w:rPr>
          <w:rFonts w:ascii="Arial" w:cs="Arial" w:eastAsia="Arial" w:hAnsi="Arial"/>
        </w:rPr>
        <w:t xml:space="preserve">13. Tokenomics: Bitcoin Modeli</w:t>
      </w:r>
    </w:p>
    <w:p>
      <w:pPr>
        <w:spacing w:after="160" w:line="300"/>
      </w:pPr>
      <w:r>
        <w:rPr>
          <w:rFonts w:ascii="Arial" w:cs="Arial" w:eastAsia="Arial" w:hAnsi="Arial"/>
          <w:sz w:val="22"/>
          <w:szCs w:val="22"/>
        </w:rPr>
        <w:t xml:space="preserve">21 milyon sabit arz, halving dönemleriyle azalan blok ödülleri. İşlem ücretleri yakılmaz, stake pool operatörlerine ve delegatörlere dağıtılır. Bu model Bitcoin’in kanıtlanmış deflasyonist yapısını korurken, PoS ile enerji verimliliği sağlar.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Seçilen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Alternatif</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Seçilmeme Nedeni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Arz modeli</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Sabit 21M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Sonsuz enflasyon (ETH pre-merge)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Enflasyon uzun vadede değer aşındırır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Ücret dağıtımı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 delegator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burning (EIP-1559)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 modeli stake’çileri ödülsiz bırakır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Emisyon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Halving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Sabit oran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Halving piyasa döngülerini destekler</w:t>
            </w:r>
          </w:p>
        </w:tc>
      </w:tr>
    </w:tbl>
    <w:p>
      <w:r>
        <w:br w:type="page"/>
      </w:r>
    </w:p>
    <w:p>
      <w:pPr>
        <w:pStyle w:val="Heading1"/>
        <w:spacing w:after="200" w:before="360"/>
      </w:pPr>
      <w:r>
        <w:rPr>
          <w:rFonts w:ascii="Arial" w:cs="Arial" w:eastAsia="Arial" w:hAnsi="Arial"/>
        </w:rPr>
        <w:t xml:space="preserve">14. Özet: Tüm Teknoloji Kararları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Katman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Seçim</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Temel Gerekçe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Programlama Dili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Rust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Bellek güvenliği, performans, Cargo ekosistemi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Durum Modeli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UTXO + eUTXO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Paralellik, gizlilik uyumu, determinizm</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Konsensüs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Ouroboros Praos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Hızlı finalite, düşük enerji, matematiksel kanıt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İmza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Dilithium (ML-DSA)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standardı, hızlı, kompakt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X25519 + Kyber</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Hibrit güvenlik; PQC + klasik sigorta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SHA3-256 + BLAKE3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Kuantum direnci; performans alternatifleri</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Gizlilik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Stealth + Bulletproofs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Varsayılan stealth; opsiyonel miktar gizliliği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MEV Koruması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Mempool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Kyber ile şifreli işlem havuzu</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Script VM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Validation-only</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Güvenli, deterministik, paralel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Ağ</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libp2p 0.54+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Modüler, olgun, Rust-native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Depolama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RocksDB + redb</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Performans + saf Rust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Nix + Cargo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Reproducible ortam; native Rust build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Tokenomics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21M sabit, halving</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Kanıtlanmış deflasyonist model</w:t>
            </w:r>
          </w:p>
        </w:tc>
      </w:tr>
    </w:tbl>
    <w:p>
      <w:pPr>
        <w:spacing w:before="400"/>
      </w:pPr>
    </w:p>
    <w:p>
      <w:pPr>
        <w:spacing w:after="160" w:line="300"/>
      </w:pPr>
      <w:r>
        <w:rPr>
          <w:rFonts w:ascii="Arial" w:cs="Arial" w:eastAsia="Arial" w:hAnsi="Arial"/>
          <w:sz w:val="22"/>
          <w:szCs w:val="22"/>
        </w:rPr>
        <w:t xml:space="preserve">Bu dokümandaki tüm kararlar, projenin kuantum güvenliği, yüksek performans, gizlilik ve DeFi uyumluluğu hedefleri doğrultusunda alınmıştır. Her seçim, somut alternatiflerle karşılaştırılarak değerlendirilmiş ve mimari kararlar olarak belgelenmiştir.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8C8D"/>
        <w:sz w:val="18"/>
        <w:szCs w:val="18"/>
      </w:rPr>
      <w:t xml:space="preserve">Sayfa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7F8C8D"/>
        <w:sz w:val="18"/>
        <w:szCs w:val="18"/>
      </w:rPr>
      <w:t xml:space="preserve">QuantumVault — Teknoloji Kararları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2026-04-27T08:14:32.039Z</dcterms:created>
  <dcterms:modified xsi:type="dcterms:W3CDTF">2026-04-27T08:14:32.041Z</dcterms:modified>
</cp:coreProperties>
</file>

<file path=docProps/custom.xml><?xml version="1.0" encoding="utf-8"?>
<Properties xmlns="http://schemas.openxmlformats.org/officeDocument/2006/custom-properties" xmlns:vt="http://schemas.openxmlformats.org/officeDocument/2006/docPropsVTypes"/>
</file>