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/>
          <w:b/>
          <w:color w:val="16324F"/>
          <w:sz w:val="44"/>
        </w:rPr>
        <w:t>ALI MOHAMMADI</w:t>
      </w:r>
    </w:p>
    <w:p>
      <w:pPr>
        <w:spacing w:after="60"/>
        <w:jc w:val="center"/>
      </w:pPr>
      <w:r>
        <w:rPr>
          <w:rFonts w:ascii="Calibri" w:hAnsi="Calibri" w:cs="Calibri"/>
          <w:b/>
          <w:color w:val="5F6B76"/>
          <w:sz w:val="22"/>
        </w:rPr>
        <w:t>Trustworthy AI | Evidence-grounded NLP | Research systems</w:t>
      </w:r>
    </w:p>
    <w:p>
      <w:pPr>
        <w:spacing w:after="140"/>
        <w:jc w:val="center"/>
      </w:pPr>
      <w:r>
        <w:rPr>
          <w:rFonts w:ascii="Calibri" w:hAnsi="Calibri" w:cs="Calibri"/>
          <w:color w:val="5F6B76"/>
          <w:sz w:val="17"/>
        </w:rPr>
        <w:t>Tehran, Iran | +98 936 239 2457 | ali.mohammadi@cytognosis.org | linkedin.com/in/ali-mohammadi | github.com/AliMohammadiiii | mohammadi-ali.ir</w:t>
      </w:r>
    </w:p>
    <w:p>
      <w:pPr>
        <w:pStyle w:val="Heading1"/>
      </w:pPr>
      <w:r>
        <w:t>Profile</w:t>
      </w:r>
    </w:p>
    <w:p>
      <w:r>
        <w:t>AI researcher and engineering lead working on reliable language-model systems, persistent-memory governance, structured representation, and reproducible evaluation. Research experience spans controlled benchmark design, provenance and revision lineage, ontology-guided representation learning, retrieval systems, and open-source scientific software. Industry work includes enterprise agent platforms, fintech, and vehicle-data systems, with experience carrying projects from research question through implementation and evaluation.</w:t>
      </w:r>
    </w:p>
    <w:p>
      <w:pPr>
        <w:pStyle w:val="Heading1"/>
      </w:pPr>
      <w:r>
        <w:t>Research interests</w:t>
      </w:r>
    </w:p>
    <w:p>
      <w:r>
        <w:t>Automated fact-checking; evidence-grounded NLP; selective prediction and abstention; temporal and provenance-aware state; trustworthy and agentic AI; long-term memory; knowledge graphs and ontologies; structured evaluation.</w:t>
      </w:r>
    </w:p>
    <w:p>
      <w:pPr>
        <w:pStyle w:val="Heading1"/>
      </w:pPr>
      <w:r>
        <w:t>Education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M.Eng., Artificial Intelligence and Robotics</w:t>
      </w:r>
      <w:r>
        <w:rPr>
          <w:rFonts w:ascii="Calibri" w:hAnsi="Calibri" w:cs="Calibri"/>
          <w:b/>
          <w:color w:val="5F6B76"/>
          <w:sz w:val="18"/>
        </w:rPr>
        <w:tab/>
        <w:t>2024-2026 (expected)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University of Tehran | GPA 17.85/20 | Adviser: Dr Yadollah Yaghoobzadeh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Thesis: Keep, Supersede, or Abstain: Interpretable Revision Control for Personalized LLM Memory.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Selected coursework: Statistical Inference 20/20; Social Network Analysis 20/20; Neural Networks and Deep Learning 19.37/20; Large Language Models 18.4/20.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B.Eng., Computer Engineering (Minor: Software Systems)</w:t>
      </w:r>
      <w:r>
        <w:rPr>
          <w:rFonts w:ascii="Calibri" w:hAnsi="Calibri" w:cs="Calibri"/>
          <w:b/>
          <w:color w:val="5F6B76"/>
          <w:sz w:val="18"/>
        </w:rPr>
        <w:tab/>
        <w:t>2020-2024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University of Tehran | GPA 18.44/20 | Top 5% of cohort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Thesis: lightweight sequential message authentication for Controller Area Network communication; advised by Professor Mohammad Sayad Haghighi; manuscript in preparation.</w:t>
      </w:r>
    </w:p>
    <w:p>
      <w:pPr>
        <w:pStyle w:val="Heading1"/>
      </w:pPr>
      <w:r>
        <w:t>Research experience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Interpretable Revision Control for Personalized LLM Memory</w:t>
      </w:r>
      <w:r>
        <w:rPr>
          <w:rFonts w:ascii="Calibri" w:hAnsi="Calibri" w:cs="Calibri"/>
          <w:b/>
          <w:color w:val="5F6B76"/>
          <w:sz w:val="18"/>
        </w:rPr>
        <w:tab/>
        <w:t>2025-present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University of Tehran | M.Eng. thesis | Adviser: Dr Yadollah Yaghoobzadeh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Designed MGP-6 v2, an author-designed 180-scenario controlled diagnostic separating write decisions, versioned state and lineage, and answer realisation.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The LLM controller achieved 88.9% write-decision accuracy against 42.2% for naive overwrite; independent annotation of the held-out split reached Cohen's kappa of 0.981.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Built reproducible controllers, baselines, state and provenance checks, audit ledgers, statistical analyses, and external-framework adapters.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Research Affiliate</w:t>
      </w:r>
      <w:r>
        <w:rPr>
          <w:rFonts w:ascii="Calibri" w:hAnsi="Calibri" w:cs="Calibri"/>
          <w:b/>
          <w:color w:val="5F6B76"/>
          <w:sz w:val="18"/>
        </w:rPr>
        <w:tab/>
        <w:t>2025-present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Cytognosis Foundation | Adviser: Dr Shahin Mohammadi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Developing ontology-guided representation learning for 1,671 neurobehavioral phenotypes using an EL++-compatible resource curated from HPO, NBO, and ASDPTO.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Diagnosed leaf-collapse in baseline box embeddings and fine-tuned Gemma 4 E2B-it with LoRA using ontology-graph and box-inclusion objectives; internal evaluation reports parent-retrieval Hits@10 of 0.897 and median rank of 2.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Built Yar, an evidence-grounded cognitive workspace with source-aware retrieval, persistent structured context, explicit authority and privacy boundaries, abstention, and validation before consequential actions.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PourYa (OuraDataHandler) - Open-source research software</w:t>
      </w:r>
      <w:r>
        <w:rPr>
          <w:rFonts w:ascii="Calibri" w:hAnsi="Calibri" w:cs="Calibri"/>
          <w:b/>
          <w:color w:val="5F6B76"/>
          <w:sz w:val="18"/>
        </w:rPr>
        <w:tab/>
        <w:t>2025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Computational Machinery of Cognition Lab | github.com/CMC-lab/PourYa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Developed a Python library for ingesting, cleaning, analysing, and visualising Oura Ring data, including API and CSV workflows, change-point detection, tests, documentation, and citation metadata.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Released version 1.0.0 under the MIT License; the repository includes a software paper, tests, documentation, and citation metadata.</w:t>
      </w:r>
    </w:p>
    <w:p>
      <w:pPr>
        <w:pStyle w:val="Heading1"/>
      </w:pPr>
      <w:r>
        <w:t>Industry and leadership experience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Innovation Lead and Product Lead, AI and Fintech Platform</w:t>
      </w:r>
      <w:r>
        <w:rPr>
          <w:rFonts w:ascii="Calibri" w:hAnsi="Calibri" w:cs="Calibri"/>
          <w:b/>
          <w:color w:val="5F6B76"/>
          <w:sz w:val="18"/>
        </w:rPr>
        <w:tab/>
        <w:t>2024-present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Injast, Entekhab Holding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Architected and led a configurable enterprise agent platform for decision support, spanning models, prompts, tools, knowledge sources, integrations, permissions, RAG, speech interfaces, and human handoff.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Led a 16-person cross-functional team and mentored contributors across research, prototyping, pilot evaluation, and product handover in digital identity, wallet, payments, and lending contexts.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Software Engineer, Machine Learning and Autonomy</w:t>
      </w:r>
      <w:r>
        <w:rPr>
          <w:rFonts w:ascii="Calibri" w:hAnsi="Calibri" w:cs="Calibri"/>
          <w:b/>
          <w:color w:val="5F6B76"/>
          <w:sz w:val="18"/>
        </w:rPr>
        <w:tab/>
        <w:t>2022-2024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Javaneh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Developed C++ and Python pipelines for motion-data processing, CAN-bus diagnostics, vehicle-network analysis, and predictive-failure modelling for self-driving commercial trucks.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Product Owner / Project Manager, Fintech and Platform Products</w:t>
      </w:r>
      <w:r>
        <w:rPr>
          <w:rFonts w:ascii="Calibri" w:hAnsi="Calibri" w:cs="Calibri"/>
          <w:b/>
          <w:color w:val="5F6B76"/>
          <w:sz w:val="18"/>
        </w:rPr>
        <w:tab/>
        <w:t>2021-2024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DigiPay and Midhco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Owned product delivery from discovery through launch and directed applied-AI work in fraud detection and credit scoring across payment and lending workflows.</w:t>
      </w:r>
    </w:p>
    <w:p>
      <w:pPr>
        <w:pStyle w:val="Heading1"/>
      </w:pPr>
      <w:r>
        <w:t>Teaching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Chief Teaching Assistant, Artificial Intelligence</w:t>
      </w:r>
      <w:r>
        <w:rPr>
          <w:rFonts w:ascii="Calibri" w:hAnsi="Calibri" w:cs="Calibri"/>
          <w:b/>
          <w:color w:val="5F6B76"/>
          <w:sz w:val="18"/>
        </w:rPr>
        <w:tab/>
        <w:t>2023-2026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University of Tehran | Dr Yadollah Yaghoobzadeh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Coordinated the teaching-assistant team for three academic years; mentored students; designed and graded assignments; and led sessions on supervised learning, optimisation, evaluation, and generalisation.</w:t>
      </w:r>
    </w:p>
    <w:p>
      <w:pPr>
        <w:keepNext/>
        <w:spacing w:before="40" w:after="20"/>
        <w:tabs>
          <w:tab w:val="right" w:pos="9360"/>
        </w:tabs>
      </w:pPr>
      <w:r>
        <w:rPr>
          <w:rFonts w:ascii="Calibri" w:hAnsi="Calibri" w:cs="Calibri"/>
          <w:b/>
          <w:color w:val="16324F"/>
          <w:sz w:val="19"/>
        </w:rPr>
        <w:t>Teaching Assistant, Engineering Probability and Statistics</w:t>
      </w:r>
      <w:r>
        <w:rPr>
          <w:rFonts w:ascii="Calibri" w:hAnsi="Calibri" w:cs="Calibri"/>
          <w:b/>
          <w:color w:val="5F6B76"/>
          <w:sz w:val="18"/>
        </w:rPr>
        <w:tab/>
        <w:t>2022-2023</w:t>
      </w:r>
    </w:p>
    <w:p>
      <w:pPr>
        <w:keepNext/>
        <w:spacing w:before="0" w:after="40"/>
      </w:pPr>
      <w:r>
        <w:rPr>
          <w:rFonts w:ascii="Calibri" w:hAnsi="Calibri" w:cs="Calibri"/>
          <w:i/>
          <w:color w:val="5F6B76"/>
          <w:sz w:val="18"/>
        </w:rPr>
        <w:t>University of Tehran | Dr Behnam Bahrak</w:t>
      </w:r>
    </w:p>
    <w:p>
      <w:pPr>
        <w:pStyle w:val="Heading1"/>
      </w:pPr>
      <w:r>
        <w:t>Technical skills</w:t>
      </w:r>
    </w:p>
    <w:p>
      <w:pPr>
        <w:spacing w:after="50"/>
      </w:pPr>
      <w:r>
        <w:rPr>
          <w:rFonts w:ascii="Calibri" w:hAnsi="Calibri" w:cs="Calibri"/>
          <w:b/>
          <w:color w:val="16324F"/>
          <w:sz w:val="19"/>
        </w:rPr>
        <w:t xml:space="preserve">AI and NLP: </w:t>
      </w:r>
      <w:r>
        <w:rPr>
          <w:rFonts w:ascii="Calibri" w:hAnsi="Calibri" w:cs="Calibri"/>
          <w:sz w:val="19"/>
        </w:rPr>
        <w:t>LLM engineering, agents, retrieval-augmented generation, long-term memory, LoRA fine-tuning, embeddings, selective prediction, abstention, human-in-the-loop systems, statistical evaluation.</w:t>
      </w:r>
    </w:p>
    <w:p>
      <w:pPr>
        <w:spacing w:after="50"/>
      </w:pPr>
      <w:r>
        <w:rPr>
          <w:rFonts w:ascii="Calibri" w:hAnsi="Calibri" w:cs="Calibri"/>
          <w:b/>
          <w:color w:val="16324F"/>
          <w:sz w:val="19"/>
        </w:rPr>
        <w:t xml:space="preserve">Knowledge representation: </w:t>
      </w:r>
      <w:r>
        <w:rPr>
          <w:rFonts w:ascii="Calibri" w:hAnsi="Calibri" w:cs="Calibri"/>
          <w:sz w:val="19"/>
        </w:rPr>
        <w:t>Knowledge graphs, ontologies (EL++, HPO, NBO, MONDO), box embeddings, graph neural networks, provenance and lineage modelling.</w:t>
      </w:r>
    </w:p>
    <w:p>
      <w:pPr>
        <w:spacing w:after="50"/>
      </w:pPr>
      <w:r>
        <w:rPr>
          <w:rFonts w:ascii="Calibri" w:hAnsi="Calibri" w:cs="Calibri"/>
          <w:b/>
          <w:color w:val="16324F"/>
          <w:sz w:val="19"/>
        </w:rPr>
        <w:t xml:space="preserve">Engineering: </w:t>
      </w:r>
      <w:r>
        <w:rPr>
          <w:rFonts w:ascii="Calibri" w:hAnsi="Calibri" w:cs="Calibri"/>
          <w:sz w:val="19"/>
        </w:rPr>
        <w:t>Python, C++, SQL, PyTorch, Hugging Face Transformers, FAISS, Ollama, Pydantic, SQLite, Git, Docker, testing, packaging, experiment design.</w:t>
      </w:r>
    </w:p>
    <w:p>
      <w:pPr>
        <w:pStyle w:val="Heading1"/>
      </w:pPr>
      <w:r>
        <w:t>Awards and languages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Member, National Organization for Development of Exceptional Talents (SAMPAD), 2018-present.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Iranian National University Entrance Exam (Mathematics and Physics): rank 221 of approximately 300,000 applicants.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Best Ideation Award, University of Tehran Summer School, for a subgraph-detection algorithm.</w:t>
      </w:r>
    </w:p>
    <w:p>
      <w:pPr>
        <w:numPr>
          <w:ilvl w:val="0"/>
          <w:numId w:val="10"/>
        </w:numPr>
        <w:spacing w:before="0" w:after="50" w:line="252" w:lineRule="auto"/>
      </w:pPr>
      <w:r>
        <w:rPr>
          <w:rFonts w:ascii="Calibri" w:hAnsi="Calibri" w:cs="Calibri"/>
          <w:sz w:val="19"/>
        </w:rPr>
        <w:t>Languages: Persian (native); English (academic and professional working proficiency).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tabs>
        <w:tab w:val="right" w:pos="9360"/>
      </w:tabs>
    </w:pPr>
    <w:r>
      <w:rPr>
        <w:rFonts w:ascii="Calibri" w:hAnsi="Calibri" w:cs="Calibri"/>
        <w:color w:val="5F6B76"/>
        <w:sz w:val="16"/>
      </w:rPr>
      <w:t>Ali Mohammadi</w:t>
    </w:r>
    <w:r>
      <w:rPr>
        <w:rFonts w:ascii="Calibri" w:hAnsi="Calibri" w:cs="Calibri"/>
        <w:color w:val="5F6B76"/>
        <w:sz w:val="16"/>
      </w:rPr>
      <w:tab/>
      <w:t xml:space="preserve">Page </w:t>
    </w:r>
    <w:fldSimple w:instr="PAGE">
      <w:r>
        <w:rPr>
          <w:rFonts w:ascii="Calibri" w:hAnsi="Calibri"/>
          <w:sz w:val="16"/>
          <w:color w:val="5F6B7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tabs>
        <w:tab w:val="right" w:pos="9360"/>
      </w:tabs>
    </w:pPr>
    <w:r>
      <w:rPr>
        <w:rFonts w:ascii="Calibri" w:hAnsi="Calibri" w:cs="Calibri"/>
        <w:b/>
        <w:color w:val="5F6B76"/>
        <w:sz w:val="16"/>
      </w:rPr>
      <w:t>Academic CV</w:t>
    </w:r>
    <w:r>
      <w:rPr>
        <w:rFonts w:ascii="Calibri" w:hAnsi="Calibri" w:cs="Calibri"/>
        <w:color w:val="5F6B76"/>
        <w:sz w:val="16"/>
      </w:rPr>
      <w:tab/>
      <w:t>Ali Mohammadi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50" w:line="252" w:lineRule="auto"/>
      <w:jc w:val="left"/>
    </w:pPr>
    <w:rPr>
      <w:rFonts w:ascii="Calibri" w:hAnsi="Calibri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Mohammadi - Academic CV</dc:title>
  <dc:subject>Academic CV for prospective Cambridge PhD application</dc:subject>
  <dc:creator/>
  <cp:keywords>Cambridge PhD; fact-checking; evidence; selective commitment</cp:keywords>
  <dc:description>Prepared for candidate review; not evidence of supervisor agreement.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