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Calibri" w:hAnsi="Calibri" w:cs="Calibri"/>
          <w:b/>
          <w:color w:val="5F6B76"/>
          <w:sz w:val="20"/>
        </w:rPr>
        <w:t>UNIVERSITY OF CAMBRIDGE | CANDIDATE REVIEW COPY</w:t>
      </w:r>
    </w:p>
    <w:p>
      <w:pPr>
        <w:spacing w:before="0" w:after="100"/>
        <w:jc w:val="center"/>
      </w:pPr>
      <w:r>
        <w:rPr>
          <w:rFonts w:ascii="Calibri" w:hAnsi="Calibri" w:cs="Calibri"/>
          <w:b/>
          <w:color w:val="16324F"/>
          <w:sz w:val="48"/>
        </w:rPr>
        <w:t>From Retrieval to Commitment</w:t>
      </w:r>
    </w:p>
    <w:p>
      <w:pPr>
        <w:spacing w:after="240"/>
        <w:jc w:val="center"/>
      </w:pPr>
      <w:r>
        <w:rPr>
          <w:rFonts w:ascii="Calibri" w:hAnsi="Calibri" w:cs="Calibri"/>
          <w:color w:val="5F6B76"/>
          <w:sz w:val="27"/>
        </w:rPr>
        <w:t>Research proposal with fit, novelty, risk, and factual-verification audits</w:t>
      </w:r>
    </w:p>
    <w:p>
      <w:pPr>
        <w:spacing w:before="0" w:after="40"/>
        <w:jc w:val="center"/>
      </w:pPr>
      <w:r>
        <w:rPr>
          <w:rFonts w:ascii="Calibri" w:hAnsi="Calibri" w:cs="Calibri"/>
          <w:b w:val="0"/>
          <w:color w:val="5F6B76"/>
          <w:sz w:val="19"/>
        </w:rPr>
        <w:t>Candidate: Ali Mohammadi</w:t>
      </w:r>
    </w:p>
    <w:p>
      <w:pPr>
        <w:spacing w:before="0" w:after="40"/>
        <w:jc w:val="center"/>
      </w:pPr>
      <w:r>
        <w:rPr>
          <w:rFonts w:ascii="Calibri" w:hAnsi="Calibri" w:cs="Calibri"/>
          <w:b w:val="0"/>
          <w:color w:val="5F6B76"/>
          <w:sz w:val="19"/>
        </w:rPr>
        <w:t>Prospective supervisor (subject to permission): Professor Andreas Vlachos</w:t>
      </w:r>
    </w:p>
    <w:p>
      <w:pPr>
        <w:spacing w:before="0" w:after="40"/>
        <w:jc w:val="center"/>
      </w:pPr>
      <w:r>
        <w:rPr>
          <w:rFonts w:ascii="Calibri" w:hAnsi="Calibri" w:cs="Calibri"/>
          <w:b w:val="0"/>
          <w:color w:val="5F6B76"/>
          <w:sz w:val="19"/>
        </w:rPr>
        <w:t>Prepared 13 July 2026 | The audit appendix is not for portal upload</w:t>
      </w:r>
    </w:p>
    <w:p>
      <w:pPr>
        <w:spacing w:before="0" w:after="40"/>
        <w:jc w:val="center"/>
      </w:pPr>
      <w:r>
        <w:rPr>
          <w:rFonts w:ascii="Calibri" w:hAnsi="Calibri" w:cs="Calibri"/>
          <w:b w:val="0"/>
          <w:color w:val="5F6B76"/>
          <w:sz w:val="19"/>
        </w:rPr>
        <w:t>Proposal word count: 2,554 including title, headings, body, and references</w:t>
      </w:r>
    </w:p>
    <w:p>
      <w:pPr>
        <w:spacing w:after="60"/>
      </w:pPr>
    </w:p>
    <w:p>
      <w:pPr>
        <w:pStyle w:val="Heading1"/>
      </w:pPr>
      <w:r>
        <w:t>Summary</w:t>
      </w:r>
    </w:p>
    <w:p>
      <w:r>
        <w:t>Automated fact-checking is usually evaluated as a one-shot pipeline: retrieve evidence for a claim, predict a verdict, and generate a justification. This abstraction is inadequate for open-world verification. Evidence may initially be insufficient, ambiguous, duplicated across dependent sources, temporally inapplicable, corrected, retracted, or superseded by later observations. A reliable verifier must therefore decide not only what verdict is most likely, but whether the available evidence warrants a verdict now, how that decision should change as evidence evolves, and how the resulting state should constrain what the system communicates.</w:t>
      </w:r>
    </w:p>
    <w:p>
      <w:r>
        <w:t>This PhD will study claim verification as a sequential, risk-sensitive commitment process over evolving evidence. The central thesis is that trustworthy verification requires three separately modelled and evaluated capabilities: (i) calibrated commitment - continuing evidence acquisition, deferring, or issuing a verdict under an explicit risk criterion; (ii) revisable evidence state - maintaining temporal scope, provenance, dependencies, and revision lineage as evidence changes; and (iii) state-faithful communication - producing verdicts and explanations that use active evidence, expose residual uncertainty, and do not reintroduce stale or rejected material. The research will develop a longitudinal task formulation, methods for selective evidence acquisition and revision, and an evaluation framework capable of locating failures at each layer.</w:t>
      </w:r>
    </w:p>
    <w:p>
      <w:pPr>
        <w:pStyle w:val="Heading1"/>
      </w:pPr>
      <w:r>
        <w:t>Background and research gap</w:t>
      </w:r>
    </w:p>
    <w:p>
      <w:r>
        <w:t>Modern automated fact-checking has progressed from closed-source claim classification to evidence-grounded verification. FEVER established joint evidence retrieval and verdict prediction; AVeriTeC introduced real-world claims, open-web evidence, intermediate questions, and temporally controlled annotation; and Ev2R evaluates whether retrieved evidence both matches references and supports a verdict (Thorne et al., 2018; Schlichtkrull et al., 2023; Akhtar et al., 2026). Recent work has addressed important limitations of the one-shot formulation. AmbiFC and Dis2Dis model ambiguous claims and their interpretations; Fact Checking with Insufficient Evidence asks systems not to decide without adequate support; FIRE performs iterative retrieval rather than using a fixed evidence budget; TSVer studies temporal and numerical evidence; and PledgeTracker organises incremental evidence into event timelines (Atanasova et al., 2022; Glockner et al., 2024; Staliunaite and Vlachos, 2025; Xie et al., 2025; Strong and Vlachos, 2025; Chen et al., 2025).</w:t>
      </w:r>
    </w:p>
    <w:p>
      <w:r>
        <w:t>These advances cover complementary parts of a larger unresolved problem. Existing tasks generally evaluate either a static evidence snapshot, an iterative search episode ending in one answer, a domain-specific timeline, or the periodic refresh of a benchmark. They do not ordinarily evaluate how a verifier should maintain and revise a provenance-rich state for the same claim across successive evidence snapshots, while controlling false commitment and ensuring that later explanations remain consistent with the revised state. Forecast-updating and temporally valid agent-evaluation work demonstrate the importance of measuring belief change and time-bounded evidence, but concern probabilistic future events rather than evidence-supported verdicts about claims (Yuan et al., 2025; Chi et al., 2026). Classical belief-revision and truth-maintenance systems offer useful principles, including minimal change, dependency tracking, and reason maintenance, but assume symbolic propositions and do not resolve the uncertainty, source dependence, retrieval cost, and linguistic ambiguity of open-web evidence (Alchourron et al., 1985; Doyle, 1979).</w:t>
      </w:r>
    </w:p>
    <w:p>
      <w:r>
        <w:t>The proposed novelty is deliberately scoped. It is not the invention of abstention, temporal fact-checking, iterative retrieval, belief revision, provenance tracking, or dynamic benchmarks. It is a unified empirical formulation of selective commitment, longitudinal evidence-state revision, and state-constrained communication, with transition-level supervision and controlled evaluation connecting these layers.</w:t>
      </w:r>
    </w:p>
    <w:p>
      <w:pPr>
        <w:pStyle w:val="Heading1"/>
      </w:pPr>
      <w:r>
        <w:t>Central thesis and objectives</w:t>
      </w:r>
    </w:p>
    <w:p>
      <w:r>
        <w:t>For a claim observed at time t, the verifier will maintain a state:</w:t>
      </w:r>
    </w:p>
    <w:p>
      <w:pPr>
        <w:spacing w:before="80" w:after="160"/>
        <w:jc w:val="center"/>
      </w:pPr>
      <w:r>
        <w:rPr>
          <w:rFonts w:ascii="Calibri" w:hAnsi="Calibri" w:cs="Calibri"/>
          <w:b/>
          <w:color w:val="16324F"/>
          <w:sz w:val="23"/>
        </w:rPr>
        <w:t>S_t = (c, I_t, E_t, p_t, u_t, tau_t, L_t).</w:t>
      </w:r>
    </w:p>
    <w:p>
      <w:r>
        <w:t>Here c is a normalised proposition; I_t contains viable interpretations and scope conditions; E_t is an evidence graph with sources, provenance, publication and valid times, stance, and dependency links; p_t is a verdict distribution; u_t represents evidence sufficiency and uncertainty; tau_t is the interval for which the state is asserted to hold; and L_t records revision lineage. The operational action space will include evidence acquisition, deferral, commitment to a verdict, and revision of a prior commitment. This is a task model rather than a claim that a language model possesses human beliefs.</w:t>
      </w:r>
    </w:p>
    <w:p>
      <w:r>
        <w:t>The objectives are to:</w:t>
      </w:r>
    </w:p>
    <w:p>
      <w:pPr>
        <w:numPr>
          <w:ilvl w:val="0"/>
          <w:numId w:val="10"/>
        </w:numPr>
        <w:spacing w:before="0" w:after="80" w:line="290" w:lineRule="auto"/>
      </w:pPr>
      <w:r>
        <w:t>Define and validate a longitudinal verification task in which claims, evidence, and verdict commitments evolve.</w:t>
      </w:r>
    </w:p>
    <w:p>
      <w:pPr>
        <w:numPr>
          <w:ilvl w:val="0"/>
          <w:numId w:val="10"/>
        </w:numPr>
        <w:spacing w:before="0" w:after="80" w:line="290" w:lineRule="auto"/>
      </w:pPr>
      <w:r>
        <w:t>Develop calibrated policies that decide when to search further, defer, commit, or revise under accuracy-coverage-cost constraints.</w:t>
      </w:r>
    </w:p>
    <w:p>
      <w:pPr>
        <w:numPr>
          <w:ilvl w:val="0"/>
          <w:numId w:val="10"/>
        </w:numPr>
        <w:spacing w:before="0" w:after="80" w:line="290" w:lineRule="auto"/>
      </w:pPr>
      <w:r>
        <w:t>Identify state representations and update rules that are responsive to decisive evidence but stable under irrelevant, stale, or duplicated material.</w:t>
      </w:r>
    </w:p>
    <w:p>
      <w:pPr>
        <w:numPr>
          <w:ilvl w:val="0"/>
          <w:numId w:val="10"/>
        </w:numPr>
        <w:spacing w:before="0" w:after="80" w:line="290" w:lineRule="auto"/>
      </w:pPr>
      <w:r>
        <w:t>Determine whether compiling the maintained state into constraints for generation reduces unsupported, stale, and premise-following outputs.</w:t>
      </w:r>
    </w:p>
    <w:p>
      <w:pPr>
        <w:pStyle w:val="Heading1"/>
      </w:pPr>
      <w:r>
        <w:t>Research questions</w:t>
      </w:r>
    </w:p>
    <w:p>
      <w:r>
        <w:t>RQ1 - Selective commitment. Which observable signals of evidence sufficiency, ambiguity, temporal validity, source independence, and predictive uncertainty support a calibrated decision to continue searching, defer, or commit, and how do these policies trade off error, coverage, and retrieval cost?</w:t>
      </w:r>
    </w:p>
    <w:p>
      <w:r>
        <w:t>RQ2 - Longitudinal revision. Which state representation and update rules best preserve provenance and produce appropriately stable yet responsive verdict trajectories when evidence is added, corrected, contradicted, duplicated, withdrawn, or rendered temporally inapplicable?</w:t>
      </w:r>
    </w:p>
    <w:p>
      <w:r>
        <w:t>RQ3 - State-faithful communication. To what extent does constraining verdict explanations and downstream answers by the maintained evidence state reduce unsupported claims, stale-evidence use, and compliance with false premises without making outputs uninformative?</w:t>
      </w:r>
    </w:p>
    <w:p>
      <w:pPr>
        <w:pStyle w:val="Heading1"/>
      </w:pPr>
      <w:r>
        <w:t>Methodology</w:t>
      </w:r>
    </w:p>
    <w:p>
      <w:pPr>
        <w:pStyle w:val="Heading2"/>
      </w:pPr>
      <w:r>
        <w:t>Work package 1: task formulation and longitudinal testbed</w:t>
      </w:r>
    </w:p>
    <w:p>
      <w:r>
        <w:t>I will first construct a reproducible testbed of approximately 300-500 claim trajectories, each containing three to five temporally ordered evidence snapshots. The textual and time-series core will draw on existing real-world resources such as AVeriTeC and TSVer, public ClaimReview records, official-data releases, corrections and retractions, and archived web pages. The aim is not to crawl the live web at unrestricted scale, but to create fixed, timestamped evidence collections that support repeatable experiments. A live-web track may later test robustness, but will not be required for the thesis.</w:t>
      </w:r>
    </w:p>
    <w:p>
      <w:r>
        <w:t>Trajectories will represent real transitions - new corroboration, decisive contradiction, source correction, updated official statistics, temporal expiry, and newly available evidence - and controlled interventions that isolate causal effects, such as adding irrelevant passages, duplicated reporting, stale evidence, or a conflicting low-authority source. Annotation will cover claim normalisation and interpretation, evidence relevance and sufficiency, source and dependency provenance, valid time, verdict distribution, and the appropriate transition. A pilot will refine the taxonomy; the main set will use independent double annotation, adjudication, agreement reporting, and a trajectory-level train/development/test split that prevents future snapshots or near-duplicate claims from leaking across partitions.</w:t>
      </w:r>
    </w:p>
    <w:p>
      <w:r>
        <w:t>The first contribution will be the task definition, data model, annotation study, and diagnostic evaluation showing which apparently similar systems fail at commitment, state maintenance, or communication.</w:t>
      </w:r>
    </w:p>
    <w:p>
      <w:pPr>
        <w:pStyle w:val="Heading2"/>
      </w:pPr>
      <w:r>
        <w:t>Work package 2: calibrated sequential evidence commitment</w:t>
      </w:r>
    </w:p>
    <w:p>
      <w:r>
        <w:t>The second work package will develop policies over actions such as SEARCH(query), DEFER, COMMIT(verdict), and REVISE(verdict). I will begin with interpretable and falsifiable methods: supervised action prediction, uncertainty and evidence-sufficiency thresholds, cost-sensitive decision rules, and conformal risk control where its exchangeability and monotonicity assumptions are defensible (Angelopoulos et al., 2024). Reinforcement learning or bandit optimisation will be introduced only if sequential credit assignment provides a measurable advantage over these simpler alternatives.</w:t>
      </w:r>
    </w:p>
    <w:p>
      <w:r>
        <w:t>Candidate signals will include entailment and contradiction strength, evidence coverage, agreement across independent sources, temporal fit, interpretation entropy, retrieval redundancy, calibration estimates, and the expected marginal value of another query. The policy will be evaluated against fixed-budget retrieval, static AVeriTeC-style pipelines, confidence-threshold abstention, Fact Checking with Insufficient Evidence, FIRE, and adaptive retrieval or generation approaches. The scientific question is not whether more searching improves accuracy, but whether a system can acquire enough of the right evidence while meeting a specified false-commitment risk at useful coverage and cost.</w:t>
      </w:r>
    </w:p>
    <w:p>
      <w:pPr>
        <w:pStyle w:val="Heading2"/>
      </w:pPr>
      <w:r>
        <w:t>Work package 3: revisable evidence states and faithful outputs</w:t>
      </w:r>
    </w:p>
    <w:p>
      <w:r>
        <w:t>The third work package will compare representations for maintaining evidence and verdict dependencies across time. The proposed representation is a compact provenance graph or ledger containing atomic evidence units, source and temporal metadata, support or attack relations, dependency clusters, active, contested, or retired status, and links explaining each verdict revision. Update methods will be compared with stateless recomputation at every snapshot, latest-evidence or overwrite policies, source-weighted voting, Bayesian or log-odds aggregation, temporal knowledge-graph baselines, and truth-maintenance-inspired dependency rules.</w:t>
      </w:r>
    </w:p>
    <w:p>
      <w:r>
        <w:t>The maintained state will then be compiled into an answer contract: outputs must identify the current verdict and its time scope; cite active supporting and conflicting evidence; distinguish unresolved ambiguity from lack of evidence; exclude retired evidence unless explaining a revision; and resist false premises in the query. Controlled ablations will separate gains due to retrieval, commitment policy, state representation, and generation constraints. Negative results will remain informative: the project explicitly tests whether accurate state maintenance is sufficient to improve natural-language behaviour rather than assuming that it is.</w:t>
      </w:r>
    </w:p>
    <w:p>
      <w:pPr>
        <w:pStyle w:val="Heading1"/>
      </w:pPr>
      <w:r>
        <w:t>Evaluation</w:t>
      </w:r>
    </w:p>
    <w:p>
      <w:r>
        <w:t>Evaluation will follow the scientific decomposition rather than collapse performance into one score. At the commitment layer, I will report selective risk-coverage curves, false-commitment and unnecessary-deferral rates, calibration (Brier score, log loss, and calibration error), evidence-sufficiency accuracy, and retrieval cost measured in queries, sources, and tokens. At the state layer, metrics will include transition accuracy, responsiveness to decisive evidence, stability under irrelevant or duplicated evidence, temporal validity, provenance and lineage fidelity, and stale-active or contradiction rates. At the communication layer, I will measure claim-evidence support, citation precision and coverage, use of retired evidence, ambiguity disclosure, false-premise resistance, and human-rated usefulness on a stratified sample. Ev2R-style evidence evaluation will be combined with human annotation rather than used as a sole judge.</w:t>
      </w:r>
    </w:p>
    <w:p>
      <w:r>
        <w:t>All principal comparisons will use pre-specified trajectory-level splits, bootstrap confidence intervals, and paired tests where assumptions are met. Results will be replicated across at least two model families and with open-weight models sufficient to reproduce the core experiments. Ablations, cost-matched comparisons, temporal-leakage checks, and a predefined error taxonomy will test whether improvements follow from the claimed mechanism.</w:t>
      </w:r>
    </w:p>
    <w:p>
      <w:pPr>
        <w:pStyle w:val="Heading1"/>
      </w:pPr>
      <w:r>
        <w:t>Feasibility, ethics, and risk control</w:t>
      </w:r>
    </w:p>
    <w:p>
      <w:r>
        <w:t>The core programme is intentionally limited to textual and time-series evidence; multimodal extensions are optional. A dataset of 1,200-2,000 claim-time states is large enough for transition analysis while remaining annotatable within a PhD. Archived public sources and open models prevent dependence on a commercial API or an unconfirmed professional partnership. The work will retain source licences and timestamps, minimise redistribution of copyrighted content, avoid unnecessary repetition of harmful claims, and document provenance and takedown procedures. Human annotation will receive ethics review where required, with annotators warned about potentially distressing misinformation. Source authority will not be treated as a universal scalar truth: experiments will expose provenance, model source dependence explicitly, and report sensitivity to alternative source-weighting assumptions.</w:t>
      </w:r>
    </w:p>
    <w:p>
      <w:pPr>
        <w:pStyle w:val="Heading1"/>
      </w:pPr>
      <w:r>
        <w:t>Work plan and first-year deliverables</w:t>
      </w:r>
    </w:p>
    <w:p>
      <w:r>
        <w:t>Months 1-6: complete a systematic task and prior-art audit; formalise the state and transition taxonomy; reproduce strong static, insufficient-evidence, and iterative-retrieval baselines; build an archived evidence pipeline; and annotate a pilot of at least 100 trajectories or 300-400 claim-time states.</w:t>
      </w:r>
    </w:p>
    <w:p>
      <w:r>
        <w:t>Months 7-12: validate annotation quality; release a preregistered benchmark protocol and baseline suite; conduct the first analysis of commitment-state-communication failures; and submit a first paper centred on the task formulation and diagnostic findings. These are concrete first-year deliverables even if later modelling choices change.</w:t>
      </w:r>
    </w:p>
    <w:p>
      <w:r>
        <w:t>Year 2: complete the longitudinal resource and develop calibrated sequential commitment policies, including cost- and risk-controlled evaluation.</w:t>
      </w:r>
    </w:p>
    <w:p>
      <w:r>
        <w:t>Year 3: develop and evaluate revisable evidence states and state-constrained communication; integrate the components; conduct cross-domain and cross-model replication; and complete the substantive thesis contributions. A fourth year, if used, would be reserved for extensions, consolidation, and writing rather than essential data collection.</w:t>
      </w:r>
    </w:p>
    <w:p>
      <w:pPr>
        <w:pStyle w:val="Heading1"/>
      </w:pPr>
      <w:r>
        <w:t>Research environment and preparation</w:t>
      </w:r>
    </w:p>
    <w:p>
      <w:r>
        <w:t>The proposed direction is designed to align with several lines visible in Professor Andreas Vlachos's public research programme. AVeriTeC and Ev2R provide foundations for real-world evidence and its evaluation; AmbiFC and Dis2Dis expose claim ambiguity; TSVer and PledgeTracker show the importance of temporal and incremental evidence; and recent forecast-updating work raises related questions about calibrated updating under time-bounded information. The PhD would connect these lines through a general longitudinal verification problem and explicit state and transition evaluation. This fit is a hypothesis for discussion, not a claim that the project is distinct from unpublished work, that supervision is available, or that an agreement exists; the scope would be revised in response to a prospective supervisor's advice.</w:t>
      </w:r>
    </w:p>
    <w:p>
      <w:r>
        <w:t>My Master's research provides methodological preparation rather than the PhD task itself. I designed MGP-6, an author-designed controlled diagnostic of persistent-memory decisions, state lineage, and answer realisation, and implemented controllers and external-framework baselines. On 180 scenarios, the LLM controller achieved 88.9% decision accuracy against 42.2% for naive overwrite, while independent annotation of the held-out split reached Cohen's kappa of 0.981. The principal lesson was that correct commitment decisions, correct persistent state, and correct answers are separable. The proposed PhD transfers that experimental discipline - not the personalised-memory action space - to public evidence verification. Its scientific objects are new: source-dependent external evidence, open-world acquisition, claim interpretation, temporal validity, and fact-checking verdicts. My additional work on ontology-guided representation learning, retrieval systems, and reproducible research software supports the structured-state and engineering demands of the programme.</w:t>
      </w:r>
    </w:p>
    <w:p>
      <w:pPr>
        <w:pStyle w:val="Heading1"/>
      </w:pPr>
      <w:r>
        <w:t>Expected contributions</w:t>
      </w:r>
    </w:p>
    <w:p>
      <w:r>
        <w:t>The thesis is expected to contribute: (1) a precise longitudinal task and reproducible resource for evolving-evidence verification; (2) calibrated methods for deciding when to search, defer, commit, and revise; (3) provenance-rich state representations and update rules with transition-level evaluation; (4) evidence establishing when state-constrained generation does or does not improve factual communication; and (5) an evaluation methodology that distinguishes commitment, state, and communication failures. Together, these contributions would move automated verification from retrieving evidence for a single answer towards maintaining defensible, revisable commitments as the information environment changes.</w:t>
      </w:r>
    </w:p>
    <w:p>
      <w:pPr>
        <w:pStyle w:val="Heading1"/>
      </w:pPr>
      <w:r>
        <w:t>References</w:t>
      </w:r>
    </w:p>
    <w:p>
      <w:pPr>
        <w:pStyle w:val="Reference"/>
      </w:pPr>
      <w:r>
        <w:t>Akhtar, M., Schlichtkrull, M., and Vlachos, A. (2026). Ev2R: Evaluating Evidence Retrieval in Automated Fact-Checking. Transactions of the Association for Computational Linguistics, 14, 530-561. https://aclanthology.org/2026.tacl-1.25/</w:t>
      </w:r>
    </w:p>
    <w:p>
      <w:pPr>
        <w:pStyle w:val="Reference"/>
      </w:pPr>
      <w:r>
        <w:t>Alchourron, C. E., Gardenfors, P., and Makinson, D. (1985). On the Logic of Theory Change: Partial Meet Contraction and Revision Functions. Journal of Symbolic Logic, 50(2), 510-530.</w:t>
      </w:r>
    </w:p>
    <w:p>
      <w:pPr>
        <w:pStyle w:val="Reference"/>
      </w:pPr>
      <w:r>
        <w:t>Angelopoulos, A. N., Bates, S., Fisch, A., Lei, L., and Schuster, T. (2024). Conformal Risk Control. International Conference on Learning Representations.</w:t>
      </w:r>
    </w:p>
    <w:p>
      <w:pPr>
        <w:pStyle w:val="Reference"/>
      </w:pPr>
      <w:r>
        <w:t>Atanasova, P., Simonsen, J. G., Lioma, C., and Augenstein, I. (2022). Fact Checking with Insufficient Evidence. Transactions of the Association for Computational Linguistics, 10, 746-763.</w:t>
      </w:r>
    </w:p>
    <w:p>
      <w:pPr>
        <w:pStyle w:val="Reference"/>
      </w:pPr>
      <w:r>
        <w:t>Chen, Y., Schlichtkrull, M. S., Deng, Z., Corney, D., Asl, N., Salisbury, J., Dudfield, A., and Vlachos, A. (2025). PledgeTracker: A System for Monitoring the Fulfilment of Pledges. EMNLP System Demonstrations, 839-850. https://aclanthology.org/2025.emnlp-demos.64/</w:t>
      </w:r>
    </w:p>
    <w:p>
      <w:pPr>
        <w:pStyle w:val="Reference"/>
      </w:pPr>
      <w:r>
        <w:t>Chi, Y., Chamoun, E., Ding, Z., and Vlachos, A. (2026). WorldReasoner: Evaluating Whether Language Model Agents Forecast Events with Valid Reasoning. arXiv:2606.11816.</w:t>
      </w:r>
    </w:p>
    <w:p>
      <w:pPr>
        <w:pStyle w:val="Reference"/>
      </w:pPr>
      <w:r>
        <w:t>Doyle, J. (1979). A Truth Maintenance System. Artificial Intelligence, 12(3), 231-272.</w:t>
      </w:r>
    </w:p>
    <w:p>
      <w:pPr>
        <w:pStyle w:val="Reference"/>
      </w:pPr>
      <w:r>
        <w:t>Glockner, M., Staliunaite, I., Thorne, J., Vallejo, G., Vlachos, A., and Gurevych, I. (2024). AmbiFC: Fact-Checking Ambiguous Claims with Evidence. Transactions of the Association for Computational Linguistics, 12.</w:t>
      </w:r>
    </w:p>
    <w:p>
      <w:pPr>
        <w:pStyle w:val="Reference"/>
      </w:pPr>
      <w:r>
        <w:t>Schlichtkrull, M., Guo, Z., and Vlachos, A. (2023). AVeriTeC: A Dataset for Real-world Claim Verification with Evidence from the Web. Advances in Neural Information Processing Systems, Datasets and Benchmarks Track, 36.</w:t>
      </w:r>
    </w:p>
    <w:p>
      <w:pPr>
        <w:pStyle w:val="Reference"/>
      </w:pPr>
      <w:r>
        <w:t>Staliunaite, I., and Vlachos, A. (2025). Dis2Dis: Explaining Ambiguity in Fact-Checking. Findings of NAACL 2025, 246-267.</w:t>
      </w:r>
    </w:p>
    <w:p>
      <w:pPr>
        <w:pStyle w:val="Reference"/>
      </w:pPr>
      <w:r>
        <w:t>Strong, M., and Vlachos, A. (2025). TSVer: A Benchmark for Fact Verification Against Time-Series Evidence. EMNLP 2025, 29906-29926. https://aclanthology.org/2025.emnlp-main.1519/</w:t>
      </w:r>
    </w:p>
    <w:p>
      <w:pPr>
        <w:pStyle w:val="Reference"/>
      </w:pPr>
      <w:r>
        <w:t>Thorne, J., Vlachos, A., Christodoulopoulos, C., and Mittal, A. (2018). FEVER: A Large-scale Dataset for Fact Extraction and VERification. NAACL-HLT 2018, 809-819.</w:t>
      </w:r>
    </w:p>
    <w:p>
      <w:pPr>
        <w:pStyle w:val="Reference"/>
      </w:pPr>
      <w:r>
        <w:t>Xie, Z., Xing, R., Wang, Y., Geng, J., Iqbal, H., Sahnan, D., Gurevych, I., and Nakov, P. (2025). FIRE: Fact-checking with Iterative Retrieval and Verification. Findings of NAACL 2025, 2901-2914.</w:t>
      </w:r>
    </w:p>
    <w:p>
      <w:pPr>
        <w:pStyle w:val="Reference"/>
      </w:pPr>
      <w:r>
        <w:t>Yuan, Z., Ding, Z., and Vlachos, A. (2025). Do Language Models Update their Forecasts with New Information? arXiv:2509.23936.</w:t>
      </w:r>
    </w:p>
    <w:p>
      <w:r>
        <w:br w:type="page"/>
      </w:r>
    </w:p>
    <w:p>
      <w:pPr>
        <w:spacing w:after="160"/>
        <w:jc w:val="center"/>
      </w:pPr>
      <w:r>
        <w:rPr>
          <w:rFonts w:ascii="Calibri" w:hAnsi="Calibri" w:cs="Calibri"/>
          <w:b/>
          <w:color w:val="9B1C1C"/>
          <w:sz w:val="26"/>
        </w:rPr>
        <w:t>REVIEW COMPANION - NOT FOR APPLICATION UPLOAD</w:t>
      </w:r>
    </w:p>
    <w:p>
      <w:pPr>
        <w:spacing w:after="240"/>
        <w:jc w:val="center"/>
      </w:pPr>
      <w:r>
        <w:rPr>
          <w:rFonts w:ascii="Calibri" w:hAnsi="Calibri" w:cs="Calibri"/>
          <w:b/>
          <w:color w:val="16324F"/>
          <w:sz w:val="36"/>
        </w:rPr>
        <w:t>Fit, novelty, feasibility, and factual-verification audits</w:t>
      </w:r>
    </w:p>
    <w:p>
      <w:pPr>
        <w:pStyle w:val="Heading1"/>
      </w:pPr>
      <w:r>
        <w:t>Submission status</w:t>
      </w:r>
    </w:p>
    <w:p>
      <w:r>
        <w:t>The proposal above is a candidate-ready research statement, but the application is not ready to submit until the user-dependent gates below are resolved. The audit is intentionally separate from the 3,000-word statement.</w:t>
      </w:r>
    </w:p>
    <w:tbl>
      <w:tblPr>
        <w:tblStyle w:val="TableGrid"/>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50"/>
        <w:gridCol w:w="3050"/>
        <w:gridCol w:w="4460"/>
      </w:tblGrid>
      <w:tr>
        <w:trPr>
          <w:tblHeader w:val="true"/>
        </w:trPr>
        <w:tc>
          <w:tcPr>
            <w:tcW w:type="dxa" w:w="185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Check</w:t>
            </w:r>
          </w:p>
        </w:tc>
        <w:tc>
          <w:tcPr>
            <w:tcW w:type="dxa" w:w="305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Current status</w:t>
            </w:r>
          </w:p>
        </w:tc>
        <w:tc>
          <w:tcPr>
            <w:tcW w:type="dxa" w:w="446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Required action</w:t>
            </w:r>
          </w:p>
        </w:tc>
      </w:tr>
      <w:tr>
        <w:tc>
          <w:tcPr>
            <w:tcW w:type="dxa" w:w="18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Proposal length</w:t>
            </w:r>
          </w:p>
        </w:tc>
        <w:tc>
          <w:tcPr>
            <w:tcW w:type="dxa" w:w="30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2,554 words including title, headings, body, and references</w:t>
            </w:r>
          </w:p>
        </w:tc>
        <w:tc>
          <w:tcPr>
            <w:tcW w:type="dxa" w:w="44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Keep at or below 3,000 after any supervisor revisions.</w:t>
            </w:r>
          </w:p>
        </w:tc>
      </w:tr>
      <w:tr>
        <w:tc>
          <w:tcPr>
            <w:tcW w:type="dxa" w:w="18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Supervisor wording</w:t>
            </w:r>
          </w:p>
        </w:tc>
        <w:tc>
          <w:tcPr>
            <w:tcW w:type="dxa" w:w="30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Prospective supervisor; no agreement claimed</w:t>
            </w:r>
          </w:p>
        </w:tc>
        <w:tc>
          <w:tcPr>
            <w:tcW w:type="dxa" w:w="44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Obtain explicit permission before naming a supervisor in the portal.</w:t>
            </w:r>
          </w:p>
        </w:tc>
      </w:tr>
      <w:tr>
        <w:tc>
          <w:tcPr>
            <w:tcW w:type="dxa" w:w="18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Research scope</w:t>
            </w:r>
          </w:p>
        </w:tc>
        <w:tc>
          <w:tcPr>
            <w:tcW w:type="dxa" w:w="30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Textual and time-series core; multimodal and live-web work optional</w:t>
            </w:r>
          </w:p>
        </w:tc>
        <w:tc>
          <w:tcPr>
            <w:tcW w:type="dxa" w:w="44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Protect the thesis-critical path during revisions.</w:t>
            </w:r>
          </w:p>
        </w:tc>
      </w:tr>
      <w:tr>
        <w:tc>
          <w:tcPr>
            <w:tcW w:type="dxa" w:w="18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Master's distinction</w:t>
            </w:r>
          </w:p>
        </w:tc>
        <w:tc>
          <w:tcPr>
            <w:tcW w:type="dxa" w:w="30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Methodological preparation only</w:t>
            </w:r>
          </w:p>
        </w:tc>
        <w:tc>
          <w:tcPr>
            <w:tcW w:type="dxa" w:w="44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Retain the external-evidence and fact-checking distinction.</w:t>
            </w:r>
          </w:p>
        </w:tc>
      </w:tr>
      <w:tr>
        <w:tc>
          <w:tcPr>
            <w:tcW w:type="dxa" w:w="18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English evidence</w:t>
            </w:r>
          </w:p>
        </w:tc>
        <w:tc>
          <w:tcPr>
            <w:tcW w:type="dxa" w:w="30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Not supplied</w:t>
            </w:r>
          </w:p>
        </w:tc>
        <w:tc>
          <w:tcPr>
            <w:tcW w:type="dxa" w:w="44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Check exemption or provide course-compliant evidence.</w:t>
            </w:r>
          </w:p>
        </w:tc>
      </w:tr>
      <w:tr>
        <w:tc>
          <w:tcPr>
            <w:tcW w:type="dxa" w:w="18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2027-28 deadline</w:t>
            </w:r>
          </w:p>
        </w:tc>
        <w:tc>
          <w:tcPr>
            <w:tcW w:type="dxa" w:w="30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Not yet published on the current course page</w:t>
            </w:r>
          </w:p>
        </w:tc>
        <w:tc>
          <w:tcPr>
            <w:tcW w:type="dxa" w:w="446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Recheck after the cycle opens in September 2026.</w:t>
            </w:r>
          </w:p>
        </w:tc>
      </w:tr>
    </w:tbl>
    <w:p>
      <w:pPr>
        <w:spacing w:after="40"/>
      </w:pPr>
    </w:p>
    <w:p>
      <w:pPr>
        <w:pStyle w:val="Heading1"/>
      </w:pPr>
      <w:r>
        <w:t>Research-direction audit</w:t>
      </w:r>
    </w:p>
    <w:p>
      <w:r>
        <w:t>The selected direction has one cumulative arc: define a longitudinal verification state; study calibrated commitment under risk and cost; maintain and revise evidence and verdict dependencies; then test whether the state can govern factual communication. Each stage yields an independently evaluable result while later stages test the earlier ones.</w:t>
      </w:r>
    </w:p>
    <w:p>
      <w:pPr>
        <w:pStyle w:val="Heading2"/>
      </w:pPr>
      <w:r>
        <w:t>Why the direction is PhD-sized</w:t>
      </w:r>
    </w:p>
    <w:p>
      <w:pPr>
        <w:numPr>
          <w:ilvl w:val="0"/>
          <w:numId w:val="11"/>
        </w:numPr>
        <w:spacing w:before="0" w:after="80" w:line="276" w:lineRule="auto"/>
      </w:pPr>
      <w:r>
        <w:t>Work package 1 can produce a task, annotation study, and diagnostic paper even if later modelling changes.</w:t>
      </w:r>
    </w:p>
    <w:p>
      <w:pPr>
        <w:numPr>
          <w:ilvl w:val="0"/>
          <w:numId w:val="11"/>
        </w:numPr>
        <w:spacing w:before="0" w:after="80" w:line="276" w:lineRule="auto"/>
      </w:pPr>
      <w:r>
        <w:t>Work package 2 isolates the decision problem of when evidence is sufficient to justify commitment.</w:t>
      </w:r>
    </w:p>
    <w:p>
      <w:pPr>
        <w:numPr>
          <w:ilvl w:val="0"/>
          <w:numId w:val="11"/>
        </w:numPr>
        <w:spacing w:before="0" w:after="80" w:line="276" w:lineRule="auto"/>
      </w:pPr>
      <w:r>
        <w:t>Work package 3 tests stability, responsiveness, provenance, and state-governed communication rather than merely adding an architecture.</w:t>
      </w:r>
    </w:p>
    <w:p>
      <w:pPr>
        <w:numPr>
          <w:ilvl w:val="0"/>
          <w:numId w:val="11"/>
        </w:numPr>
        <w:spacing w:before="0" w:after="80" w:line="276" w:lineRule="auto"/>
      </w:pPr>
      <w:r>
        <w:t>The programme is larger than a benchmark but narrower than a general theory of trustworthy agents.</w:t>
      </w:r>
    </w:p>
    <w:p>
      <w:pPr>
        <w:pStyle w:val="Heading2"/>
      </w:pPr>
      <w:r>
        <w:t>Master's-to-PhD separation</w:t>
      </w:r>
    </w:p>
    <w:tbl>
      <w:tblPr>
        <w:tblStyle w:val="TableGrid"/>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50"/>
        <w:gridCol w:w="3500"/>
        <w:gridCol w:w="4110"/>
      </w:tblGrid>
      <w:tr>
        <w:trPr>
          <w:tblHeader w:val="true"/>
        </w:trPr>
        <w:tc>
          <w:tcPr>
            <w:tcW w:type="dxa" w:w="1750"/>
            <w:shd w:fill="E8EEF5"/>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Dimension</w:t>
            </w:r>
          </w:p>
        </w:tc>
        <w:tc>
          <w:tcPr>
            <w:tcW w:type="dxa" w:w="3500"/>
            <w:shd w:fill="E8EEF5"/>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Master's preparation</w:t>
            </w:r>
          </w:p>
        </w:tc>
        <w:tc>
          <w:tcPr>
            <w:tcW w:type="dxa" w:w="4110"/>
            <w:shd w:fill="E8EEF5"/>
            <w:vAlign w:val="center"/>
            <w:tcMar>
              <w:top w:w="80" w:type="dxa"/>
              <w:start w:w="120" w:type="dxa"/>
              <w:bottom w:w="80" w:type="dxa"/>
              <w:end w:w="120" w:type="dxa"/>
            </w:tcMar>
          </w:tcPr>
          <w:p>
            <w:pPr>
              <w:spacing w:before="0" w:after="40" w:line="259" w:lineRule="auto"/>
            </w:pPr>
            <w:r>
              <w:rPr>
                <w:rFonts w:ascii="Calibri" w:hAnsi="Calibri" w:cs="Calibri"/>
                <w:b/>
                <w:color w:val="16324F"/>
                <w:sz w:val="17"/>
              </w:rPr>
              <w:t>Proposed PhD</w:t>
            </w:r>
          </w:p>
        </w:tc>
      </w:tr>
      <w:tr>
        <w:tc>
          <w:tcPr>
            <w:tcW w:type="dxa" w:w="17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Scientific object</w:t>
            </w:r>
          </w:p>
        </w:tc>
        <w:tc>
          <w:tcPr>
            <w:tcW w:type="dxa" w:w="35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Personalised persistent-memory records</w:t>
            </w:r>
          </w:p>
        </w:tc>
        <w:tc>
          <w:tcPr>
            <w:tcW w:type="dxa" w:w="411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Public claims and source-dependent external evidence</w:t>
            </w:r>
          </w:p>
        </w:tc>
      </w:tr>
      <w:tr>
        <w:tc>
          <w:tcPr>
            <w:tcW w:type="dxa" w:w="17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Acquisition</w:t>
            </w:r>
          </w:p>
        </w:tc>
        <w:tc>
          <w:tcPr>
            <w:tcW w:type="dxa" w:w="35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User-provided statements in controlled scenarios</w:t>
            </w:r>
          </w:p>
        </w:tc>
        <w:tc>
          <w:tcPr>
            <w:tcW w:type="dxa" w:w="411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Open-world retrieval over fixed archived collections</w:t>
            </w:r>
          </w:p>
        </w:tc>
      </w:tr>
      <w:tr>
        <w:tc>
          <w:tcPr>
            <w:tcW w:type="dxa" w:w="17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Temporal issue</w:t>
            </w:r>
          </w:p>
        </w:tc>
        <w:tc>
          <w:tcPr>
            <w:tcW w:type="dxa" w:w="35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Record supersession and lineage</w:t>
            </w:r>
          </w:p>
        </w:tc>
        <w:tc>
          <w:tcPr>
            <w:tcW w:type="dxa" w:w="411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Publication time, valid time, corrections, expiry, and withdrawal</w:t>
            </w:r>
          </w:p>
        </w:tc>
      </w:tr>
      <w:tr>
        <w:tc>
          <w:tcPr>
            <w:tcW w:type="dxa" w:w="17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Decision</w:t>
            </w:r>
          </w:p>
        </w:tc>
        <w:tc>
          <w:tcPr>
            <w:tcW w:type="dxa" w:w="35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Keep, supersede, or abstain</w:t>
            </w:r>
          </w:p>
        </w:tc>
        <w:tc>
          <w:tcPr>
            <w:tcW w:type="dxa" w:w="411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Search, defer, commit, or revise a fact-checking verdict</w:t>
            </w:r>
          </w:p>
        </w:tc>
      </w:tr>
      <w:tr>
        <w:tc>
          <w:tcPr>
            <w:tcW w:type="dxa" w:w="17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Evaluation transfer</w:t>
            </w:r>
          </w:p>
        </w:tc>
        <w:tc>
          <w:tcPr>
            <w:tcW w:type="dxa" w:w="35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Separate decision, state, and answer layers</w:t>
            </w:r>
          </w:p>
        </w:tc>
        <w:tc>
          <w:tcPr>
            <w:tcW w:type="dxa" w:w="411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Separate commitment, evidence state, and factual communication</w:t>
            </w:r>
          </w:p>
        </w:tc>
      </w:tr>
      <w:tr>
        <w:tc>
          <w:tcPr>
            <w:tcW w:type="dxa" w:w="175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Claimed continuity</w:t>
            </w:r>
          </w:p>
        </w:tc>
        <w:tc>
          <w:tcPr>
            <w:tcW w:type="dxa" w:w="350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Task-design and evaluation discipline</w:t>
            </w:r>
          </w:p>
        </w:tc>
        <w:tc>
          <w:tcPr>
            <w:tcW w:type="dxa" w:w="4110"/>
            <w:vAlign w:val="center"/>
            <w:tcMar>
              <w:top w:w="80" w:type="dxa"/>
              <w:start w:w="120" w:type="dxa"/>
              <w:bottom w:w="80" w:type="dxa"/>
              <w:end w:w="120" w:type="dxa"/>
            </w:tcMar>
          </w:tcPr>
          <w:p>
            <w:pPr>
              <w:spacing w:before="0" w:after="40" w:line="259" w:lineRule="auto"/>
            </w:pPr>
            <w:r>
              <w:rPr>
                <w:rFonts w:ascii="Calibri" w:hAnsi="Calibri" w:cs="Calibri"/>
                <w:b w:val="0"/>
                <w:color w:val="000000"/>
                <w:sz w:val="17"/>
              </w:rPr>
              <w:t>No claim that the Master's action space is the PhD contribution</w:t>
            </w:r>
          </w:p>
        </w:tc>
      </w:tr>
    </w:tbl>
    <w:p>
      <w:pPr>
        <w:spacing w:after="40"/>
      </w:pPr>
    </w:p>
    <w:p>
      <w:pPr>
        <w:pStyle w:val="Heading1"/>
      </w:pPr>
      <w:r>
        <w:t>Novelty and prior-art audit</w:t>
      </w:r>
    </w:p>
    <w:p>
      <w:pPr>
        <w:pStyle w:val="Heading2"/>
      </w:pPr>
      <w:r>
        <w:t>Defensible novelty statement</w:t>
      </w:r>
    </w:p>
    <w:p>
      <w:pPr>
        <w:pStyle w:val="LeadCallout"/>
        <w:ind w:left="259" w:right="259"/>
        <w:shd w:fill="F4F6F9"/>
      </w:pPr>
      <w:r>
        <w:t>A unified empirical formulation and controlled evaluation of selective commitment, longitudinal evidence-state revision, and state-faithful communication for the same claim across successive evidence snapshots.</w:t>
      </w:r>
    </w:p>
    <w:p>
      <w:pPr>
        <w:pStyle w:val="Heading2"/>
      </w:pPr>
      <w:r>
        <w:t>Claims deliberately not made</w:t>
      </w:r>
    </w:p>
    <w:p>
      <w:pPr>
        <w:numPr>
          <w:ilvl w:val="0"/>
          <w:numId w:val="11"/>
        </w:numPr>
        <w:spacing w:before="0" w:after="80" w:line="276" w:lineRule="auto"/>
      </w:pPr>
      <w:r>
        <w:t>No claim to invent abstention, iterative retrieval, temporal fact-checking, provenance graphs, belief revision, or dynamic benchmarks.</w:t>
      </w:r>
    </w:p>
    <w:p>
      <w:pPr>
        <w:numPr>
          <w:ilvl w:val="0"/>
          <w:numId w:val="11"/>
        </w:numPr>
        <w:spacing w:before="0" w:after="80" w:line="276" w:lineRule="auto"/>
      </w:pPr>
      <w:r>
        <w:t>No claim that a language model's state is a human belief state.</w:t>
      </w:r>
    </w:p>
    <w:p>
      <w:pPr>
        <w:numPr>
          <w:ilvl w:val="0"/>
          <w:numId w:val="11"/>
        </w:numPr>
        <w:spacing w:before="0" w:after="80" w:line="276" w:lineRule="auto"/>
      </w:pPr>
      <w:r>
        <w:t>No claim of formal risk guarantees unless the statistical assumptions are demonstrated and reported.</w:t>
      </w:r>
    </w:p>
    <w:p>
      <w:pPr>
        <w:numPr>
          <w:ilvl w:val="0"/>
          <w:numId w:val="11"/>
        </w:numPr>
        <w:spacing w:before="0" w:after="80" w:line="276" w:lineRule="auto"/>
      </w:pPr>
      <w:r>
        <w:t>No claim of trustworthiness from one aggregate benchmark score.</w:t>
      </w:r>
    </w:p>
    <w:p>
      <w:pPr>
        <w:numPr>
          <w:ilvl w:val="0"/>
          <w:numId w:val="11"/>
        </w:numPr>
        <w:spacing w:before="0" w:after="80" w:line="276" w:lineRule="auto"/>
      </w:pPr>
      <w:r>
        <w:t>No claim that the proposal is non-overlapping with unpublished work in a prospective supervisor's group.</w:t>
      </w:r>
    </w:p>
    <w:p>
      <w:pPr>
        <w:pStyle w:val="Heading2"/>
      </w:pPr>
      <w:r>
        <w:t>Closest-work boundary</w:t>
      </w:r>
    </w:p>
    <w:tbl>
      <w:tblPr>
        <w:tblStyle w:val="TableGrid"/>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3300"/>
        <w:gridCol w:w="4360"/>
      </w:tblGrid>
      <w:tr>
        <w:trPr>
          <w:tblHeader w:val="true"/>
        </w:trPr>
        <w:tc>
          <w:tcPr>
            <w:tcW w:type="dxa" w:w="170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6"/>
              </w:rPr>
              <w:t>Closest line</w:t>
            </w:r>
          </w:p>
        </w:tc>
        <w:tc>
          <w:tcPr>
            <w:tcW w:type="dxa" w:w="330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6"/>
              </w:rPr>
              <w:t>What it already contributes</w:t>
            </w:r>
          </w:p>
        </w:tc>
        <w:tc>
          <w:tcPr>
            <w:tcW w:type="dxa" w:w="4360"/>
            <w:shd w:fill="F4F6F9"/>
            <w:vAlign w:val="center"/>
            <w:tcMar>
              <w:top w:w="80" w:type="dxa"/>
              <w:start w:w="120" w:type="dxa"/>
              <w:bottom w:w="80" w:type="dxa"/>
              <w:end w:w="120" w:type="dxa"/>
            </w:tcMar>
          </w:tcPr>
          <w:p>
            <w:pPr>
              <w:spacing w:before="0" w:after="40" w:line="259" w:lineRule="auto"/>
            </w:pPr>
            <w:r>
              <w:rPr>
                <w:rFonts w:ascii="Calibri" w:hAnsi="Calibri" w:cs="Calibri"/>
                <w:b/>
                <w:color w:val="16324F"/>
                <w:sz w:val="16"/>
              </w:rPr>
              <w:t>Boundary of this proposal</w:t>
            </w:r>
          </w:p>
        </w:tc>
      </w:tr>
      <w:tr>
        <w:tc>
          <w:tcPr>
            <w:tcW w:type="dxa" w:w="17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Insufficient-evidence fact-checking</w:t>
            </w:r>
          </w:p>
        </w:tc>
        <w:tc>
          <w:tcPr>
            <w:tcW w:type="dxa" w:w="33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Selective prediction with supplied evidence</w:t>
            </w:r>
          </w:p>
        </w:tc>
        <w:tc>
          <w:tcPr>
            <w:tcW w:type="dxa" w:w="43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Sequential acquisition plus later evidence-state revision</w:t>
            </w:r>
          </w:p>
        </w:tc>
      </w:tr>
      <w:tr>
        <w:tc>
          <w:tcPr>
            <w:tcW w:type="dxa" w:w="17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FIRE and adaptive retrieval</w:t>
            </w:r>
          </w:p>
        </w:tc>
        <w:tc>
          <w:tcPr>
            <w:tcW w:type="dxa" w:w="33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Iterative retrieval ending in an answer</w:t>
            </w:r>
          </w:p>
        </w:tc>
        <w:tc>
          <w:tcPr>
            <w:tcW w:type="dxa" w:w="43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Persistent same-claim state across snapshots and revision metrics</w:t>
            </w:r>
          </w:p>
        </w:tc>
      </w:tr>
      <w:tr>
        <w:tc>
          <w:tcPr>
            <w:tcW w:type="dxa" w:w="17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Ev2R</w:t>
            </w:r>
          </w:p>
        </w:tc>
        <w:tc>
          <w:tcPr>
            <w:tcW w:type="dxa" w:w="33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Evidence-quality evaluation</w:t>
            </w:r>
          </w:p>
        </w:tc>
        <w:tc>
          <w:tcPr>
            <w:tcW w:type="dxa" w:w="43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Evidence quality as a signal and outcome inside a commitment policy</w:t>
            </w:r>
          </w:p>
        </w:tc>
      </w:tr>
      <w:tr>
        <w:tc>
          <w:tcPr>
            <w:tcW w:type="dxa" w:w="17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AmbiFC and Dis2Dis</w:t>
            </w:r>
          </w:p>
        </w:tc>
        <w:tc>
          <w:tcPr>
            <w:tcW w:type="dxa" w:w="33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Ambiguity as a first-class verification issue</w:t>
            </w:r>
          </w:p>
        </w:tc>
        <w:tc>
          <w:tcPr>
            <w:tcW w:type="dxa" w:w="43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Interpretation uncertainty connected to search, deferral, and revision</w:t>
            </w:r>
          </w:p>
        </w:tc>
      </w:tr>
      <w:tr>
        <w:tc>
          <w:tcPr>
            <w:tcW w:type="dxa" w:w="17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TSVer and PledgeTracker</w:t>
            </w:r>
          </w:p>
        </w:tc>
        <w:tc>
          <w:tcPr>
            <w:tcW w:type="dxa" w:w="33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Temporal or incremental evidence in important domains</w:t>
            </w:r>
          </w:p>
        </w:tc>
        <w:tc>
          <w:tcPr>
            <w:tcW w:type="dxa" w:w="43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General transition framework and layered evaluation across claim types</w:t>
            </w:r>
          </w:p>
        </w:tc>
      </w:tr>
      <w:tr>
        <w:tc>
          <w:tcPr>
            <w:tcW w:type="dxa" w:w="17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Truth maintenance and belief revision</w:t>
            </w:r>
          </w:p>
        </w:tc>
        <w:tc>
          <w:tcPr>
            <w:tcW w:type="dxa" w:w="330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Dependency maintenance and rational change principles</w:t>
            </w:r>
          </w:p>
        </w:tc>
        <w:tc>
          <w:tcPr>
            <w:tcW w:type="dxa" w:w="43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Empirical adaptation to uncertain, linguistic, retrieval-mediated evidence</w:t>
            </w:r>
          </w:p>
        </w:tc>
      </w:tr>
    </w:tbl>
    <w:p>
      <w:pPr>
        <w:spacing w:after="40"/>
      </w:pPr>
    </w:p>
    <w:p>
      <w:pPr>
        <w:pStyle w:val="Heading1"/>
      </w:pPr>
      <w:r>
        <w:t>Prospective-supervisor fit audit</w:t>
      </w:r>
    </w:p>
    <w:p>
      <w:r>
        <w:t>Public evidence supports a serious fit enquiry: Cambridge lists Professor Andreas Vlachos as Professor of Natural Language Processing and Machine Learning, and his projects page invites PhD enquiries in automated fact-checking. His publication programme includes real-world evidence, ambiguity, evidence evaluation, time-series verification, and incremental evidence. The proposal connects those public lines without asserting supervision capacity, permission, or knowledge of unpublished work.</w:t>
      </w:r>
    </w:p>
    <w:p>
      <w:pPr>
        <w:numPr>
          <w:ilvl w:val="0"/>
          <w:numId w:val="11"/>
        </w:numPr>
        <w:spacing w:before="0" w:after="80" w:line="276" w:lineRule="auto"/>
      </w:pPr>
      <w:r>
        <w:t>AVeriTeC supplies real-world, open-web verification foundations.</w:t>
      </w:r>
    </w:p>
    <w:p>
      <w:pPr>
        <w:numPr>
          <w:ilvl w:val="0"/>
          <w:numId w:val="11"/>
        </w:numPr>
        <w:spacing w:before="0" w:after="80" w:line="276" w:lineRule="auto"/>
      </w:pPr>
      <w:r>
        <w:t>Ev2R sharpens evidence-quality evaluation beyond exact reference matching.</w:t>
      </w:r>
    </w:p>
    <w:p>
      <w:pPr>
        <w:numPr>
          <w:ilvl w:val="0"/>
          <w:numId w:val="11"/>
        </w:numPr>
        <w:spacing w:before="0" w:after="80" w:line="276" w:lineRule="auto"/>
      </w:pPr>
      <w:r>
        <w:t>AmbiFC and Dis2Dis motivate explicit claim interpretation and ambiguity handling.</w:t>
      </w:r>
    </w:p>
    <w:p>
      <w:pPr>
        <w:numPr>
          <w:ilvl w:val="0"/>
          <w:numId w:val="11"/>
        </w:numPr>
        <w:spacing w:before="0" w:after="80" w:line="276" w:lineRule="auto"/>
      </w:pPr>
      <w:r>
        <w:t>TSVer and PledgeTracker show the importance of temporal and incremental evidence.</w:t>
      </w:r>
    </w:p>
    <w:p>
      <w:pPr>
        <w:numPr>
          <w:ilvl w:val="0"/>
          <w:numId w:val="11"/>
        </w:numPr>
        <w:spacing w:before="0" w:after="80" w:line="276" w:lineRule="auto"/>
      </w:pPr>
      <w:r>
        <w:t>The project's prospective contribution is the same-claim longitudinal state and the joint commitment-state-communication evaluation, subject to supervisor correction.</w:t>
      </w:r>
    </w:p>
    <w:p>
      <w:pPr>
        <w:pStyle w:val="Heading1"/>
      </w:pPr>
      <w:r>
        <w:t>Feasibility and risk audit</w:t>
      </w:r>
    </w:p>
    <w:tbl>
      <w:tblPr>
        <w:tblStyle w:val="TableGrid"/>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50"/>
        <w:gridCol w:w="1250"/>
        <w:gridCol w:w="5660"/>
      </w:tblGrid>
      <w:tr>
        <w:trPr>
          <w:tblHeader w:val="true"/>
        </w:trPr>
        <w:tc>
          <w:tcPr>
            <w:tcW w:type="dxa" w:w="2450"/>
            <w:shd w:fill="E8EEF5"/>
            <w:vAlign w:val="center"/>
            <w:tcMar>
              <w:top w:w="80" w:type="dxa"/>
              <w:start w:w="120" w:type="dxa"/>
              <w:bottom w:w="80" w:type="dxa"/>
              <w:end w:w="120" w:type="dxa"/>
            </w:tcMar>
          </w:tcPr>
          <w:p>
            <w:pPr>
              <w:spacing w:before="0" w:after="40" w:line="259" w:lineRule="auto"/>
            </w:pPr>
            <w:r>
              <w:rPr>
                <w:rFonts w:ascii="Calibri" w:hAnsi="Calibri" w:cs="Calibri"/>
                <w:b/>
                <w:color w:val="16324F"/>
                <w:sz w:val="16"/>
              </w:rPr>
              <w:t>Risk</w:t>
            </w:r>
          </w:p>
        </w:tc>
        <w:tc>
          <w:tcPr>
            <w:tcW w:type="dxa" w:w="1250"/>
            <w:shd w:fill="E8EEF5"/>
            <w:vAlign w:val="center"/>
            <w:tcMar>
              <w:top w:w="80" w:type="dxa"/>
              <w:start w:w="120" w:type="dxa"/>
              <w:bottom w:w="80" w:type="dxa"/>
              <w:end w:w="120" w:type="dxa"/>
            </w:tcMar>
          </w:tcPr>
          <w:p>
            <w:pPr>
              <w:spacing w:before="0" w:after="40" w:line="259" w:lineRule="auto"/>
            </w:pPr>
            <w:r>
              <w:rPr>
                <w:rFonts w:ascii="Calibri" w:hAnsi="Calibri" w:cs="Calibri"/>
                <w:b/>
                <w:color w:val="16324F"/>
                <w:sz w:val="16"/>
              </w:rPr>
              <w:t>Impact</w:t>
            </w:r>
          </w:p>
        </w:tc>
        <w:tc>
          <w:tcPr>
            <w:tcW w:type="dxa" w:w="5660"/>
            <w:shd w:fill="E8EEF5"/>
            <w:vAlign w:val="center"/>
            <w:tcMar>
              <w:top w:w="80" w:type="dxa"/>
              <w:start w:w="120" w:type="dxa"/>
              <w:bottom w:w="80" w:type="dxa"/>
              <w:end w:w="120" w:type="dxa"/>
            </w:tcMar>
          </w:tcPr>
          <w:p>
            <w:pPr>
              <w:spacing w:before="0" w:after="40" w:line="259" w:lineRule="auto"/>
            </w:pPr>
            <w:r>
              <w:rPr>
                <w:rFonts w:ascii="Calibri" w:hAnsi="Calibri" w:cs="Calibri"/>
                <w:b/>
                <w:color w:val="16324F"/>
                <w:sz w:val="16"/>
              </w:rPr>
              <w:t>Mitigation</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Contribution appears to repackage adaptive retrieval or the Master's work</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Publish the prior-art boundary; centre same-claim transitions; run layer-isolating ablations.</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Authentic trajectories are sparse</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Combine authentic trajectories with controlled interventions; pilot before scaling.</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Annotation cost expands</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Medium-high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Cap the core at 300-500 trajectories and stage annotation.</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Web evidence disappears</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Use timestamped archived corpora and checksums for thesis-critical experiments.</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Temporal leakage</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Freeze evidence by time, split by trajectory, and audit near duplicates and cut-off sensitivity.</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Source independence is ambiguous</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Medium</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Record observable provenance and dependency features; report sensitivity analyses.</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LLM judge creates circular evaluation</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Medium-high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Prefer deterministic metrics, independent model families, and blind human samples.</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System becomes an engineering platform</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High</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Tie each component to a research question and falsifiable comparison.</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Professional access is unavailable</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Low for core</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Keep the core independent of a professional-user study.</w:t>
            </w:r>
          </w:p>
        </w:tc>
      </w:tr>
      <w:tr>
        <w:tc>
          <w:tcPr>
            <w:tcW w:type="dxa" w:w="24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Commercial APIs or compute fail</w:t>
            </w:r>
          </w:p>
        </w:tc>
        <w:tc>
          <w:tcPr>
            <w:tcW w:type="dxa" w:w="125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Medium</w:t>
            </w:r>
          </w:p>
        </w:tc>
        <w:tc>
          <w:tcPr>
            <w:tcW w:type="dxa" w:w="5660"/>
            <w:vAlign w:val="center"/>
            <w:tcMar>
              <w:top w:w="80" w:type="dxa"/>
              <w:start w:w="120" w:type="dxa"/>
              <w:bottom w:w="80" w:type="dxa"/>
              <w:end w:w="120" w:type="dxa"/>
            </w:tcMar>
          </w:tcPr>
          <w:p>
            <w:pPr>
              <w:spacing w:before="0" w:after="40" w:line="259" w:lineRule="auto"/>
            </w:pPr>
            <w:r>
              <w:rPr>
                <w:rFonts w:ascii="Calibri" w:hAnsi="Calibri" w:cs="Calibri"/>
                <w:b w:val="0"/>
                <w:color w:val="000000"/>
                <w:sz w:val="16"/>
              </w:rPr>
              <w:t>Use open-weight models for core experiments and cost-matched baselines.</w:t>
            </w:r>
          </w:p>
        </w:tc>
      </w:tr>
    </w:tbl>
    <w:p>
      <w:pPr>
        <w:spacing w:after="40"/>
      </w:pPr>
    </w:p>
    <w:p>
      <w:pPr>
        <w:pStyle w:val="Heading1"/>
      </w:pPr>
      <w:r>
        <w:t>Factual-verification audit</w:t>
      </w:r>
    </w:p>
    <w:p>
      <w:pPr>
        <w:numPr>
          <w:ilvl w:val="0"/>
          <w:numId w:val="11"/>
        </w:numPr>
        <w:spacing w:before="0" w:after="80" w:line="276" w:lineRule="auto"/>
      </w:pPr>
      <w:r>
        <w:t>Cambridge's Department of Computer Science and Technology states a 3,000-word maximum and requests existing-work knowledge, an area for new work, and concrete first-year goals and deliverables.</w:t>
      </w:r>
    </w:p>
    <w:p>
      <w:pPr>
        <w:numPr>
          <w:ilvl w:val="0"/>
          <w:numId w:val="11"/>
        </w:numPr>
        <w:spacing w:before="0" w:after="80" w:line="276" w:lineRule="auto"/>
      </w:pPr>
      <w:r>
        <w:t>The course directory currently lists two referees, a transcript, CV, English evidence if required, a research proposal, one sample of work, a 1,500-character Reasons for Applying response, and a 200-character Multiple Proposed Supervisors response.</w:t>
      </w:r>
    </w:p>
    <w:p>
      <w:pPr>
        <w:numPr>
          <w:ilvl w:val="0"/>
          <w:numId w:val="11"/>
        </w:numPr>
        <w:spacing w:before="0" w:after="80" w:line="276" w:lineRule="auto"/>
      </w:pPr>
      <w:r>
        <w:t>The course directory requires discussion with a prospective supervisor and permission before naming that person, together with confirmation of departmental feasibility and capacity to accept a student.</w:t>
      </w:r>
    </w:p>
    <w:p>
      <w:pPr>
        <w:numPr>
          <w:ilvl w:val="0"/>
          <w:numId w:val="11"/>
        </w:numPr>
        <w:spacing w:before="0" w:after="80" w:line="276" w:lineRule="auto"/>
      </w:pPr>
      <w:r>
        <w:t>Current language thresholds are IELTS 7.5 overall with 7.0 in each element or TOEFL 107 overall with 25 in each element, with stated Cambridge English alternatives. A CV self-assessment is not proof.</w:t>
      </w:r>
    </w:p>
    <w:p>
      <w:pPr>
        <w:numPr>
          <w:ilvl w:val="0"/>
          <w:numId w:val="11"/>
        </w:numPr>
        <w:spacing w:before="0" w:after="80" w:line="276" w:lineRule="auto"/>
      </w:pPr>
      <w:r>
        <w:t>Gates Cambridge states that 2027-28 applications open in September 2026; exact non-US deadlines are course-dependent in December 2026 or early January 2027 and were still to be confirmed on 13 July 2026.</w:t>
      </w:r>
    </w:p>
    <w:p>
      <w:pPr>
        <w:numPr>
          <w:ilvl w:val="0"/>
          <w:numId w:val="11"/>
        </w:numPr>
        <w:spacing w:before="0" w:after="80" w:line="276" w:lineRule="auto"/>
      </w:pPr>
      <w:r>
        <w:t>The PourYa JOSS pre-review issue was closed after editorial scope screening, so the CV does not claim that the paper is under review.</w:t>
      </w:r>
    </w:p>
    <w:p>
      <w:pPr>
        <w:numPr>
          <w:ilvl w:val="0"/>
          <w:numId w:val="11"/>
        </w:numPr>
        <w:spacing w:before="0" w:after="80" w:line="276" w:lineRule="auto"/>
      </w:pPr>
      <w:r>
        <w:t>The unsupported LongMemEval improvement claim has been removed. The proposal uses only the controlled MGP-6 preparation result and identifies the dataset as author-designed.</w:t>
      </w:r>
    </w:p>
    <w:p>
      <w:pPr>
        <w:pStyle w:val="Heading2"/>
      </w:pPr>
      <w:r>
        <w:t>Primary-source bibliography correction</w:t>
      </w:r>
    </w:p>
    <w:p>
      <w:r>
        <w:t>Two inherited audit notes were contradicted by primary ACL Anthology records and have been superseded. The official record for Demystifying Multi-Agent Debate includes Yizhou Chi among the authors. The official title is Uncertainty Quantification for Evaluating Gender Bias in Machine Translation. The research summary uses those primary records.</w:t>
      </w:r>
    </w:p>
    <w:p>
      <w:pPr>
        <w:pStyle w:val="Heading2"/>
      </w:pPr>
      <w:r>
        <w:t>Sources checked 13 July 2026</w:t>
      </w:r>
    </w:p>
    <w:p>
      <w:pPr>
        <w:pStyle w:val="Reference"/>
        <w:ind w:left="288" w:hanging="288"/>
      </w:pPr>
      <w:r>
        <w:t>Cambridge research-proposal guidance: https://www.cst.cam.ac.uk/admissions/phd/research-proposal</w:t>
      </w:r>
    </w:p>
    <w:p>
      <w:pPr>
        <w:pStyle w:val="Reference"/>
        <w:ind w:left="288" w:hanging="288"/>
      </w:pPr>
      <w:r>
        <w:t>Cambridge pre-application guidance: https://www.cst.cam.ac.uk/postgraduate-admissions/applying-phd</w:t>
      </w:r>
    </w:p>
    <w:p>
      <w:pPr>
        <w:pStyle w:val="Reference"/>
        <w:ind w:left="288" w:hanging="288"/>
      </w:pPr>
      <w:r>
        <w:t>Course application page: https://www.postgraduate.study.cam.ac.uk/courses/directory/cscspdpcs/apply</w:t>
      </w:r>
    </w:p>
    <w:p>
      <w:pPr>
        <w:pStyle w:val="Reference"/>
        <w:ind w:left="288" w:hanging="288"/>
      </w:pPr>
      <w:r>
        <w:t>Course requirements page: https://www.postgraduate.study.cam.ac.uk/courses/directory/cscspdpcs/requirements</w:t>
      </w:r>
    </w:p>
    <w:p>
      <w:pPr>
        <w:pStyle w:val="Reference"/>
        <w:ind w:left="288" w:hanging="288"/>
      </w:pPr>
      <w:r>
        <w:t>Gates Cambridge timeline: https://www.gatescambridge.org/apply/timeline/</w:t>
      </w:r>
    </w:p>
    <w:p>
      <w:pPr>
        <w:pStyle w:val="Reference"/>
        <w:ind w:left="288" w:hanging="288"/>
      </w:pPr>
      <w:r>
        <w:t>Professor Vlachos's Cambridge profile: https://www.cst.cam.ac.uk/people/av308</w:t>
      </w:r>
    </w:p>
    <w:p>
      <w:pPr>
        <w:pStyle w:val="Reference"/>
        <w:ind w:left="288" w:hanging="288"/>
      </w:pPr>
      <w:r>
        <w:t>Professor Vlachos's projects page: https://andreasvlachos.github.io/projects/</w:t>
      </w:r>
    </w:p>
    <w:p>
      <w:pPr>
        <w:pStyle w:val="Reference"/>
        <w:ind w:left="288" w:hanging="288"/>
      </w:pPr>
      <w:r>
        <w:t>ACL record for Demystifying Multi-Agent Debate: https://aclanthology.org/2026.findings-acl.1694/</w:t>
      </w:r>
    </w:p>
    <w:p>
      <w:pPr>
        <w:pStyle w:val="Reference"/>
        <w:ind w:left="288" w:hanging="288"/>
      </w:pPr>
      <w:r>
        <w:t>ACL record for Uncertainty Quantification for Evaluating Gender Bias in Machine Translation: https://aclanthology.org/2026.findings-eacl.116/</w:t>
      </w:r>
    </w:p>
    <w:p>
      <w:pPr>
        <w:pStyle w:val="Reference"/>
        <w:ind w:left="288" w:hanging="288"/>
      </w:pPr>
      <w:r>
        <w:t>PourYa JOSS pre-review: https://github.com/openjournals/joss-reviews/issues/8739</w:t>
      </w:r>
    </w:p>
    <w:p>
      <w:pPr>
        <w:pStyle w:val="Heading1"/>
      </w:pPr>
      <w:r>
        <w:t>User-dependent pre-submission gates</w:t>
      </w:r>
    </w:p>
    <w:p>
      <w:pPr>
        <w:numPr>
          <w:ilvl w:val="0"/>
          <w:numId w:val="11"/>
        </w:numPr>
        <w:spacing w:before="0" w:after="80" w:line="276" w:lineRule="auto"/>
      </w:pPr>
      <w:r>
        <w:t>Confirm the exact Master's completion date, final thesis title, GPA, rank, awards, and all quantitative employment or project claims against records.</w:t>
      </w:r>
    </w:p>
    <w:p>
      <w:pPr>
        <w:numPr>
          <w:ilvl w:val="0"/>
          <w:numId w:val="11"/>
        </w:numPr>
        <w:spacing w:before="0" w:after="80" w:line="276" w:lineRule="auto"/>
      </w:pPr>
      <w:r>
        <w:t>Provide the transcript, degree documentation, writing sample, English evidence, and two referees; arrange a separate Gates reference if applicable.</w:t>
      </w:r>
    </w:p>
    <w:p>
      <w:pPr>
        <w:numPr>
          <w:ilvl w:val="0"/>
          <w:numId w:val="11"/>
        </w:numPr>
        <w:spacing w:before="0" w:after="80" w:line="276" w:lineRule="auto"/>
      </w:pPr>
      <w:r>
        <w:t>Confirm the intended entry term and replace planning dates with the official 2027-28 course and funding deadlines.</w:t>
      </w:r>
    </w:p>
    <w:p>
      <w:pPr>
        <w:numPr>
          <w:ilvl w:val="0"/>
          <w:numId w:val="11"/>
        </w:numPr>
        <w:spacing w:before="0" w:after="80" w:line="276" w:lineRule="auto"/>
      </w:pPr>
      <w:r>
        <w:t>Obtain Professor Vlachos's assessment of intellectual fit, current capacity, and explicit permission before naming him in the Applicant Portal.</w:t>
      </w:r>
    </w:p>
    <w:p>
      <w:pPr>
        <w:numPr>
          <w:ilvl w:val="0"/>
          <w:numId w:val="11"/>
        </w:numPr>
        <w:spacing w:before="0" w:after="80" w:line="276" w:lineRule="auto"/>
      </w:pPr>
      <w:r>
        <w:t>Revise the proposal after any supervisor feedback and rerun the word-count and formatting checks.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tabs>
        <w:tab w:val="right" w:pos="9360"/>
      </w:tabs>
    </w:pPr>
    <w:r>
      <w:rPr>
        <w:rFonts w:ascii="Calibri" w:hAnsi="Calibri" w:cs="Calibri"/>
        <w:color w:val="5F6B76"/>
        <w:sz w:val="16"/>
      </w:rPr>
      <w:t>Ali Mohammadi</w:t>
    </w:r>
    <w:r>
      <w:rPr>
        <w:rFonts w:ascii="Calibri" w:hAnsi="Calibri" w:cs="Calibri"/>
        <w:color w:val="5F6B76"/>
        <w:sz w:val="16"/>
      </w:rPr>
      <w:tab/>
      <w:t xml:space="preserve">Page </w:t>
    </w:r>
    <w:fldSimple w:instr="PAGE">
      <w:r>
        <w:rPr>
          <w:rFonts w:ascii="Calibri" w:hAnsi="Calibri"/>
          <w:sz w:val="16"/>
          <w:color w:val="5F6B7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tabs>
        <w:tab w:val="right" w:pos="9360"/>
      </w:tabs>
    </w:pPr>
    <w:r>
      <w:rPr>
        <w:rFonts w:ascii="Calibri" w:hAnsi="Calibri" w:cs="Calibri"/>
        <w:b/>
        <w:color w:val="5F6B76"/>
        <w:sz w:val="16"/>
      </w:rPr>
      <w:t>PhD Proposal and Audit Companion</w:t>
    </w:r>
    <w:r>
      <w:rPr>
        <w:rFonts w:ascii="Calibri" w:hAnsi="Calibri" w:cs="Calibri"/>
        <w:color w:val="5F6B76"/>
        <w:sz w:val="16"/>
      </w:rPr>
      <w:tab/>
      <w:t>Candidate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261"/>
        </w:tabs>
        <w:ind w:left="540" w:hanging="279"/>
      </w:pPr>
      <w:rPr>
        <w:rFonts w:ascii="Calibri" w:hAnsi="Calibri"/>
      </w:rPr>
    </w:lvl>
  </w:abstractNum>
  <w:num w:numId="10">
    <w:abstractNumId w:val="9"/>
  </w:num>
  <w:abstractNum w:abstractNumId="10">
    <w:multiLevelType w:val="singleLevel"/>
    <w:lvl w:ilvl="0">
      <w:start w:val="1"/>
      <w:numFmt w:val="bullet"/>
      <w:lvlText w:val="•"/>
      <w:lvlJc w:val="left"/>
      <w:pPr>
        <w:tabs>
          <w:tab w:val="num" w:pos="269"/>
        </w:tabs>
        <w:ind w:left="540" w:hanging="271"/>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jc w:val="both"/>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jc w:val="left"/>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jc w:val="left"/>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keepNext w:val="0"/>
      <w:spacing w:before="0" w:after="60" w:line="259" w:lineRule="auto"/>
      <w:ind w:left="360" w:hanging="360"/>
      <w:jc w:val="left"/>
    </w:pPr>
    <w:rPr>
      <w:rFonts w:ascii="Calibri" w:hAnsi="Calibri"/>
      <w:b w:val="0"/>
      <w:i w:val="0"/>
      <w:color w:val="000000"/>
      <w:sz w:val="19"/>
    </w:rPr>
  </w:style>
  <w:style w:type="paragraph" w:customStyle="1" w:styleId="LeadCallout">
    <w:name w:val="Lead Callout"/>
    <w:basedOn w:val="Normal"/>
    <w:pPr>
      <w:keepNext w:val="0"/>
      <w:spacing w:before="0" w:after="160" w:line="276" w:lineRule="auto"/>
      <w:jc w:val="left"/>
    </w:pPr>
    <w:rPr>
      <w:rFonts w:ascii="Calibri" w:hAnsi="Calibri"/>
      <w:b w:val="0"/>
      <w:i w:val="0"/>
      <w:color w:val="1632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Retrieval to Commitment - Proposal and Audits</dc:title>
  <dc:subject>Candidate review copy with Cambridge application audits</dc:subject>
  <dc:creator/>
  <cp:keywords>Cambridge PhD; fact-checking; evidence; selective commitment</cp:keywords>
  <dc:description>Prepared for candidate review; not evidence of supervisor agreement.</dc:description>
  <cp:lastModifiedBy/>
  <cp:revision>1</cp:revision>
  <dcterms:created xsi:type="dcterms:W3CDTF">2013-12-23T23:15:00Z</dcterms:created>
  <dcterms:modified xsi:type="dcterms:W3CDTF">2013-12-23T23:15:00Z</dcterms:modified>
  <cp:category/>
</cp:coreProperties>
</file>